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EDCB3" w14:textId="77777777" w:rsidR="00C91C13" w:rsidRPr="004F50BE" w:rsidRDefault="00C91C13" w:rsidP="00C91C13">
      <w:pPr>
        <w:pStyle w:val="Heading1"/>
      </w:pPr>
      <w:r w:rsidRPr="004F50BE">
        <w:t>Supplemental information</w:t>
      </w:r>
    </w:p>
    <w:p w14:paraId="50759618" w14:textId="77777777" w:rsidR="00C91C13" w:rsidRPr="004F50BE" w:rsidRDefault="00C91C13" w:rsidP="00C91C13">
      <w:pPr>
        <w:pStyle w:val="Caption"/>
        <w:keepNext/>
        <w:rPr>
          <w:b w:val="0"/>
          <w:bCs w:val="0"/>
        </w:rPr>
      </w:pPr>
      <w:bookmarkStart w:id="0" w:name="_Ref190791558"/>
      <w:r w:rsidRPr="004F50BE">
        <w:t xml:space="preserve">Supplemental Table </w:t>
      </w:r>
      <w:r>
        <w:fldChar w:fldCharType="begin"/>
      </w:r>
      <w:r>
        <w:instrText>SEQ Supplemental_Table \* ARABIC</w:instrText>
      </w:r>
      <w:r>
        <w:fldChar w:fldCharType="separate"/>
      </w:r>
      <w:r w:rsidRPr="004F50BE">
        <w:rPr>
          <w:noProof/>
        </w:rPr>
        <w:t>1</w:t>
      </w:r>
      <w:r>
        <w:fldChar w:fldCharType="end"/>
      </w:r>
      <w:bookmarkEnd w:id="0"/>
      <w:r w:rsidRPr="004F50BE">
        <w:t xml:space="preserve">. </w:t>
      </w:r>
      <w:proofErr w:type="spellStart"/>
      <w:r w:rsidRPr="004F50BE">
        <w:rPr>
          <w:b w:val="0"/>
          <w:bCs w:val="0"/>
        </w:rPr>
        <w:t>MRSinMRS</w:t>
      </w:r>
      <w:proofErr w:type="spellEnd"/>
      <w:r w:rsidRPr="004F50BE">
        <w:rPr>
          <w:b w:val="0"/>
          <w:bCs w:val="0"/>
        </w:rPr>
        <w:t xml:space="preserve"> checklist.</w:t>
      </w:r>
    </w:p>
    <w:tbl>
      <w:tblPr>
        <w:tblStyle w:val="TableGrid"/>
        <w:tblW w:w="10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5153"/>
      </w:tblGrid>
      <w:tr w:rsidR="00C91C13" w:rsidRPr="004F50BE" w14:paraId="477A2B39" w14:textId="77777777" w:rsidTr="00522F62">
        <w:tc>
          <w:tcPr>
            <w:tcW w:w="10098" w:type="dxa"/>
            <w:gridSpan w:val="2"/>
            <w:tcBorders>
              <w:top w:val="single" w:sz="18" w:space="0" w:color="auto"/>
            </w:tcBorders>
          </w:tcPr>
          <w:p w14:paraId="4A0BF31B" w14:textId="77777777" w:rsidR="00C91C13" w:rsidRPr="004F50BE" w:rsidRDefault="00C91C13" w:rsidP="00C91C13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b/>
                <w:bCs/>
                <w:sz w:val="20"/>
                <w:szCs w:val="20"/>
              </w:rPr>
              <w:t>Hardware</w:t>
            </w:r>
          </w:p>
        </w:tc>
      </w:tr>
      <w:tr w:rsidR="00C91C13" w:rsidRPr="004F50BE" w14:paraId="0499D6FE" w14:textId="77777777" w:rsidTr="00522F62">
        <w:tc>
          <w:tcPr>
            <w:tcW w:w="4945" w:type="dxa"/>
            <w:tcBorders>
              <w:top w:val="single" w:sz="18" w:space="0" w:color="auto"/>
              <w:bottom w:val="single" w:sz="4" w:space="0" w:color="BFBFBF" w:themeColor="background1" w:themeShade="BF"/>
            </w:tcBorders>
          </w:tcPr>
          <w:p w14:paraId="34D9106F" w14:textId="77777777" w:rsidR="00C91C13" w:rsidRPr="004F50BE" w:rsidRDefault="00C91C13" w:rsidP="00C91C1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Field strength (T)</w:t>
            </w:r>
          </w:p>
        </w:tc>
        <w:tc>
          <w:tcPr>
            <w:tcW w:w="5153" w:type="dxa"/>
            <w:tcBorders>
              <w:top w:val="single" w:sz="18" w:space="0" w:color="000000" w:themeColor="text1"/>
              <w:bottom w:val="single" w:sz="4" w:space="0" w:color="BFBFBF" w:themeColor="background1" w:themeShade="BF"/>
            </w:tcBorders>
          </w:tcPr>
          <w:p w14:paraId="06584D4A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3</w:t>
            </w:r>
          </w:p>
        </w:tc>
      </w:tr>
      <w:tr w:rsidR="00C91C13" w:rsidRPr="004F50BE" w14:paraId="42BC0186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CD99036" w14:textId="77777777" w:rsidR="00C91C13" w:rsidRPr="004F50BE" w:rsidRDefault="00C91C13" w:rsidP="00C91C1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Manufacturer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17E3B76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Siemens</w:t>
            </w:r>
          </w:p>
        </w:tc>
      </w:tr>
      <w:tr w:rsidR="00C91C13" w:rsidRPr="004F50BE" w14:paraId="539A84B2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1933B7C" w14:textId="77777777" w:rsidR="00C91C13" w:rsidRPr="004F50BE" w:rsidRDefault="00C91C13" w:rsidP="00C91C1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Model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85DDAAA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4F50BE">
              <w:rPr>
                <w:sz w:val="20"/>
                <w:szCs w:val="20"/>
              </w:rPr>
              <w:t>Skyra</w:t>
            </w:r>
            <w:proofErr w:type="spellEnd"/>
            <w:r w:rsidRPr="004F50BE">
              <w:rPr>
                <w:sz w:val="20"/>
                <w:szCs w:val="20"/>
              </w:rPr>
              <w:t>, software version XA30</w:t>
            </w:r>
          </w:p>
        </w:tc>
      </w:tr>
      <w:tr w:rsidR="00C91C13" w:rsidRPr="004F50BE" w14:paraId="52189D28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9E191CE" w14:textId="77777777" w:rsidR="00C91C13" w:rsidRPr="004F50BE" w:rsidRDefault="00C91C13" w:rsidP="00C91C1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RF coils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DA37051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  <w:vertAlign w:val="superscript"/>
              </w:rPr>
              <w:t>1</w:t>
            </w:r>
            <w:r w:rsidRPr="004F50BE">
              <w:rPr>
                <w:sz w:val="20"/>
                <w:szCs w:val="20"/>
              </w:rPr>
              <w:t>H, 64 channels, head coil</w:t>
            </w:r>
          </w:p>
        </w:tc>
      </w:tr>
      <w:tr w:rsidR="00C91C13" w:rsidRPr="004F50BE" w14:paraId="71FA6255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18" w:space="0" w:color="auto"/>
            </w:tcBorders>
          </w:tcPr>
          <w:p w14:paraId="1551D72F" w14:textId="77777777" w:rsidR="00C91C13" w:rsidRPr="004F50BE" w:rsidRDefault="00C91C13" w:rsidP="00C91C1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Additional hardware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18" w:space="0" w:color="auto"/>
            </w:tcBorders>
          </w:tcPr>
          <w:p w14:paraId="7FB8DCC5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N/A</w:t>
            </w:r>
          </w:p>
        </w:tc>
      </w:tr>
      <w:tr w:rsidR="00C91C13" w:rsidRPr="004F50BE" w14:paraId="37CAFC05" w14:textId="77777777" w:rsidTr="00522F62">
        <w:tc>
          <w:tcPr>
            <w:tcW w:w="10098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2D9B3EF5" w14:textId="77777777" w:rsidR="00C91C13" w:rsidRPr="004F50BE" w:rsidRDefault="00C91C13" w:rsidP="00C91C13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b/>
                <w:bCs/>
                <w:sz w:val="20"/>
                <w:szCs w:val="20"/>
              </w:rPr>
              <w:t>Acquisition</w:t>
            </w:r>
          </w:p>
        </w:tc>
      </w:tr>
      <w:tr w:rsidR="00C91C13" w:rsidRPr="004F50BE" w14:paraId="6E4D453A" w14:textId="77777777" w:rsidTr="00522F62">
        <w:tc>
          <w:tcPr>
            <w:tcW w:w="4945" w:type="dxa"/>
            <w:tcBorders>
              <w:top w:val="single" w:sz="18" w:space="0" w:color="auto"/>
              <w:bottom w:val="single" w:sz="4" w:space="0" w:color="BFBFBF" w:themeColor="background1" w:themeShade="BF"/>
            </w:tcBorders>
          </w:tcPr>
          <w:p w14:paraId="01331C72" w14:textId="77777777" w:rsidR="00C91C13" w:rsidRPr="004F50BE" w:rsidRDefault="00C91C13" w:rsidP="00C91C1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Pulse sequence</w:t>
            </w:r>
          </w:p>
        </w:tc>
        <w:tc>
          <w:tcPr>
            <w:tcW w:w="5153" w:type="dxa"/>
            <w:tcBorders>
              <w:top w:val="single" w:sz="18" w:space="0" w:color="auto"/>
              <w:bottom w:val="single" w:sz="4" w:space="0" w:color="BFBFBF" w:themeColor="background1" w:themeShade="BF"/>
            </w:tcBorders>
          </w:tcPr>
          <w:p w14:paraId="20D6DF9D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HERCULES</w:t>
            </w:r>
          </w:p>
        </w:tc>
      </w:tr>
      <w:tr w:rsidR="00C91C13" w:rsidRPr="004F50BE" w14:paraId="1FA7DA12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565BA72" w14:textId="77777777" w:rsidR="00C91C13" w:rsidRPr="004F50BE" w:rsidRDefault="00C91C13" w:rsidP="00C91C1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VOI location(s)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AAE66BA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4F50BE">
              <w:rPr>
                <w:sz w:val="20"/>
                <w:szCs w:val="20"/>
              </w:rPr>
              <w:t>mPFC</w:t>
            </w:r>
            <w:proofErr w:type="spellEnd"/>
          </w:p>
        </w:tc>
      </w:tr>
      <w:tr w:rsidR="00C91C13" w:rsidRPr="004F50BE" w14:paraId="05032B25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565989E" w14:textId="77777777" w:rsidR="00C91C13" w:rsidRPr="004F50BE" w:rsidRDefault="00C91C13" w:rsidP="00C91C1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Nominal VOI size (cm</w:t>
            </w:r>
            <w:r w:rsidRPr="004F50BE">
              <w:rPr>
                <w:sz w:val="20"/>
                <w:szCs w:val="20"/>
                <w:vertAlign w:val="superscript"/>
              </w:rPr>
              <w:t>3</w:t>
            </w:r>
            <w:r w:rsidRPr="004F50BE">
              <w:rPr>
                <w:sz w:val="20"/>
                <w:szCs w:val="20"/>
              </w:rPr>
              <w:t>)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59CA218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3</w:t>
            </w:r>
            <w:r w:rsidRPr="004F50BE">
              <w:rPr>
                <w:rFonts w:ascii="Aptos" w:hAnsi="Aptos"/>
                <w:sz w:val="20"/>
                <w:szCs w:val="20"/>
              </w:rPr>
              <w:t>×3×3</w:t>
            </w:r>
          </w:p>
        </w:tc>
      </w:tr>
      <w:tr w:rsidR="00C91C13" w:rsidRPr="004F50BE" w14:paraId="11F6B7F6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59AD54C" w14:textId="77777777" w:rsidR="00C91C13" w:rsidRPr="004F50BE" w:rsidRDefault="00C91C13" w:rsidP="00C91C1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TR, TE (</w:t>
            </w:r>
            <w:proofErr w:type="spellStart"/>
            <w:r w:rsidRPr="004F50BE">
              <w:rPr>
                <w:sz w:val="20"/>
                <w:szCs w:val="20"/>
              </w:rPr>
              <w:t>ms</w:t>
            </w:r>
            <w:proofErr w:type="spellEnd"/>
            <w:r w:rsidRPr="004F50BE">
              <w:rPr>
                <w:sz w:val="20"/>
                <w:szCs w:val="20"/>
              </w:rPr>
              <w:t>)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FF5C0E9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2000, 80</w:t>
            </w:r>
          </w:p>
        </w:tc>
      </w:tr>
      <w:tr w:rsidR="00C91C13" w:rsidRPr="004F50BE" w14:paraId="000AC11C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0FC2206" w14:textId="77777777" w:rsidR="00C91C13" w:rsidRPr="004F50BE" w:rsidRDefault="00C91C13" w:rsidP="00C91C1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Total number of acquisitions per spectrum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3B208DD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320 total averages (80 averages per sub-spectra)</w:t>
            </w:r>
          </w:p>
        </w:tc>
      </w:tr>
      <w:tr w:rsidR="00C91C13" w:rsidRPr="004F50BE" w14:paraId="3A72F5EB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79EF2D7" w14:textId="77777777" w:rsidR="00C91C13" w:rsidRPr="004F50BE" w:rsidRDefault="00C91C13" w:rsidP="00C91C1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Additional sequence parameters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7D6E743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2000Hz width, 2048 points</w:t>
            </w:r>
          </w:p>
        </w:tc>
      </w:tr>
      <w:tr w:rsidR="00C91C13" w:rsidRPr="004F50BE" w14:paraId="404F3054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7510685" w14:textId="77777777" w:rsidR="00C91C13" w:rsidRPr="004F50BE" w:rsidRDefault="00C91C13" w:rsidP="00C91C1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Water suppression method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A740777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WET</w:t>
            </w:r>
          </w:p>
        </w:tc>
      </w:tr>
      <w:tr w:rsidR="00C91C13" w:rsidRPr="004F50BE" w14:paraId="052CB399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8FDE706" w14:textId="77777777" w:rsidR="00C91C13" w:rsidRPr="004F50BE" w:rsidRDefault="00C91C13" w:rsidP="00C91C1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Shimming method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F94A938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Automated B0-field mapping followed by manual shimming of water to &lt;22 Hz</w:t>
            </w:r>
          </w:p>
        </w:tc>
      </w:tr>
      <w:tr w:rsidR="00C91C13" w:rsidRPr="004F50BE" w14:paraId="321B93B5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18" w:space="0" w:color="auto"/>
            </w:tcBorders>
          </w:tcPr>
          <w:p w14:paraId="1EF29793" w14:textId="77777777" w:rsidR="00C91C13" w:rsidRPr="004F50BE" w:rsidRDefault="00C91C13" w:rsidP="00C91C13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Triggering or motion correction method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18" w:space="0" w:color="auto"/>
            </w:tcBorders>
          </w:tcPr>
          <w:p w14:paraId="5BADB592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No triggering or motion correction</w:t>
            </w:r>
          </w:p>
        </w:tc>
      </w:tr>
      <w:tr w:rsidR="00C91C13" w:rsidRPr="004F50BE" w14:paraId="453476C4" w14:textId="77777777" w:rsidTr="00522F62">
        <w:tc>
          <w:tcPr>
            <w:tcW w:w="10098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66FE4F48" w14:textId="77777777" w:rsidR="00C91C13" w:rsidRPr="004F50BE" w:rsidRDefault="00C91C13" w:rsidP="00C91C13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b/>
                <w:bCs/>
                <w:sz w:val="20"/>
                <w:szCs w:val="20"/>
              </w:rPr>
              <w:t>Data analysis methods and outputs</w:t>
            </w:r>
          </w:p>
        </w:tc>
      </w:tr>
      <w:tr w:rsidR="00C91C13" w:rsidRPr="004F50BE" w14:paraId="32BBFC8E" w14:textId="77777777" w:rsidTr="00522F62">
        <w:tc>
          <w:tcPr>
            <w:tcW w:w="4945" w:type="dxa"/>
            <w:tcBorders>
              <w:top w:val="single" w:sz="18" w:space="0" w:color="auto"/>
              <w:bottom w:val="single" w:sz="4" w:space="0" w:color="BFBFBF" w:themeColor="background1" w:themeShade="BF"/>
            </w:tcBorders>
          </w:tcPr>
          <w:p w14:paraId="08BD0F7A" w14:textId="77777777" w:rsidR="00C91C13" w:rsidRPr="004F50BE" w:rsidRDefault="00C91C13" w:rsidP="00C91C1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Analysis software</w:t>
            </w:r>
          </w:p>
        </w:tc>
        <w:tc>
          <w:tcPr>
            <w:tcW w:w="5153" w:type="dxa"/>
            <w:tcBorders>
              <w:top w:val="single" w:sz="18" w:space="0" w:color="auto"/>
              <w:bottom w:val="single" w:sz="4" w:space="0" w:color="BFBFBF" w:themeColor="background1" w:themeShade="BF"/>
            </w:tcBorders>
          </w:tcPr>
          <w:p w14:paraId="58077FBB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Osprey</w:t>
            </w:r>
          </w:p>
        </w:tc>
      </w:tr>
      <w:tr w:rsidR="00C91C13" w:rsidRPr="004F50BE" w14:paraId="3577F8CA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0D4A255" w14:textId="77777777" w:rsidR="00C91C13" w:rsidRPr="004F50BE" w:rsidRDefault="00C91C13" w:rsidP="00C91C1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Processing steps deviating from software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8649369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N/A</w:t>
            </w:r>
          </w:p>
        </w:tc>
      </w:tr>
      <w:tr w:rsidR="00C91C13" w:rsidRPr="004F50BE" w14:paraId="3A2C812B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6902876" w14:textId="77777777" w:rsidR="00C91C13" w:rsidRPr="004F50BE" w:rsidRDefault="00C91C13" w:rsidP="00C91C1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Output measure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36D10DA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Tissue-corrected, water-scaled</w:t>
            </w:r>
          </w:p>
        </w:tc>
      </w:tr>
      <w:tr w:rsidR="00C91C13" w:rsidRPr="004F50BE" w14:paraId="34797435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18" w:space="0" w:color="auto"/>
            </w:tcBorders>
          </w:tcPr>
          <w:p w14:paraId="58641FC4" w14:textId="77777777" w:rsidR="00C91C13" w:rsidRPr="004F50BE" w:rsidRDefault="00C91C13" w:rsidP="00C91C1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Quantification references and assumptions, fitting model assumptions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</w:tcBorders>
          </w:tcPr>
          <w:p w14:paraId="1423978B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Default Osprey basis set for Siemens HERCULES sequences</w:t>
            </w:r>
          </w:p>
        </w:tc>
      </w:tr>
      <w:tr w:rsidR="00C91C13" w:rsidRPr="004F50BE" w14:paraId="6F3F3A3A" w14:textId="77777777" w:rsidTr="00522F62">
        <w:tc>
          <w:tcPr>
            <w:tcW w:w="10098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326BDE63" w14:textId="77777777" w:rsidR="00C91C13" w:rsidRPr="004F50BE" w:rsidRDefault="00C91C13" w:rsidP="00C91C13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b/>
                <w:bCs/>
                <w:sz w:val="20"/>
                <w:szCs w:val="20"/>
              </w:rPr>
              <w:t>Data quality</w:t>
            </w:r>
          </w:p>
        </w:tc>
      </w:tr>
      <w:tr w:rsidR="00C91C13" w:rsidRPr="004F50BE" w14:paraId="208F4DC0" w14:textId="77777777" w:rsidTr="00522F62">
        <w:tc>
          <w:tcPr>
            <w:tcW w:w="4945" w:type="dxa"/>
            <w:tcBorders>
              <w:top w:val="single" w:sz="18" w:space="0" w:color="auto"/>
              <w:bottom w:val="single" w:sz="4" w:space="0" w:color="BFBFBF" w:themeColor="background1" w:themeShade="BF"/>
            </w:tcBorders>
          </w:tcPr>
          <w:p w14:paraId="67A9C119" w14:textId="77777777" w:rsidR="00C91C13" w:rsidRPr="004F50BE" w:rsidRDefault="00C91C13" w:rsidP="00C91C1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Reported variables</w:t>
            </w:r>
          </w:p>
        </w:tc>
        <w:tc>
          <w:tcPr>
            <w:tcW w:w="5153" w:type="dxa"/>
            <w:tcBorders>
              <w:top w:val="single" w:sz="18" w:space="0" w:color="auto"/>
              <w:bottom w:val="single" w:sz="4" w:space="0" w:color="BFBFBF" w:themeColor="background1" w:themeShade="BF"/>
            </w:tcBorders>
          </w:tcPr>
          <w:p w14:paraId="7661CA00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SNR and linewidth of NAA</w:t>
            </w:r>
          </w:p>
        </w:tc>
      </w:tr>
      <w:tr w:rsidR="00C91C13" w:rsidRPr="004F50BE" w14:paraId="36BA130B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4A67A05" w14:textId="77777777" w:rsidR="00C91C13" w:rsidRPr="004F50BE" w:rsidRDefault="00C91C13" w:rsidP="00C91C1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Data exclusion criteria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1A3DF4A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CRLB &lt; 20%</w:t>
            </w:r>
          </w:p>
        </w:tc>
      </w:tr>
      <w:tr w:rsidR="00C91C13" w:rsidRPr="004F50BE" w14:paraId="0C93E4DD" w14:textId="77777777" w:rsidTr="00522F62">
        <w:tc>
          <w:tcPr>
            <w:tcW w:w="4945" w:type="dxa"/>
            <w:tcBorders>
              <w:top w:val="single" w:sz="4" w:space="0" w:color="BFBFBF" w:themeColor="background1" w:themeShade="BF"/>
              <w:bottom w:val="single" w:sz="18" w:space="0" w:color="auto"/>
            </w:tcBorders>
          </w:tcPr>
          <w:p w14:paraId="1B795BE6" w14:textId="77777777" w:rsidR="00C91C13" w:rsidRPr="004F50BE" w:rsidRDefault="00C91C13" w:rsidP="00C91C1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Quality measures of postprocessing model fitting</w:t>
            </w:r>
          </w:p>
        </w:tc>
        <w:tc>
          <w:tcPr>
            <w:tcW w:w="5153" w:type="dxa"/>
            <w:tcBorders>
              <w:top w:val="single" w:sz="4" w:space="0" w:color="BFBFBF" w:themeColor="background1" w:themeShade="BF"/>
              <w:bottom w:val="single" w:sz="18" w:space="0" w:color="auto"/>
            </w:tcBorders>
          </w:tcPr>
          <w:p w14:paraId="19C7444C" w14:textId="77777777" w:rsidR="00C91C13" w:rsidRPr="004F50BE" w:rsidRDefault="00C91C13" w:rsidP="00522F62">
            <w:pPr>
              <w:spacing w:line="240" w:lineRule="auto"/>
              <w:rPr>
                <w:sz w:val="20"/>
                <w:szCs w:val="20"/>
              </w:rPr>
            </w:pPr>
            <w:r w:rsidRPr="004F50BE">
              <w:rPr>
                <w:sz w:val="20"/>
                <w:szCs w:val="20"/>
              </w:rPr>
              <w:t>CRLB</w:t>
            </w:r>
          </w:p>
        </w:tc>
      </w:tr>
    </w:tbl>
    <w:p w14:paraId="20BFB02E" w14:textId="77777777" w:rsidR="00C91C13" w:rsidRPr="004F50BE" w:rsidRDefault="00C91C13" w:rsidP="00C91C13">
      <w:pPr>
        <w:spacing w:line="240" w:lineRule="auto"/>
        <w:rPr>
          <w:sz w:val="16"/>
          <w:szCs w:val="16"/>
        </w:rPr>
      </w:pPr>
      <w:r w:rsidRPr="004F50BE">
        <w:rPr>
          <w:sz w:val="16"/>
          <w:szCs w:val="16"/>
        </w:rPr>
        <w:t xml:space="preserve">VOI: volume of interest; TR: repetition time; TE: echo time; HERCULES:  Hadamard Editing Resolves Chemicals Using Linear- combination Estimation of Spectra; </w:t>
      </w:r>
      <w:proofErr w:type="spellStart"/>
      <w:r w:rsidRPr="004F50BE">
        <w:rPr>
          <w:sz w:val="16"/>
          <w:szCs w:val="16"/>
        </w:rPr>
        <w:t>mPFC</w:t>
      </w:r>
      <w:proofErr w:type="spellEnd"/>
      <w:r w:rsidRPr="004F50BE">
        <w:rPr>
          <w:sz w:val="16"/>
          <w:szCs w:val="16"/>
        </w:rPr>
        <w:t>: medial prefrontal cortex; WET: water suppression enhanced through T1 effects; SNR: signal-to-noise ratio; NAA: N-</w:t>
      </w:r>
      <w:proofErr w:type="spellStart"/>
      <w:r w:rsidRPr="004F50BE">
        <w:rPr>
          <w:sz w:val="16"/>
          <w:szCs w:val="16"/>
        </w:rPr>
        <w:t>Acetylaspartic</w:t>
      </w:r>
      <w:proofErr w:type="spellEnd"/>
      <w:r w:rsidRPr="004F50BE">
        <w:rPr>
          <w:sz w:val="16"/>
          <w:szCs w:val="16"/>
        </w:rPr>
        <w:t xml:space="preserve"> acid; CRLB: </w:t>
      </w:r>
      <w:proofErr w:type="spellStart"/>
      <w:r w:rsidRPr="004F50BE">
        <w:rPr>
          <w:sz w:val="16"/>
          <w:szCs w:val="16"/>
        </w:rPr>
        <w:t>Cramér</w:t>
      </w:r>
      <w:proofErr w:type="spellEnd"/>
      <w:r w:rsidRPr="004F50BE">
        <w:rPr>
          <w:sz w:val="16"/>
          <w:szCs w:val="16"/>
        </w:rPr>
        <w:t>-Rao lower bounds</w:t>
      </w:r>
    </w:p>
    <w:p w14:paraId="74D68988" w14:textId="77777777" w:rsidR="00C91C13" w:rsidRPr="004F50BE" w:rsidRDefault="00C91C13" w:rsidP="00C91C13">
      <w:pPr>
        <w:pStyle w:val="Caption"/>
        <w:keepNext/>
        <w:sectPr w:rsidR="00C91C13" w:rsidRPr="004F50BE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56728C8" w14:textId="77777777" w:rsidR="00C91C13" w:rsidRPr="004F50BE" w:rsidRDefault="00C91C13" w:rsidP="00C91C13">
      <w:pPr>
        <w:pStyle w:val="Caption"/>
        <w:keepNext/>
        <w:rPr>
          <w:b w:val="0"/>
          <w:bCs w:val="0"/>
        </w:rPr>
      </w:pPr>
      <w:bookmarkStart w:id="1" w:name="_Ref199767227"/>
      <w:r w:rsidRPr="004F50BE">
        <w:lastRenderedPageBreak/>
        <w:t xml:space="preserve">Supplemental Table </w:t>
      </w:r>
      <w:r>
        <w:fldChar w:fldCharType="begin"/>
      </w:r>
      <w:r>
        <w:instrText>SEQ Supplemental_Table \* ARABIC</w:instrText>
      </w:r>
      <w:r>
        <w:fldChar w:fldCharType="separate"/>
      </w:r>
      <w:r w:rsidRPr="004F50BE">
        <w:rPr>
          <w:noProof/>
        </w:rPr>
        <w:t>2</w:t>
      </w:r>
      <w:r>
        <w:fldChar w:fldCharType="end"/>
      </w:r>
      <w:bookmarkEnd w:id="1"/>
      <w:r w:rsidRPr="004F50BE">
        <w:t xml:space="preserve">. </w:t>
      </w:r>
      <w:r w:rsidRPr="004F50BE">
        <w:rPr>
          <w:b w:val="0"/>
          <w:bCs w:val="0"/>
        </w:rPr>
        <w:t>CRED-</w:t>
      </w:r>
      <w:proofErr w:type="spellStart"/>
      <w:r w:rsidRPr="004F50BE">
        <w:rPr>
          <w:b w:val="0"/>
          <w:bCs w:val="0"/>
        </w:rPr>
        <w:t>nf</w:t>
      </w:r>
      <w:proofErr w:type="spellEnd"/>
      <w:r w:rsidRPr="004F50BE">
        <w:rPr>
          <w:b w:val="0"/>
          <w:bCs w:val="0"/>
        </w:rPr>
        <w:t xml:space="preserve"> best practices checklist.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0"/>
        <w:gridCol w:w="460"/>
        <w:gridCol w:w="5734"/>
        <w:gridCol w:w="2072"/>
      </w:tblGrid>
      <w:tr w:rsidR="00C91C13" w:rsidRPr="004F50BE" w14:paraId="0BD5B796" w14:textId="77777777" w:rsidTr="00522F62">
        <w:tc>
          <w:tcPr>
            <w:tcW w:w="307" w:type="pct"/>
            <w:tcBorders>
              <w:top w:val="single" w:sz="18" w:space="0" w:color="auto"/>
            </w:tcBorders>
          </w:tcPr>
          <w:p w14:paraId="41945C98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b/>
                <w:bCs/>
                <w:sz w:val="18"/>
                <w:szCs w:val="18"/>
              </w:rPr>
              <w:t>Domain</w:t>
            </w:r>
          </w:p>
        </w:tc>
        <w:tc>
          <w:tcPr>
            <w:tcW w:w="198" w:type="pct"/>
            <w:tcBorders>
              <w:top w:val="single" w:sz="18" w:space="0" w:color="auto"/>
            </w:tcBorders>
          </w:tcPr>
          <w:p w14:paraId="73B1082F" w14:textId="77777777" w:rsidR="00C91C13" w:rsidRPr="004F50BE" w:rsidRDefault="00C91C13" w:rsidP="00522F62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4F50BE">
              <w:rPr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262" w:type="pct"/>
            <w:tcBorders>
              <w:top w:val="single" w:sz="18" w:space="0" w:color="auto"/>
            </w:tcBorders>
          </w:tcPr>
          <w:p w14:paraId="6993F286" w14:textId="77777777" w:rsidR="00C91C13" w:rsidRPr="004F50BE" w:rsidRDefault="00C91C13" w:rsidP="00522F62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4F50BE">
              <w:rPr>
                <w:b/>
                <w:bCs/>
                <w:sz w:val="18"/>
                <w:szCs w:val="18"/>
              </w:rPr>
              <w:t>Checklist item</w:t>
            </w:r>
          </w:p>
        </w:tc>
        <w:tc>
          <w:tcPr>
            <w:tcW w:w="1234" w:type="pct"/>
            <w:tcBorders>
              <w:top w:val="single" w:sz="18" w:space="0" w:color="auto"/>
            </w:tcBorders>
          </w:tcPr>
          <w:p w14:paraId="6BCBFDD5" w14:textId="77777777" w:rsidR="00C91C13" w:rsidRPr="004F50BE" w:rsidRDefault="00C91C13" w:rsidP="00522F62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4F50BE">
              <w:rPr>
                <w:b/>
                <w:bCs/>
                <w:sz w:val="18"/>
                <w:szCs w:val="18"/>
              </w:rPr>
              <w:t>Section</w:t>
            </w:r>
          </w:p>
        </w:tc>
      </w:tr>
      <w:tr w:rsidR="00C91C13" w:rsidRPr="004F50BE" w14:paraId="4E63632D" w14:textId="77777777" w:rsidTr="00522F62">
        <w:tc>
          <w:tcPr>
            <w:tcW w:w="5000" w:type="pct"/>
            <w:gridSpan w:val="4"/>
            <w:tcBorders>
              <w:top w:val="single" w:sz="18" w:space="0" w:color="auto"/>
              <w:bottom w:val="single" w:sz="4" w:space="0" w:color="BFBFBF" w:themeColor="background1" w:themeShade="BF"/>
            </w:tcBorders>
          </w:tcPr>
          <w:p w14:paraId="20F0BBDA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Pre-experiment</w:t>
            </w:r>
          </w:p>
        </w:tc>
      </w:tr>
      <w:tr w:rsidR="00C91C13" w:rsidRPr="004F50BE" w14:paraId="7DE22F62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5E08C0A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2693B8B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1a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A1E0A27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Pre-register experimental protocol and planned analyses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D785F06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Trial registration</w:t>
            </w:r>
          </w:p>
        </w:tc>
      </w:tr>
      <w:tr w:rsidR="00C91C13" w:rsidRPr="004F50BE" w14:paraId="4ACEF2E3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940CA5F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5A07D71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1b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8F95D93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Justify sample size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1879E42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Aim 1a: Target engagement</w:t>
            </w:r>
          </w:p>
        </w:tc>
      </w:tr>
      <w:tr w:rsidR="00C91C13" w:rsidRPr="004F50BE" w14:paraId="043BE9D6" w14:textId="77777777" w:rsidTr="00522F62">
        <w:tc>
          <w:tcPr>
            <w:tcW w:w="5000" w:type="pct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048CF0E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Control-groups</w:t>
            </w:r>
          </w:p>
        </w:tc>
      </w:tr>
      <w:tr w:rsidR="00C91C13" w:rsidRPr="004F50BE" w14:paraId="5256F3C3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9866E7E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5499F05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2a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4663BCC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Employ control group(s) or control condition(s)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110F36A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Randomization</w:t>
            </w:r>
          </w:p>
        </w:tc>
      </w:tr>
      <w:tr w:rsidR="00C91C13" w:rsidRPr="004F50BE" w14:paraId="790D77BF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CD259E7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CCFD97E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2b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CD7AA3D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When leveraging experimental designs where a double-blind is possible, use a double-blind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8AABC7A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Randomization</w:t>
            </w:r>
          </w:p>
        </w:tc>
      </w:tr>
      <w:tr w:rsidR="00C91C13" w:rsidRPr="004F50BE" w14:paraId="4E4EE122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4B7DC04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C804238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2c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F79441A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Blind those who rate the outcomes, and when possible, the statisticians involved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A364055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Randomization</w:t>
            </w:r>
          </w:p>
        </w:tc>
      </w:tr>
      <w:tr w:rsidR="00C91C13" w:rsidRPr="004F50BE" w14:paraId="3A9E3158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31FB08A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1C47A25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2d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98EB961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Examine to what extent participants and experimenters remain blinded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36A9335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Randomization</w:t>
            </w:r>
          </w:p>
        </w:tc>
      </w:tr>
      <w:tr w:rsidR="00C91C13" w:rsidRPr="004F50BE" w14:paraId="1EEB5829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1D7D5AF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02D76D0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2e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B33D40A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In clinical efficacy studies, employ a standard-of-care intervention group as a benchmark for improvement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E5A7299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N/A</w:t>
            </w:r>
          </w:p>
        </w:tc>
      </w:tr>
      <w:tr w:rsidR="00C91C13" w:rsidRPr="004F50BE" w14:paraId="6FC2F024" w14:textId="77777777" w:rsidTr="00522F62">
        <w:tc>
          <w:tcPr>
            <w:tcW w:w="5000" w:type="pct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5A1EB0B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Control measures</w:t>
            </w:r>
          </w:p>
        </w:tc>
      </w:tr>
      <w:tr w:rsidR="00C91C13" w:rsidRPr="004F50BE" w14:paraId="137018CA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4838B8B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58D0DB7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3a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F54047D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rFonts w:eastAsia="Arial"/>
                <w:sz w:val="18"/>
                <w:szCs w:val="18"/>
              </w:rPr>
              <w:t>Collect data on psychosocial factors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53D158B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Assessments</w:t>
            </w:r>
          </w:p>
        </w:tc>
      </w:tr>
      <w:tr w:rsidR="00C91C13" w:rsidRPr="004F50BE" w14:paraId="363E4BBC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E73C610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A8234FF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3b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037E4AC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rFonts w:eastAsia="Arial"/>
                <w:sz w:val="18"/>
                <w:szCs w:val="18"/>
              </w:rPr>
              <w:t>Report whether participants were provided with a strategy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B4C3947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Mindfulness training</w:t>
            </w:r>
          </w:p>
        </w:tc>
      </w:tr>
      <w:tr w:rsidR="00C91C13" w:rsidRPr="004F50BE" w14:paraId="04AEE17D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EEC4597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936609D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3c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62527B2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rFonts w:eastAsia="Arial"/>
                <w:sz w:val="18"/>
                <w:szCs w:val="18"/>
              </w:rPr>
              <w:t>Report the strategies participants used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A70CE80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Neurofeedback paradigm</w:t>
            </w:r>
          </w:p>
        </w:tc>
      </w:tr>
      <w:tr w:rsidR="00C91C13" w:rsidRPr="004F50BE" w14:paraId="3570A9B2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40D3BD8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ABDB997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3d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B85B3D0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rFonts w:eastAsia="Arial"/>
                <w:sz w:val="18"/>
                <w:szCs w:val="18"/>
              </w:rPr>
              <w:t>Report methods used for online-data processing and artifact correction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3502A3A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Neurofeedback implementation</w:t>
            </w:r>
          </w:p>
        </w:tc>
      </w:tr>
      <w:tr w:rsidR="00C91C13" w:rsidRPr="004F50BE" w14:paraId="25681CF0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E2AD51A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C3E2336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3e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6D97D26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rFonts w:eastAsia="Arial"/>
                <w:sz w:val="18"/>
                <w:szCs w:val="18"/>
              </w:rPr>
              <w:t>Report condition and group effects for artifacts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0A2ECEE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N/A</w:t>
            </w:r>
          </w:p>
        </w:tc>
      </w:tr>
      <w:tr w:rsidR="00C91C13" w:rsidRPr="004F50BE" w14:paraId="54C7A5F0" w14:textId="77777777" w:rsidTr="00522F62">
        <w:tc>
          <w:tcPr>
            <w:tcW w:w="5000" w:type="pct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62AD8B0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Feedback specifications</w:t>
            </w:r>
          </w:p>
        </w:tc>
      </w:tr>
      <w:tr w:rsidR="00C91C13" w:rsidRPr="004F50BE" w14:paraId="2DEE6305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A35C567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BE2B265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4a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2E2AC73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rFonts w:eastAsia="Arial"/>
                <w:sz w:val="18"/>
                <w:szCs w:val="18"/>
              </w:rPr>
              <w:t>Report how the online-feature extraction was defined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CFE96DC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Neurofeedback implementation</w:t>
            </w:r>
          </w:p>
        </w:tc>
      </w:tr>
      <w:tr w:rsidR="00C91C13" w:rsidRPr="004F50BE" w14:paraId="4DC22B7D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D597C47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D0171E1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4b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B7AA686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rFonts w:eastAsia="Arial"/>
                <w:sz w:val="18"/>
                <w:szCs w:val="18"/>
              </w:rPr>
              <w:t>Report and justify the reinforcement schedule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B5317BB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Neurofeedback display and interaction</w:t>
            </w:r>
          </w:p>
        </w:tc>
      </w:tr>
      <w:tr w:rsidR="00C91C13" w:rsidRPr="004F50BE" w14:paraId="046C7566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D0B29FC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0567EA4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4c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145281B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rFonts w:eastAsia="Arial"/>
                <w:sz w:val="18"/>
                <w:szCs w:val="18"/>
              </w:rPr>
              <w:t>Report the feedback modality and content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5205512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Neurofeedback display and interaction</w:t>
            </w:r>
          </w:p>
        </w:tc>
      </w:tr>
      <w:tr w:rsidR="00C91C13" w:rsidRPr="004F50BE" w14:paraId="51BF4AAA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FE08612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3844D55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4d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597AC31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rFonts w:eastAsia="Arial"/>
                <w:sz w:val="18"/>
                <w:szCs w:val="18"/>
              </w:rPr>
              <w:t>Collect and report all brain activity variable(s) and/or contrasts used for feedback, as displayed to experimental participants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6B5A673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Neurofeedback implementation</w:t>
            </w:r>
          </w:p>
        </w:tc>
      </w:tr>
      <w:tr w:rsidR="00C91C13" w:rsidRPr="004F50BE" w14:paraId="3F122E6F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2A04123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8EFAC56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4e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DB34A2B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rFonts w:eastAsia="Arial"/>
                <w:sz w:val="18"/>
                <w:szCs w:val="18"/>
              </w:rPr>
              <w:t>Report the hardware and software used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2310ED0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Neurofeedback implementation</w:t>
            </w:r>
          </w:p>
        </w:tc>
      </w:tr>
      <w:tr w:rsidR="00C91C13" w:rsidRPr="004F50BE" w14:paraId="17FD2BFA" w14:textId="77777777" w:rsidTr="00522F62">
        <w:tc>
          <w:tcPr>
            <w:tcW w:w="5000" w:type="pct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78C2F3E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Outcome measures</w:t>
            </w:r>
          </w:p>
        </w:tc>
      </w:tr>
      <w:tr w:rsidR="00C91C13" w:rsidRPr="004F50BE" w14:paraId="48EEC853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68CD01D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Brain</w:t>
            </w: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318CE83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5a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9B75999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rFonts w:eastAsia="Arial"/>
                <w:sz w:val="18"/>
                <w:szCs w:val="18"/>
              </w:rPr>
              <w:t>Report neurofeedback regulation success based on the feedback signal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9F50C88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N/A</w:t>
            </w:r>
          </w:p>
        </w:tc>
      </w:tr>
      <w:tr w:rsidR="00C91C13" w:rsidRPr="004F50BE" w14:paraId="300BFCA8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B87E901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8027E76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5b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2BA706D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rFonts w:eastAsia="Arial"/>
                <w:sz w:val="18"/>
                <w:szCs w:val="18"/>
              </w:rPr>
              <w:t>Plot within-session and between-session regulation blocks of feedback variable(s), as well as pre-to-post resting baselines or contrasts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577CD4F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N/A</w:t>
            </w:r>
          </w:p>
        </w:tc>
      </w:tr>
      <w:tr w:rsidR="00C91C13" w:rsidRPr="004F50BE" w14:paraId="25A534CE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6E89245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34047B8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5c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40C31D7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rFonts w:eastAsia="Arial"/>
                <w:sz w:val="18"/>
                <w:szCs w:val="18"/>
              </w:rPr>
              <w:t>Statistically compare the experimental condition/group to the control condition(s)/group(s) (not only each group to baseline measures)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2E0D056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N/A</w:t>
            </w:r>
          </w:p>
        </w:tc>
      </w:tr>
      <w:tr w:rsidR="00C91C13" w:rsidRPr="004F50BE" w14:paraId="33D90FC3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DE79A34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Behavior</w:t>
            </w: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9138EC9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6a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E59A351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rFonts w:eastAsia="Arial"/>
                <w:sz w:val="18"/>
                <w:szCs w:val="18"/>
              </w:rPr>
              <w:t>Include measures of clinical or behavioural significance, defined a priori, and describe whether they were reached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FDB1C4A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N/A</w:t>
            </w:r>
          </w:p>
        </w:tc>
      </w:tr>
      <w:tr w:rsidR="00C91C13" w:rsidRPr="004F50BE" w14:paraId="60163175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93E6D41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AF2200B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6b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5C42023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rFonts w:eastAsia="Arial"/>
                <w:sz w:val="18"/>
                <w:szCs w:val="18"/>
              </w:rPr>
              <w:t>Run correlational analyses between regulation success and behavioural outcomes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011A5E6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N/A</w:t>
            </w:r>
          </w:p>
        </w:tc>
      </w:tr>
      <w:tr w:rsidR="00C91C13" w:rsidRPr="004F50BE" w14:paraId="5E84C3E2" w14:textId="77777777" w:rsidTr="00522F62">
        <w:tc>
          <w:tcPr>
            <w:tcW w:w="5000" w:type="pct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E744B97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Data storage</w:t>
            </w:r>
          </w:p>
        </w:tc>
      </w:tr>
      <w:tr w:rsidR="00C91C13" w:rsidRPr="004F50BE" w14:paraId="35EA2212" w14:textId="77777777" w:rsidTr="00522F62">
        <w:tc>
          <w:tcPr>
            <w:tcW w:w="307" w:type="pct"/>
            <w:tcBorders>
              <w:top w:val="single" w:sz="4" w:space="0" w:color="BFBFBF" w:themeColor="background1" w:themeShade="BF"/>
              <w:bottom w:val="single" w:sz="18" w:space="0" w:color="auto"/>
            </w:tcBorders>
          </w:tcPr>
          <w:p w14:paraId="265BA1C0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BFBFBF" w:themeColor="background1" w:themeShade="BF"/>
              <w:bottom w:val="single" w:sz="18" w:space="0" w:color="auto"/>
            </w:tcBorders>
          </w:tcPr>
          <w:p w14:paraId="245904C4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7a</w:t>
            </w:r>
          </w:p>
        </w:tc>
        <w:tc>
          <w:tcPr>
            <w:tcW w:w="3262" w:type="pct"/>
            <w:tcBorders>
              <w:top w:val="single" w:sz="4" w:space="0" w:color="BFBFBF" w:themeColor="background1" w:themeShade="BF"/>
              <w:bottom w:val="single" w:sz="18" w:space="0" w:color="auto"/>
            </w:tcBorders>
          </w:tcPr>
          <w:p w14:paraId="061887A8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Upload all materials, analysis scripts, code, and raw data used for analyses, as well as final values, to an open access data repository, when feasible</w:t>
            </w:r>
          </w:p>
        </w:tc>
        <w:tc>
          <w:tcPr>
            <w:tcW w:w="1234" w:type="pct"/>
            <w:tcBorders>
              <w:top w:val="single" w:sz="4" w:space="0" w:color="BFBFBF" w:themeColor="background1" w:themeShade="BF"/>
              <w:bottom w:val="single" w:sz="18" w:space="0" w:color="auto"/>
            </w:tcBorders>
          </w:tcPr>
          <w:p w14:paraId="7618F133" w14:textId="77777777" w:rsidR="00C91C13" w:rsidRPr="004F50BE" w:rsidRDefault="00C91C13" w:rsidP="00522F62">
            <w:pPr>
              <w:spacing w:line="240" w:lineRule="auto"/>
              <w:rPr>
                <w:sz w:val="18"/>
                <w:szCs w:val="18"/>
              </w:rPr>
            </w:pPr>
            <w:r w:rsidRPr="004F50BE">
              <w:rPr>
                <w:sz w:val="18"/>
                <w:szCs w:val="18"/>
              </w:rPr>
              <w:t>GITHUB</w:t>
            </w:r>
          </w:p>
        </w:tc>
      </w:tr>
    </w:tbl>
    <w:p w14:paraId="178A438D" w14:textId="77777777" w:rsidR="001C0341" w:rsidRDefault="001C0341"/>
    <w:sectPr w:rsidR="001C03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8161C"/>
    <w:multiLevelType w:val="hybridMultilevel"/>
    <w:tmpl w:val="FF3C4064"/>
    <w:lvl w:ilvl="0" w:tplc="74E29AD4">
      <w:start w:val="1"/>
      <w:numFmt w:val="lowerLetter"/>
      <w:suff w:val="space"/>
      <w:lvlText w:val="%1."/>
      <w:lvlJc w:val="left"/>
      <w:pPr>
        <w:ind w:left="57" w:hanging="5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44D59"/>
    <w:multiLevelType w:val="hybridMultilevel"/>
    <w:tmpl w:val="FAE0FDD8"/>
    <w:lvl w:ilvl="0" w:tplc="A27295FC">
      <w:start w:val="1"/>
      <w:numFmt w:val="lowerLetter"/>
      <w:suff w:val="space"/>
      <w:lvlText w:val="%1."/>
      <w:lvlJc w:val="left"/>
      <w:pPr>
        <w:ind w:left="57" w:hanging="5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72009"/>
    <w:multiLevelType w:val="hybridMultilevel"/>
    <w:tmpl w:val="FF9C94B4"/>
    <w:lvl w:ilvl="0" w:tplc="E6DACE40">
      <w:start w:val="1"/>
      <w:numFmt w:val="lowerLetter"/>
      <w:suff w:val="space"/>
      <w:lvlText w:val="%1."/>
      <w:lvlJc w:val="left"/>
      <w:pPr>
        <w:ind w:left="57" w:hanging="5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7E065C"/>
    <w:multiLevelType w:val="hybridMultilevel"/>
    <w:tmpl w:val="4A16C580"/>
    <w:lvl w:ilvl="0" w:tplc="5D5AB4AC">
      <w:start w:val="1"/>
      <w:numFmt w:val="lowerLetter"/>
      <w:suff w:val="space"/>
      <w:lvlText w:val="%1."/>
      <w:lvlJc w:val="left"/>
      <w:pPr>
        <w:ind w:left="57" w:hanging="5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54EDC"/>
    <w:multiLevelType w:val="hybridMultilevel"/>
    <w:tmpl w:val="9E18A98A"/>
    <w:lvl w:ilvl="0" w:tplc="AEC66AC2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C13"/>
    <w:rsid w:val="001C0341"/>
    <w:rsid w:val="003801EA"/>
    <w:rsid w:val="00476FA8"/>
    <w:rsid w:val="00C9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579AC"/>
  <w15:chartTrackingRefBased/>
  <w15:docId w15:val="{DCD55318-EA6F-4BD1-AFB4-E83E9009A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C13"/>
    <w:pPr>
      <w:spacing w:line="360" w:lineRule="auto"/>
    </w:pPr>
    <w:rPr>
      <w:rFonts w:cs="Arial"/>
      <w:kern w:val="2"/>
      <w:sz w:val="24"/>
      <w:szCs w:val="24"/>
      <w:lang w:val="en-C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C13"/>
    <w:pPr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C13"/>
    <w:rPr>
      <w:rFonts w:cs="Arial"/>
      <w:b/>
      <w:bCs/>
      <w:kern w:val="2"/>
      <w:sz w:val="24"/>
      <w:szCs w:val="24"/>
      <w:lang w:val="en-CA"/>
      <w14:ligatures w14:val="standardContextual"/>
    </w:rPr>
  </w:style>
  <w:style w:type="paragraph" w:styleId="ListParagraph">
    <w:name w:val="List Paragraph"/>
    <w:basedOn w:val="Normal"/>
    <w:uiPriority w:val="34"/>
    <w:qFormat/>
    <w:rsid w:val="00C91C13"/>
    <w:pPr>
      <w:ind w:left="720"/>
      <w:contextualSpacing/>
    </w:pPr>
  </w:style>
  <w:style w:type="table" w:styleId="TableGrid">
    <w:name w:val="Table Grid"/>
    <w:basedOn w:val="TableNormal"/>
    <w:uiPriority w:val="39"/>
    <w:rsid w:val="00C91C13"/>
    <w:pPr>
      <w:spacing w:after="0" w:line="240" w:lineRule="auto"/>
    </w:pPr>
    <w:rPr>
      <w:kern w:val="2"/>
      <w:sz w:val="24"/>
      <w:szCs w:val="24"/>
      <w:lang w:val="en-C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91C13"/>
    <w:pPr>
      <w:spacing w:after="0" w:line="240" w:lineRule="auto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3349</Characters>
  <Application>Microsoft Office Word</Application>
  <DocSecurity>0</DocSecurity>
  <Lines>27</Lines>
  <Paragraphs>7</Paragraphs>
  <ScaleCrop>false</ScaleCrop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Dimanche cilicia Nepolean Dimanche (Integra)</dc:creator>
  <cp:keywords/>
  <dc:description/>
  <cp:lastModifiedBy>Dimanche cilicia Nepolean Dimanche (Integra)</cp:lastModifiedBy>
  <cp:revision>1</cp:revision>
  <dcterms:created xsi:type="dcterms:W3CDTF">2025-10-22T09:40:00Z</dcterms:created>
  <dcterms:modified xsi:type="dcterms:W3CDTF">2025-10-22T09:41:00Z</dcterms:modified>
</cp:coreProperties>
</file>