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C6915">
      <w:pPr>
        <w:pStyle w:val="2"/>
        <w:keepNext w:val="0"/>
        <w:keepLines w:val="0"/>
        <w:widowControl/>
        <w:suppressLineNumbers w:val="0"/>
        <w:pBdr>
          <w:bottom w:val="single" w:color="D5D5D5" w:sz="12" w:space="4"/>
        </w:pBdr>
        <w:shd w:val="clear" w:fill="FFFFFF"/>
        <w:spacing w:before="0" w:beforeAutospacing="0" w:after="0" w:afterAutospacing="0" w:line="15" w:lineRule="atLeast"/>
        <w:ind w:left="0" w:right="0" w:firstLine="0"/>
        <w:jc w:val="center"/>
        <w:rPr>
          <w:rFonts w:ascii="Trebuchet MS" w:hAnsi="Trebuchet MS" w:eastAsia="Trebuchet MS" w:cs="Trebuchet MS"/>
          <w:b/>
          <w:bCs/>
          <w:i w:val="0"/>
          <w:iCs w:val="0"/>
          <w:caps w:val="0"/>
          <w:color w:val="1B3051"/>
          <w:spacing w:val="0"/>
        </w:rPr>
      </w:pPr>
      <w:r>
        <w:rPr>
          <w:rFonts w:hint="default" w:ascii="Trebuchet MS" w:hAnsi="Trebuchet MS" w:eastAsia="Trebuchet MS" w:cs="Trebuchet MS"/>
          <w:b/>
          <w:bCs/>
          <w:i w:val="0"/>
          <w:iCs w:val="0"/>
          <w:caps w:val="0"/>
          <w:color w:val="1B3051"/>
          <w:spacing w:val="0"/>
          <w:shd w:val="clear" w:fill="FFFFFF"/>
        </w:rPr>
        <w:t>supplementary material</w:t>
      </w:r>
    </w:p>
    <w:p w14:paraId="2DEC9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</w:pPr>
    </w:p>
    <w:p w14:paraId="146A3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</w:pPr>
    </w:p>
    <w:p w14:paraId="2E05B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</w:pPr>
    </w:p>
    <w:p w14:paraId="60647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>Supplementary Table 1. Comparative Demographic and Clinical Characteristics of Adolescent and Adult Patients Hospitalized for Drug Overdose Suicide Attempts (N=604)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  <w:t>​</w:t>
      </w:r>
    </w:p>
    <w:p w14:paraId="5A5FC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vertAlign w:val="baseline"/>
        </w:rPr>
      </w:pPr>
    </w:p>
    <w:tbl>
      <w:tblPr>
        <w:tblStyle w:val="4"/>
        <w:tblW w:w="4459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097"/>
        <w:gridCol w:w="1189"/>
        <w:gridCol w:w="1301"/>
        <w:gridCol w:w="1070"/>
        <w:gridCol w:w="864"/>
      </w:tblGrid>
      <w:tr w14:paraId="28265B6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top"/>
          </w:tcPr>
          <w:p w14:paraId="06F7043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Variables categories</w:t>
            </w:r>
          </w:p>
        </w:tc>
        <w:tc>
          <w:tcPr>
            <w:tcW w:w="2366" w:type="pct"/>
            <w:gridSpan w:val="3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0D12C2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Numbers of patients</w:t>
            </w:r>
          </w:p>
        </w:tc>
        <w:tc>
          <w:tcPr>
            <w:tcW w:w="57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B91D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/>
                <w:iCs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384EAA5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12" w:hRule="atLeast"/>
        </w:trPr>
        <w:tc>
          <w:tcPr>
            <w:tcW w:w="2059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5F7A83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0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0C8C4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Total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N=604(%)</w:t>
            </w:r>
          </w:p>
        </w:tc>
        <w:tc>
          <w:tcPr>
            <w:tcW w:w="865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D0857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Adolescents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(n=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296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709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27486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Adults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(n=3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574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E1850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EC7EC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80F4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Gender</w:t>
            </w:r>
          </w:p>
        </w:tc>
        <w:tc>
          <w:tcPr>
            <w:tcW w:w="790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94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5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B0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C24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4" w:type="pct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C8B0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0.022</w:t>
            </w:r>
          </w:p>
        </w:tc>
      </w:tr>
      <w:tr w14:paraId="35A2F5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5956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Male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285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147(24.3)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D5D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60(20.3)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9C2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87(28.2)</w:t>
            </w:r>
          </w:p>
        </w:tc>
        <w:tc>
          <w:tcPr>
            <w:tcW w:w="57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B700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265D0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FCC3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Female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0350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457(75.7)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08C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236(79.7)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9A3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221(71.8)</w:t>
            </w:r>
          </w:p>
        </w:tc>
        <w:tc>
          <w:tcPr>
            <w:tcW w:w="574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CFA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D0AF25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A368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Place of residence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FB9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00C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C29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F754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0.651</w:t>
            </w:r>
          </w:p>
        </w:tc>
      </w:tr>
      <w:tr w14:paraId="58B649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51B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 w:firstLine="210" w:firstLineChars="10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Urban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AE7F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329(54.5)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B0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164(55.4)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A39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165(53.6)</w:t>
            </w:r>
          </w:p>
        </w:tc>
        <w:tc>
          <w:tcPr>
            <w:tcW w:w="574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AA0B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D62E5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6004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 w:firstLine="210" w:firstLineChars="10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Rural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7FB4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275(45.5)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678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132(44.6)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D9C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143(46.4)</w:t>
            </w:r>
          </w:p>
        </w:tc>
        <w:tc>
          <w:tcPr>
            <w:tcW w:w="574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E6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BA910F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A8E7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Prior psychiatric contact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C76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A33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40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AA2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83CB2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925C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 w:firstLine="210" w:firstLineChars="10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0utpatients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9E1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514(85.1)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FFC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279(94.3)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182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235(76.3)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98A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</w:tr>
      <w:tr w14:paraId="4ECA372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E232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 w:firstLine="210" w:firstLineChars="10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Hospitalization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D88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314(52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EBE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186(62.8)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2BD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128(41.6)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5C6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</w:tr>
      <w:tr w14:paraId="343C52D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2BDF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Aftercare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6803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ED5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23B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E4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A713B3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C88F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Hospitalization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1DED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145(24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BFA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85(28.7)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44B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60(19.5)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D8F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0.05</w:t>
            </w:r>
          </w:p>
        </w:tc>
      </w:tr>
      <w:tr w14:paraId="2F25D45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FC6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Outpatient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D7CF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286(47.7)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EA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152(51.4)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F3D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134(43.5)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12B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&gt;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0.05</w:t>
            </w:r>
          </w:p>
        </w:tc>
      </w:tr>
      <w:tr w14:paraId="3A60BE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5F68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Home(No follow-up)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8E95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172(28.5)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DE9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59(19.9)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E10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113(36.7)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081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0.05</w:t>
            </w:r>
          </w:p>
        </w:tc>
      </w:tr>
      <w:tr w14:paraId="263E899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AAF8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Concomitant use of alcohol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F99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42(7)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1B7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10(3.4)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D2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32(10.4)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CFB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&lt;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</w:tr>
      <w:tr w14:paraId="75535B6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AA9E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Polypharmacy (≥3 ATC)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5B57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147(24.3)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769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86(29.1)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AB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61(19.8)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D80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0.008</w:t>
            </w:r>
          </w:p>
        </w:tc>
      </w:tr>
      <w:tr w14:paraId="3E64E0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59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380864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Repeated overdose</w:t>
            </w:r>
          </w:p>
        </w:tc>
        <w:tc>
          <w:tcPr>
            <w:tcW w:w="790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46D6E7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20(3.3)</w:t>
            </w:r>
          </w:p>
        </w:tc>
        <w:tc>
          <w:tcPr>
            <w:tcW w:w="8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1FD3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11(3.7)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B3BE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9(2.9)</w:t>
            </w:r>
          </w:p>
        </w:tc>
        <w:tc>
          <w:tcPr>
            <w:tcW w:w="5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0DD3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>0.586</w:t>
            </w:r>
          </w:p>
        </w:tc>
      </w:tr>
    </w:tbl>
    <w:p w14:paraId="5D665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200" w:firstLineChars="10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GB" w:eastAsia="zh-CN" w:bidi="ar-SA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0"/>
          <w:szCs w:val="20"/>
          <w:shd w:val="clear" w:fill="FFFFFF"/>
          <w:vertAlign w:val="baseline"/>
        </w:rPr>
        <w:t>Note: All clinical indicator</w:t>
      </w:r>
      <w:bookmarkStart w:id="0" w:name="_GoBack"/>
      <w:bookmarkEnd w:id="0"/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0"/>
          <w:szCs w:val="20"/>
          <w:shd w:val="clear" w:fill="FFFFFF"/>
          <w:vertAlign w:val="baseline"/>
        </w:rPr>
        <w:t>s refer to the initial overdose event. Percentages are based on the patient cohort (N=604) and describe characteristics of the first recorded event.</w:t>
      </w:r>
      <w:r>
        <w:rPr>
          <w:rStyle w:val="7"/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baseline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baseline"/>
        </w:rPr>
        <w:t>P-values were derived from chi-square tests.</w:t>
      </w:r>
    </w:p>
    <w:p w14:paraId="26EE1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</w:pPr>
    </w:p>
    <w:p w14:paraId="2B87A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 xml:space="preserve">Supplementary Table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>. Drug Classification and Mapping to the Anatomical Therapeutic Chemical (ATC) System</w:t>
      </w:r>
    </w:p>
    <w:tbl>
      <w:tblPr>
        <w:tblStyle w:val="4"/>
        <w:tblW w:w="849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3247"/>
        <w:gridCol w:w="3144"/>
        <w:gridCol w:w="2107"/>
      </w:tblGrid>
      <w:tr w14:paraId="6BE900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3247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17D11E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GB" w:eastAsia="zh-CN" w:bidi="ar-SA"/>
              </w:rPr>
              <w:t>Drug Category</w:t>
            </w:r>
          </w:p>
        </w:tc>
        <w:tc>
          <w:tcPr>
            <w:tcW w:w="3144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723558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GB" w:eastAsia="zh-CN" w:bidi="ar-SA"/>
              </w:rPr>
              <w:t>Example Agents</w:t>
            </w:r>
          </w:p>
        </w:tc>
        <w:tc>
          <w:tcPr>
            <w:tcW w:w="2107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58DEBC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GB" w:eastAsia="zh-CN" w:bidi="ar-SA"/>
              </w:rPr>
              <w:t>ATC Code(s)</w:t>
            </w:r>
          </w:p>
        </w:tc>
      </w:tr>
      <w:tr w14:paraId="7B7928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/>
            <w:vAlign w:val="center"/>
          </w:tcPr>
          <w:p w14:paraId="01C538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​Benzodiazepines​</w:t>
            </w:r>
          </w:p>
        </w:tc>
        <w:tc>
          <w:tcPr>
            <w:tcW w:w="3144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/>
            <w:vAlign w:val="center"/>
          </w:tcPr>
          <w:p w14:paraId="1F4CD1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Alprazolam, Lorazepam, ​Clonazepam​*​</w:t>
            </w:r>
          </w:p>
        </w:tc>
        <w:tc>
          <w:tcPr>
            <w:tcW w:w="2107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/>
            <w:vAlign w:val="center"/>
          </w:tcPr>
          <w:p w14:paraId="21BD1A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N05BA (Anxiolytics)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N05CD (Hypnotics)</w:t>
            </w:r>
          </w:p>
        </w:tc>
      </w:tr>
      <w:tr w14:paraId="20763F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93D9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​Antidepressants​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37BB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Sertraline, Fluvoxamine, Venlafaxine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C3E3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N06A</w:t>
            </w:r>
          </w:p>
        </w:tc>
      </w:tr>
      <w:tr w14:paraId="1D49B3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8960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​Antipsychotics​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7982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Olanzapine, Quetiapine, Aripiprazole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91C3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N05A</w:t>
            </w:r>
          </w:p>
        </w:tc>
      </w:tr>
      <w:tr w14:paraId="2E4A6A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668A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​Z-drugs​​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794C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Zopiclone, Eszopiclone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B0E1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N05CF</w:t>
            </w:r>
          </w:p>
        </w:tc>
      </w:tr>
      <w:tr w14:paraId="0E6398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3EB3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​Anxiolytics (non-BZD)​​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DD02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Buspirone,Tandospirone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4A6A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N05BE</w:t>
            </w:r>
          </w:p>
        </w:tc>
      </w:tr>
      <w:tr w14:paraId="62ECC8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4B2F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​Mood Stabilizers​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18E5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Lithium, Valproate,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FCC0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N05AN01 (Lithium)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N03AG01 (Valproate)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br w:type="textWrapping"/>
            </w:r>
          </w:p>
        </w:tc>
      </w:tr>
      <w:tr w14:paraId="6AE7A2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D78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​Antiparkinson anticholinergic​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2736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trihexyphenidyl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3A8E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N04AA</w:t>
            </w:r>
          </w:p>
        </w:tc>
      </w:tr>
      <w:tr w14:paraId="758304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3B82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​Systemic Antibacterials​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274A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Cephalosporins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A58F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J01</w:t>
            </w:r>
          </w:p>
        </w:tc>
      </w:tr>
      <w:tr w14:paraId="38EB0D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44A1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 w:firstLine="210" w:firstLineChars="10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GB" w:eastAsia="zh-CN" w:bidi="ar-SA"/>
              </w:rPr>
              <w:t>Other / unspecified</w:t>
            </w:r>
          </w:p>
        </w:tc>
        <w:tc>
          <w:tcPr>
            <w:tcW w:w="314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E572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5D4F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</w:tbl>
    <w:p w14:paraId="3CA18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200" w:firstLineChars="100"/>
        <w:jc w:val="left"/>
        <w:textAlignment w:val="auto"/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vertAlign w:val="baseline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*Clonazepam's primary ATC code is N03AE01 (Antiepileptic). It is included in this category due to its main clinical use as an anxiolytic/sedative in this study cohort.</w:t>
      </w:r>
    </w:p>
    <w:p w14:paraId="14908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GB" w:eastAsia="zh-CN" w:bidi="ar-SA"/>
        </w:rPr>
      </w:pPr>
    </w:p>
    <w:p w14:paraId="5EDC3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 xml:space="preserve">Supplementary Table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 xml:space="preserve">. Classification and ATC Mapping of Psychotropic Drugs from Total Overdose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>Case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>s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GB" w:eastAsia="zh-CN" w:bidi="ar-SA"/>
        </w:rPr>
        <w:t>by Age Group</w:t>
      </w:r>
    </w:p>
    <w:tbl>
      <w:tblPr>
        <w:tblStyle w:val="4"/>
        <w:tblW w:w="0" w:type="auto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017"/>
        <w:gridCol w:w="1493"/>
        <w:gridCol w:w="1700"/>
        <w:gridCol w:w="1700"/>
        <w:gridCol w:w="1700"/>
      </w:tblGrid>
      <w:tr w14:paraId="3FE0D2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2017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0199A9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Drug Category &amp; Top Agents</w:t>
            </w:r>
          </w:p>
        </w:tc>
        <w:tc>
          <w:tcPr>
            <w:tcW w:w="1493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BB7330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ATC Code(s)</w:t>
            </w:r>
          </w:p>
        </w:tc>
        <w:tc>
          <w:tcPr>
            <w:tcW w:w="1700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4A64B0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Overall (N=631)</w:t>
            </w:r>
          </w:p>
          <w:p w14:paraId="2101F2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 (%)</w:t>
            </w:r>
          </w:p>
        </w:tc>
        <w:tc>
          <w:tcPr>
            <w:tcW w:w="1700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DDB324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Adolescents (n=308)</w:t>
            </w:r>
          </w:p>
          <w:p w14:paraId="69C1AD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 (%)</w:t>
            </w:r>
          </w:p>
        </w:tc>
        <w:tc>
          <w:tcPr>
            <w:tcW w:w="1700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CA6AD3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Adults (n=323)</w:t>
            </w:r>
          </w:p>
          <w:p w14:paraId="7542BD8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 (%)</w:t>
            </w:r>
          </w:p>
        </w:tc>
      </w:tr>
      <w:tr w14:paraId="08B677D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1D7977B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Antidepressants​</w:t>
            </w:r>
          </w:p>
        </w:tc>
        <w:tc>
          <w:tcPr>
            <w:tcW w:w="1493" w:type="dxa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228F9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N06A​</w:t>
            </w:r>
          </w:p>
        </w:tc>
        <w:tc>
          <w:tcPr>
            <w:tcW w:w="1700" w:type="dxa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13AF877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296(46.9)​​</w:t>
            </w:r>
          </w:p>
        </w:tc>
        <w:tc>
          <w:tcPr>
            <w:tcW w:w="1700" w:type="dxa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25CFEC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205(66.6)​​</w:t>
            </w:r>
          </w:p>
        </w:tc>
        <w:tc>
          <w:tcPr>
            <w:tcW w:w="1700" w:type="dxa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191BFC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91(28.2)​​</w:t>
            </w:r>
          </w:p>
        </w:tc>
      </w:tr>
      <w:tr w14:paraId="4CA4497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651220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Sertraline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329135B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N06AB06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B84D83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133(21.1)​​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FA791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119(38.6)​​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58CA70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14(4.3)​​</w:t>
            </w:r>
          </w:p>
        </w:tc>
      </w:tr>
      <w:tr w14:paraId="7EAF261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03FA63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Venlafaxine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737930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N06AX16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61FAABB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78(12.4)​​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CEE2B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47(15.3)​​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95852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31(9.6)​​</w:t>
            </w:r>
          </w:p>
        </w:tc>
      </w:tr>
      <w:tr w14:paraId="1310F00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8BF42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Fluvoxamine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1F1C3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N06AB08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1D1BF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35(5.5)​​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7EBCFC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28 (9.1)​​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357EF5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7 (2.2)​​</w:t>
            </w:r>
          </w:p>
        </w:tc>
      </w:tr>
      <w:tr w14:paraId="64E01C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E5567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Antipsychotics​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2C6C07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N05A​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2617830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96(31.1)​​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4FC34C6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111(36.0)​​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7E1AD8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85(26.3)​​</w:t>
            </w:r>
          </w:p>
        </w:tc>
      </w:tr>
      <w:tr w14:paraId="30884E7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3C128E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Quetiapine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2723A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N05AH04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69D147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116(18.4)​​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1736F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​71(23.1)​​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3AC336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45(13.9)​​</w:t>
            </w:r>
          </w:p>
        </w:tc>
      </w:tr>
      <w:tr w14:paraId="167A0AD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744030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Olanzapine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B7439A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N05AH03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969D88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​60(9.5)​​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682DA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​33(10.7)​​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5B2D7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​27(8.4)​​</w:t>
            </w:r>
          </w:p>
        </w:tc>
      </w:tr>
      <w:tr w14:paraId="59EBEF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3DF12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Aripiprazole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0D3A0E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N05AX12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231BB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​10(1.6)​​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9B5A98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​6 (1.9)​​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08FA8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​4(1.2)​​</w:t>
            </w:r>
          </w:p>
        </w:tc>
      </w:tr>
      <w:tr w14:paraId="6929F59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E071D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Anxiolytics (non-BZD)​​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9AA909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N05B​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A4324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​114(18.1)​​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2FB8E3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​72(23.4)​​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F681E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​42(13.0)​​</w:t>
            </w:r>
          </w:p>
        </w:tc>
      </w:tr>
      <w:tr w14:paraId="1640D1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62C966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Tandospirone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27755D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N05BX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C5A48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​75(11.9)​​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1601000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​59(19.2)​​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2F4548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​16(5.0)​​</w:t>
            </w:r>
          </w:p>
        </w:tc>
      </w:tr>
      <w:tr w14:paraId="5B5CC92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02127E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Buspirone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68487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N05BE01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2ED264D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​40(6.3)​​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B9E0B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​26(8.4)​​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612778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​14(4.3)​​</w:t>
            </w:r>
          </w:p>
        </w:tc>
      </w:tr>
      <w:tr w14:paraId="2A36E2A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D9D7E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Benzodiazepines (BZDs)​​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268A8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N05BA, N05CD​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896BB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​198(31.4)​​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3E0CD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​60(19.5)​​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76BF0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​138(42.7)​​</w:t>
            </w:r>
          </w:p>
        </w:tc>
      </w:tr>
      <w:tr w14:paraId="670F81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3D2DD0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Lorazepam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2EB3F0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N05BA06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83872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​67(10.6)​​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1B13F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​31(10.1)​​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6C0A5E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​36(11.1)​​</w:t>
            </w:r>
          </w:p>
        </w:tc>
      </w:tr>
      <w:tr w14:paraId="4EE661F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80679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Clonazepam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0D8114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 xml:space="preserve">N03AE01 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401FD8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​52(8.2)​​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46D9E97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​7 (2.3)​​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D8CFBA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​45(13.9)​​</w:t>
            </w:r>
          </w:p>
        </w:tc>
      </w:tr>
      <w:tr w14:paraId="2BC715A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AF49A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Alprazolam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0C1E50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N05BA12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690D1E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​30(4.8)​​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87749E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​10(3.2)​​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97956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​20(6.2)​​</w:t>
            </w:r>
          </w:p>
        </w:tc>
      </w:tr>
      <w:tr w14:paraId="76088D6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549A39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Z-Drugs ​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1CD3696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N05CF​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1BC046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​50(7.9)​​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04572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​18(5.8)​​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59B2E7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​32(9.9)​​</w:t>
            </w:r>
          </w:p>
        </w:tc>
      </w:tr>
      <w:tr w14:paraId="44E1B0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2DE85A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Eszopiclone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80804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N05CF04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745DC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​32(5.1)​​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20326A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​11(3.6)​​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0B78C8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​21(6.5)​​</w:t>
            </w:r>
          </w:p>
        </w:tc>
      </w:tr>
      <w:tr w14:paraId="08C35A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677E42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Zopiclone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0694F2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N05CF01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9DEAF9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​6(1.0)​​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10FFBB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 (0.6)​​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80D6F2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​4(1.2)​​</w:t>
            </w:r>
          </w:p>
        </w:tc>
      </w:tr>
      <w:tr w14:paraId="038C7E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6D53B96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Mood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Stabilizers​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2E25A49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N03A, N05AN​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D9346A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​56(8.9)​​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1A0CEB4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​33(10.7)​​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3F048BD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​23(7.1)​​</w:t>
            </w:r>
          </w:p>
        </w:tc>
      </w:tr>
      <w:tr w14:paraId="590C4A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3175D4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Valproate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13DFD7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N03AG01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744B02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​44(7.0)​​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413F6AF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​27(8.8)​​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422AD44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​17(5.3)​​</w:t>
            </w:r>
          </w:p>
        </w:tc>
      </w:tr>
      <w:tr w14:paraId="1EFBEC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2198D3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• Lithium</w:t>
            </w:r>
          </w:p>
        </w:tc>
        <w:tc>
          <w:tcPr>
            <w:tcW w:w="1493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top"/>
          </w:tcPr>
          <w:p w14:paraId="4D45C2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N05AN01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5C0FBB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​10(1.6)​​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66E80BE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​6 (1.9)​​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bottom w:w="120" w:type="dxa"/>
              <w:right w:w="240" w:type="dxa"/>
            </w:tcMar>
            <w:vAlign w:val="center"/>
          </w:tcPr>
          <w:p w14:paraId="2E9198E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GB" w:eastAsia="zh-CN"/>
              </w:rPr>
              <w:t>​4(1.2)​​</w:t>
            </w:r>
          </w:p>
        </w:tc>
      </w:tr>
    </w:tbl>
    <w:p w14:paraId="538F52A3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4E49B1E9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005BFCF2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6A8518AC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5A463BB6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353C9BD7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16CC848B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7CE1E120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1CC30AB3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590762BE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7ED51B11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34E5285B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2412A0DA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135486E5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2B270485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348E5F39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7B814833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37C064C8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433A5138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0ECBFEF7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45C15BA8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46D669E8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35CC6BD4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1B891D86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722FD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Style w:val="6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Supplementary Figure 1. Flowchart of Patient Selection and Analytical Workflow for Drug Overdose Cases</w:t>
      </w:r>
    </w:p>
    <w:p w14:paraId="6F59111B">
      <w:pP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</w:rPr>
      </w:pPr>
    </w:p>
    <w:p w14:paraId="0E649B98">
      <w:pP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  <w:lang w:eastAsia="zh-CN"/>
        </w:rPr>
      </w:pP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vertAlign w:val="baseline"/>
          <w:lang w:eastAsia="zh-CN"/>
        </w:rPr>
        <w:drawing>
          <wp:inline distT="0" distB="0" distL="114300" distR="114300">
            <wp:extent cx="3666490" cy="4970780"/>
            <wp:effectExtent l="0" t="0" r="6350" b="12700"/>
            <wp:docPr id="1" name="图片 1" descr="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lowchar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497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7542"/>
    <w:rsid w:val="00936276"/>
    <w:rsid w:val="026003DA"/>
    <w:rsid w:val="05034DAB"/>
    <w:rsid w:val="06D575E9"/>
    <w:rsid w:val="0AE2249E"/>
    <w:rsid w:val="100131FC"/>
    <w:rsid w:val="16005770"/>
    <w:rsid w:val="17F04282"/>
    <w:rsid w:val="1B854CE1"/>
    <w:rsid w:val="1CEF78F5"/>
    <w:rsid w:val="290C07F0"/>
    <w:rsid w:val="29450CA9"/>
    <w:rsid w:val="2D0E71F7"/>
    <w:rsid w:val="33240E2C"/>
    <w:rsid w:val="34DF325D"/>
    <w:rsid w:val="363475D8"/>
    <w:rsid w:val="3D691ECD"/>
    <w:rsid w:val="408B1CF9"/>
    <w:rsid w:val="43282803"/>
    <w:rsid w:val="44112C76"/>
    <w:rsid w:val="4AFD5D93"/>
    <w:rsid w:val="54262FC6"/>
    <w:rsid w:val="54CF6125"/>
    <w:rsid w:val="558F177A"/>
    <w:rsid w:val="588E409C"/>
    <w:rsid w:val="599D4BCB"/>
    <w:rsid w:val="5B3529C3"/>
    <w:rsid w:val="5ECE1AC8"/>
    <w:rsid w:val="5F797BC3"/>
    <w:rsid w:val="5F8F77E3"/>
    <w:rsid w:val="60EB1325"/>
    <w:rsid w:val="612C3D9C"/>
    <w:rsid w:val="623C143F"/>
    <w:rsid w:val="674E19F8"/>
    <w:rsid w:val="68115C08"/>
    <w:rsid w:val="70545BA6"/>
    <w:rsid w:val="71A57103"/>
    <w:rsid w:val="72D77542"/>
    <w:rsid w:val="7448330A"/>
    <w:rsid w:val="76CC46E8"/>
    <w:rsid w:val="7727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418</Words>
  <Characters>3054</Characters>
  <Lines>0</Lines>
  <Paragraphs>0</Paragraphs>
  <TotalTime>6</TotalTime>
  <ScaleCrop>false</ScaleCrop>
  <LinksUpToDate>false</LinksUpToDate>
  <CharactersWithSpaces>3257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2025-10-25T11:45:00Z</dcterms:created>
  <dc:creator>WPS_1704849852</dc:creator>
  <cp:lastModifiedBy>WPS_1704849852</cp:lastModifiedBy>
  <dcterms:modified xsi:type="dcterms:W3CDTF">2025-11-18T17:39:24Z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ZOTERO_PREF_1">
    <vt:lpwstr>1</vt:lpwstr>
  </property>
  <property fmtid="{D5CDD505-2E9C-101B-9397-08002B2CF9AE}" pid="4" name="ZOTERO_PREF_2">
    <vt:lpwstr>1</vt:lpwstr>
  </property>
  <property fmtid="{D5CDD505-2E9C-101B-9397-08002B2CF9AE}" pid="5" name="KSOTemplateDocerSaveRecord">
    <vt:lpwstr>eyJoZGlkIjoiMDVhZDIyZGE0Zjg4Y2Q2ODc3ZWJlZTBhZWM3OTYyYjQiLCJ1c2VySWQiOiIxNTc0NzA2ODAwIn0=</vt:lpwstr>
  </property>
  <property fmtid="{D5CDD505-2E9C-101B-9397-08002B2CF9AE}" pid="6" name="ICV">
    <vt:lpwstr>7EBD120AFF12435D8BA13DF4EC60327D_13</vt:lpwstr>
  </property>
</Properties>
</file>