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1390"/>
        <w:gridCol w:w="794"/>
        <w:gridCol w:w="1390"/>
        <w:gridCol w:w="794"/>
        <w:gridCol w:w="1390"/>
        <w:gridCol w:w="803"/>
      </w:tblGrid>
      <w:tr w14:paraId="4284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CE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Supplementary Table. Logistic Regression Analyses of Baseline Predictors of Missingness at 1-, 3-, and 6-Month Follow-ups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</w:p>
        </w:tc>
      </w:tr>
      <w:tr w14:paraId="19A64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74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1148A0D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DA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1-month</w:t>
            </w:r>
          </w:p>
        </w:tc>
        <w:tc>
          <w:tcPr>
            <w:tcW w:w="127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42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3-month</w:t>
            </w:r>
          </w:p>
        </w:tc>
        <w:tc>
          <w:tcPr>
            <w:tcW w:w="127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67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6-month</w:t>
            </w:r>
          </w:p>
        </w:tc>
      </w:tr>
      <w:tr w14:paraId="079BF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3BA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821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D01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5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CFB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821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8A7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5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4FB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821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2A0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CBF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70577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A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Gender (Ref = Male)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0900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E2FD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6CEA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1CE6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9E78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23BC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E56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E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8DD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 (0.48-0.97)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D03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7E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 (0.74-1.47)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E3F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779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 (0.58-1.12)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6E4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0.191</w:t>
            </w:r>
          </w:p>
        </w:tc>
      </w:tr>
      <w:tr w14:paraId="7F73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E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Episode Status (Ref = First Episode)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1323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F7D1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BA27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80F2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EDC0A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8E8C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689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0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Recurrent episode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DA4A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(0.71-1.44)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983E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C6E9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 (0.89-1.76)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8C62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71B6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 (0.81-1.59)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544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0.450</w:t>
            </w:r>
          </w:p>
        </w:tc>
      </w:tr>
      <w:tr w14:paraId="1683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4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 history(Ref = No)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98B8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5AB4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1976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5354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B7B1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9F91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4CE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0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20E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 (0.47-1.24)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54F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64A3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(0.65-1.57)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B06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EE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(0.64-1.52)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27F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0.951</w:t>
            </w:r>
          </w:p>
        </w:tc>
      </w:tr>
      <w:tr w14:paraId="6090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5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Alcohol history(Ref = Yes)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A2314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10CF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2092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E639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714D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140E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16A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0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E9C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 (0.69-2.35)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137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DFF0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 (0.42-1.23)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1C9D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666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 (0.48-1.41)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AEA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0.470</w:t>
            </w:r>
          </w:p>
        </w:tc>
      </w:tr>
      <w:tr w14:paraId="5A9C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D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history(Ref = No)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7041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242E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EDF3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E7F2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B6E5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E0FD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A0B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4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65C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 (0.58-1.22)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1D0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0F06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 (0.73-1.45)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E78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C76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 (0.68-1.33)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BD8A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0.751</w:t>
            </w:r>
          </w:p>
        </w:tc>
      </w:tr>
      <w:tr w14:paraId="7974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4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HAMD17 no suicide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3F7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(0.97-1.02)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5D0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3452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 (1.00-1.05)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3216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E50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 (1.02-1.07)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1E8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C6E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B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HAMD17 suicide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84D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 (0.90-1.16)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C1E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229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 (0.86-1.10)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15F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316F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 (0.83-1.05)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0322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0.252</w:t>
            </w:r>
          </w:p>
        </w:tc>
      </w:tr>
      <w:tr w14:paraId="739B7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8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Sucide History (Ref = No)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3792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2C17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4748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9E4D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89A5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4EBA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3A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1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3AA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 (0.84-1.60)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E51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0AE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 (0.71-1.32)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3C43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55D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 (0.67-1.23)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FDCD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0.545</w:t>
            </w:r>
          </w:p>
        </w:tc>
      </w:tr>
      <w:tr w14:paraId="2458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8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0D6F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 (0.85-0.94)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BA81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227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 (0.88-0.97)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526C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197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 (0.81-0.88)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BF7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776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2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Illness duration(Ref = &lt; 6 months)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AE4F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F5B7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A310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7B5D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BB0A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7A3F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11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8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 – 24 months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7AD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 (0.78-1.79)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BCF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E2B5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 (0.60-1.30)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2F4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B44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 (0.38-0.83)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7E9E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09D3E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9C2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 24 months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DC65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 (0.67-1.74)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512E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0.746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AF0E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 (0.49-1.21)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D7E6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0.255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7627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 (0.40-0.96)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17A8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</w:t>
            </w:r>
          </w:p>
        </w:tc>
      </w:tr>
      <w:tr w14:paraId="25EB4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DA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Note.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Odds ratios (OR) and 95% confidence intervals (CI) were derived from logistic regression models examining whether baseline demographic and clinical characteristics predicted missingness at each follow-up time point (1-, 3-, and 6-month). An OR greater than 1 indicates a higher likelihood of missing data for that variable category.</w:t>
            </w:r>
          </w:p>
        </w:tc>
      </w:tr>
    </w:tbl>
    <w:p w14:paraId="554B7DD9">
      <w:pPr>
        <w:rPr>
          <w:rFonts w:hint="default" w:ascii="Times New Roman" w:hAnsi="Times New Roman" w:cs="Times New Roman"/>
        </w:rPr>
      </w:pPr>
    </w:p>
    <w:p w14:paraId="5DD56488">
      <w:pPr>
        <w:rPr>
          <w:rFonts w:hint="default" w:ascii="Times New Roman" w:hAnsi="Times New Roman" w:cs="Times New Roman"/>
        </w:rPr>
      </w:pPr>
    </w:p>
    <w:p w14:paraId="71D00C6F">
      <w:pPr>
        <w:rPr>
          <w:rFonts w:hint="default" w:ascii="Times New Roman" w:hAnsi="Times New Roman" w:cs="Times New Roman"/>
        </w:rPr>
      </w:pPr>
    </w:p>
    <w:p w14:paraId="097524AE">
      <w:pP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Supplementary Figure. Missing Data Patterns for Suicide Attempt Variables Across Follow-Up Time Points.</w:t>
      </w:r>
    </w:p>
    <w:p w14:paraId="7CA2B7C0">
      <w:pPr>
        <w:rPr>
          <w:rFonts w:hint="default" w:ascii="Times New Roman" w:hAnsi="Times New Roman" w:cs="Times New Roman"/>
        </w:rPr>
      </w:pPr>
    </w:p>
    <w:p w14:paraId="205CDE5A">
      <w:pPr>
        <w:rPr>
          <w:rFonts w:hint="default" w:ascii="Times New Roman" w:hAnsi="Times New Roman" w:cs="Times New Roman"/>
        </w:rPr>
      </w:pPr>
    </w:p>
    <w:p w14:paraId="76C3EC89">
      <w:pPr>
        <w:rPr>
          <w:rFonts w:hint="default" w:ascii="Times New Roman" w:hAnsi="Times New Roman" w:cs="Times New Roman"/>
        </w:rPr>
      </w:pPr>
    </w:p>
    <w:p w14:paraId="51672F6C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3040" cy="4218305"/>
            <wp:effectExtent l="0" t="0" r="0" b="3175"/>
            <wp:docPr id="1" name="图片 1" descr="Missingness_ag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issingness_agg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C506C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t>Note. Visualization of missing data patterns for suicide attempt variables at 1-, 3-, and 6-month follow-up. Bar heights indicate the number of missing (red) and observed (blue) values at each time point. The left panel summarizes the number of missing observations for each follow-up assessment, while the right panel shows combinations of missingness across follow-up time points.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55A2E"/>
    <w:rsid w:val="600414D9"/>
    <w:rsid w:val="654844A2"/>
    <w:rsid w:val="7CD6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1381</Characters>
  <Lines>0</Lines>
  <Paragraphs>0</Paragraphs>
  <TotalTime>2</TotalTime>
  <ScaleCrop>false</ScaleCrop>
  <LinksUpToDate>false</LinksUpToDate>
  <CharactersWithSpaces>1522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2025-10-23T13:57:00Z</dcterms:created>
  <dc:creator>LKR</dc:creator>
  <cp:lastModifiedBy>LKR</cp:lastModifiedBy>
  <dcterms:modified xsi:type="dcterms:W3CDTF">2025-12-17T15:17:20Z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97C0C31ECFE14F0781B5244A0A1812D4_13</vt:lpwstr>
  </property>
  <property fmtid="{D5CDD505-2E9C-101B-9397-08002B2CF9AE}" pid="4" name="KSOTemplateDocerSaveRecord">
    <vt:lpwstr>eyJoZGlkIjoiYTRlYjI5ZDlkMWU5OWE0MmQ3MDBmNzM1ZWNiOTE5ZTMiLCJ1c2VySWQiOiIzMTIzNTIwNDEifQ==</vt:lpwstr>
  </property>
</Properties>
</file>