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2AF14">
      <w:pPr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Supplementary Table S1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/>
        </w:rPr>
        <w:t xml:space="preserve">Kurdish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PHQ-13 total scores were compared across recruitment pathways. A one-way ANOVA indicated no significant differences, F(2, 531) = 1.54, p = 0.215, η² = 0.006. A Welch ANOVA, robust to unequal variances and group sizes, confirmed this result, F(2, 163.42) = 1.505, p = 0.225, indicating minimal impact of recruitment pathway on reported symptom severity, although unmeasured particip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ant characteristics may still differ between groups.</w:t>
      </w:r>
    </w:p>
    <w:p w14:paraId="19F88BEB">
      <w:pPr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4F70A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04A5015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Test</w:t>
            </w:r>
          </w:p>
        </w:tc>
        <w:tc>
          <w:tcPr>
            <w:tcW w:w="1704" w:type="dxa"/>
            <w:vAlign w:val="center"/>
          </w:tcPr>
          <w:p w14:paraId="1E0ADD97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F</w:t>
            </w:r>
          </w:p>
        </w:tc>
        <w:tc>
          <w:tcPr>
            <w:tcW w:w="1704" w:type="dxa"/>
            <w:vAlign w:val="center"/>
          </w:tcPr>
          <w:p w14:paraId="3526550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df</w:t>
            </w:r>
          </w:p>
        </w:tc>
        <w:tc>
          <w:tcPr>
            <w:tcW w:w="1705" w:type="dxa"/>
            <w:vAlign w:val="center"/>
          </w:tcPr>
          <w:p w14:paraId="157DA3F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p</w:t>
            </w:r>
          </w:p>
        </w:tc>
        <w:tc>
          <w:tcPr>
            <w:tcW w:w="1705" w:type="dxa"/>
            <w:vAlign w:val="center"/>
          </w:tcPr>
          <w:p w14:paraId="14992C49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Effect Size (η²)</w:t>
            </w:r>
          </w:p>
        </w:tc>
      </w:tr>
      <w:tr w14:paraId="5834D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726D3A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ANOVA</w:t>
            </w:r>
          </w:p>
        </w:tc>
        <w:tc>
          <w:tcPr>
            <w:tcW w:w="1704" w:type="dxa"/>
            <w:vAlign w:val="center"/>
          </w:tcPr>
          <w:p w14:paraId="6B98FA45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1.541</w:t>
            </w:r>
          </w:p>
        </w:tc>
        <w:tc>
          <w:tcPr>
            <w:tcW w:w="1704" w:type="dxa"/>
            <w:vAlign w:val="center"/>
          </w:tcPr>
          <w:p w14:paraId="5BB89AD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2, 531</w:t>
            </w:r>
          </w:p>
        </w:tc>
        <w:tc>
          <w:tcPr>
            <w:tcW w:w="1705" w:type="dxa"/>
            <w:vAlign w:val="center"/>
          </w:tcPr>
          <w:p w14:paraId="0080989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0.215</w:t>
            </w:r>
          </w:p>
        </w:tc>
        <w:tc>
          <w:tcPr>
            <w:tcW w:w="1705" w:type="dxa"/>
            <w:vAlign w:val="center"/>
          </w:tcPr>
          <w:p w14:paraId="09094B9B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0.006</w:t>
            </w:r>
          </w:p>
        </w:tc>
      </w:tr>
      <w:tr w14:paraId="2ADF1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CD4BCE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Welch ANOVA</w:t>
            </w:r>
          </w:p>
        </w:tc>
        <w:tc>
          <w:tcPr>
            <w:tcW w:w="1704" w:type="dxa"/>
            <w:vAlign w:val="center"/>
          </w:tcPr>
          <w:p w14:paraId="489F3191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1.505</w:t>
            </w:r>
          </w:p>
        </w:tc>
        <w:tc>
          <w:tcPr>
            <w:tcW w:w="1704" w:type="dxa"/>
            <w:vAlign w:val="center"/>
          </w:tcPr>
          <w:p w14:paraId="485CAFA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2, 163.42</w:t>
            </w:r>
          </w:p>
        </w:tc>
        <w:tc>
          <w:tcPr>
            <w:tcW w:w="1705" w:type="dxa"/>
            <w:vAlign w:val="center"/>
          </w:tcPr>
          <w:p w14:paraId="2B9C6C79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0.225</w:t>
            </w:r>
          </w:p>
        </w:tc>
        <w:tc>
          <w:tcPr>
            <w:tcW w:w="1705" w:type="dxa"/>
            <w:vAlign w:val="center"/>
          </w:tcPr>
          <w:p w14:paraId="6743CD5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–</w:t>
            </w:r>
          </w:p>
        </w:tc>
      </w:tr>
    </w:tbl>
    <w:p w14:paraId="6E4349AA">
      <w:pPr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</w:p>
    <w:p w14:paraId="103914B1">
      <w:pPr>
        <w:rPr>
          <w:rFonts w:hint="default" w:ascii="Times New Roman" w:hAnsi="Times New Roman" w:cs="Times New Roman"/>
        </w:rPr>
      </w:pPr>
    </w:p>
    <w:p w14:paraId="5B3504B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34743"/>
    <w:rsid w:val="6523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2026-02-28T22:04:00Z</dcterms:created>
  <dc:creator>Ibrahim Saied</dc:creator>
  <cp:lastModifiedBy>Ibrahim Saied</cp:lastModifiedBy>
  <dcterms:modified xsi:type="dcterms:W3CDTF">2026-02-28T22:05:14Z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C9B442525A374DF6BA496EC5DE473E1C_11</vt:lpwstr>
  </property>
</Properties>
</file>