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46AF2">
      <w:pPr>
        <w:shd w:val="clear"/>
        <w:tabs>
          <w:tab w:val="left" w:pos="600"/>
        </w:tabs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2"/>
          <w:szCs w:val="22"/>
          <w:highlight w:val="none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72B4D"/>
          <w:spacing w:val="0"/>
          <w:sz w:val="22"/>
          <w:szCs w:val="22"/>
          <w:highlight w:val="none"/>
          <w:shd w:val="clear" w:fill="FFFFFF"/>
          <w:lang w:val="en-US"/>
        </w:rPr>
        <w:t>Sensitivity analysis of excluded items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2"/>
          <w:szCs w:val="22"/>
          <w:highlight w:val="none"/>
          <w:shd w:val="clear" w:fill="FFFFFF"/>
          <w:lang w:val="en-US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2"/>
          <w:szCs w:val="22"/>
          <w:highlight w:val="none"/>
          <w:shd w:val="clear" w:fill="FFFFFF"/>
          <w:lang w:val="en-US"/>
        </w:rPr>
        <w:t>To evaluate the potential impact of retaining PHQ4 and PHQ11, a sensitivity analysis was conducted using a three-factor ESEM solution (pain/fatigue, gastrointestinal, cardiopulmonary). Model fit was acceptable but below optimal: CFI = 0.898, TLI = 0.877, RMSEA = 0.069 (90% CI: 0.061–0.077), SRMR = 0.057. Standardized factor loadings for PHQ4 (λ = 0.32) and PHQ11 (λ = 0.30) were low, and the items explained limited variance (R² = 0.103 and 0.090, respectively). Omega reliability coefficients indicated good internal consistency for the overall scale (ω_total = 0.88) and reasonable reliability for subscales (ω)F1 = 0.71, F2 = 0.66,F3 = 0.79). although the gastrointestinal factor demonstrated somewhat lower internal consistency.</w:t>
      </w:r>
    </w:p>
    <w:p w14:paraId="19A18F3D">
      <w:pPr>
        <w:shd w:val="clear"/>
        <w:tabs>
          <w:tab w:val="left" w:pos="600"/>
        </w:tabs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2"/>
          <w:szCs w:val="22"/>
          <w:highlight w:val="none"/>
          <w:shd w:val="clear" w:fill="FFFFFF"/>
          <w:lang w:val="en-US"/>
        </w:rPr>
      </w:pPr>
    </w:p>
    <w:p w14:paraId="1316ECFE">
      <w:pPr>
        <w:shd w:val="clear"/>
        <w:tabs>
          <w:tab w:val="left" w:pos="600"/>
        </w:tabs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0"/>
          <w:szCs w:val="20"/>
          <w:highlight w:val="none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0"/>
          <w:szCs w:val="20"/>
          <w:highlight w:val="none"/>
          <w:shd w:val="clear" w:fill="FFFFFF"/>
          <w:lang w:val="en-US"/>
        </w:rPr>
        <w:t xml:space="preserve">Supplementary Table </w:t>
      </w:r>
      <w:r>
        <w:rPr>
          <w:rFonts w:hint="default" w:ascii="Times New Roman" w:hAnsi="Times New Roman" w:cs="Times New Roman"/>
        </w:rPr>
        <w:t xml:space="preserve"> S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0"/>
          <w:szCs w:val="20"/>
          <w:highlight w:val="none"/>
          <w:shd w:val="clear" w:fill="FFFFFF"/>
          <w:lang w:val="en-US"/>
        </w:rPr>
        <w:t>2. Sensitivity Analysis Including PHQ-4 and PHQ-11 in the Three-Factor ESEM Model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72B4D"/>
          <w:spacing w:val="0"/>
          <w:sz w:val="20"/>
          <w:szCs w:val="20"/>
          <w:highlight w:val="none"/>
          <w:shd w:val="clear" w:fill="FFFFFF"/>
          <w:lang w:val="en-US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EFDA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70448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Item</w:t>
            </w:r>
          </w:p>
        </w:tc>
        <w:tc>
          <w:tcPr>
            <w:tcW w:w="2130" w:type="dxa"/>
            <w:vAlign w:val="center"/>
          </w:tcPr>
          <w:p w14:paraId="17E27F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Factor</w:t>
            </w:r>
          </w:p>
        </w:tc>
        <w:tc>
          <w:tcPr>
            <w:tcW w:w="2131" w:type="dxa"/>
            <w:vAlign w:val="center"/>
          </w:tcPr>
          <w:p w14:paraId="1E1D76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Standardized Loading (λ)</w:t>
            </w:r>
          </w:p>
        </w:tc>
        <w:tc>
          <w:tcPr>
            <w:tcW w:w="2131" w:type="dxa"/>
            <w:vAlign w:val="center"/>
          </w:tcPr>
          <w:p w14:paraId="27022C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R²</w:t>
            </w:r>
          </w:p>
        </w:tc>
      </w:tr>
      <w:tr w14:paraId="011D3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D16F2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PHQ4</w:t>
            </w:r>
          </w:p>
        </w:tc>
        <w:tc>
          <w:tcPr>
            <w:tcW w:w="2130" w:type="dxa"/>
            <w:vAlign w:val="center"/>
          </w:tcPr>
          <w:p w14:paraId="18CDCE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Pain/Fatigue</w:t>
            </w:r>
          </w:p>
        </w:tc>
        <w:tc>
          <w:tcPr>
            <w:tcW w:w="2131" w:type="dxa"/>
            <w:vAlign w:val="center"/>
          </w:tcPr>
          <w:p w14:paraId="38D231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0.32</w:t>
            </w:r>
          </w:p>
        </w:tc>
        <w:tc>
          <w:tcPr>
            <w:tcW w:w="2131" w:type="dxa"/>
            <w:vAlign w:val="center"/>
          </w:tcPr>
          <w:p w14:paraId="5CA741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0.103</w:t>
            </w:r>
          </w:p>
        </w:tc>
      </w:tr>
      <w:tr w14:paraId="196D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5FCA33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PHQ11</w:t>
            </w:r>
          </w:p>
        </w:tc>
        <w:tc>
          <w:tcPr>
            <w:tcW w:w="2130" w:type="dxa"/>
            <w:vAlign w:val="center"/>
          </w:tcPr>
          <w:p w14:paraId="46295D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Pain/Fatigue</w:t>
            </w:r>
          </w:p>
        </w:tc>
        <w:tc>
          <w:tcPr>
            <w:tcW w:w="2131" w:type="dxa"/>
            <w:vAlign w:val="center"/>
          </w:tcPr>
          <w:p w14:paraId="5AC660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0.30</w:t>
            </w:r>
          </w:p>
        </w:tc>
        <w:tc>
          <w:tcPr>
            <w:tcW w:w="2131" w:type="dxa"/>
            <w:vAlign w:val="center"/>
          </w:tcPr>
          <w:p w14:paraId="401EDC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2"/>
                <w:szCs w:val="22"/>
                <w:lang w:val="en-US" w:eastAsia="zh-CN" w:bidi="ar"/>
              </w:rPr>
              <w:t>0.090</w:t>
            </w:r>
          </w:p>
        </w:tc>
      </w:tr>
    </w:tbl>
    <w:p w14:paraId="5EE633DA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03E62"/>
    <w:rsid w:val="0710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2026-02-28T22:05:00Z</dcterms:created>
  <dc:creator>Ibrahim Saied</dc:creator>
  <cp:lastModifiedBy>Ibrahim Saied</cp:lastModifiedBy>
  <dcterms:modified xsi:type="dcterms:W3CDTF">2026-02-28T22:06:04Z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3821A19FADC648E1BD100FC7D94CB5B7_11</vt:lpwstr>
  </property>
</Properties>
</file>