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3CE74"/>
    <w:p w14:paraId="5FE3631C">
      <w:pPr>
        <w:rPr>
          <w:rFonts w:hint="default"/>
        </w:rPr>
      </w:pPr>
      <w:bookmarkStart w:id="0" w:name="_GoBack"/>
      <w:r>
        <w:rPr>
          <w:rFonts w:hint="default"/>
        </w:rPr>
        <w:t>Supplementary Figure S1.</w:t>
      </w:r>
      <w:bookmarkEnd w:id="0"/>
      <w:r>
        <w:rPr>
          <w:rFonts w:hint="default"/>
        </w:rPr>
        <w:t xml:space="preserve"> Bootstrapped 95% confidence intervals for edge weights in the </w:t>
      </w:r>
      <w:r>
        <w:rPr>
          <w:rFonts w:hint="default"/>
          <w:lang w:val="en-US"/>
        </w:rPr>
        <w:t xml:space="preserve">Kurdish </w:t>
      </w:r>
      <w:r>
        <w:rPr>
          <w:rFonts w:hint="default"/>
        </w:rPr>
        <w:t>PHQ-13 symptom network. Confidence intervals were estimated using 1,000 bootstrap resamples. Narrower intervals for stronger edges (represented as thicker lines in the primary network) indicate greater precision in edge-weight estimation. Correlation stability coefficients from case-dropping bootstrap analyses were 0.59 for edge strength and 0.52 for bridge strength, indicating acceptable stability of centrality estimates.</w:t>
      </w:r>
    </w:p>
    <w:p w14:paraId="16F59C24">
      <w:pPr>
        <w:rPr>
          <w:rFonts w:hint="default"/>
        </w:rPr>
      </w:pPr>
    </w:p>
    <w:p w14:paraId="61E391F3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74310" cy="3767455"/>
            <wp:effectExtent l="0" t="0" r="8890" b="4445"/>
            <wp:docPr id="1" name="Picture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2F2C7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62F40"/>
    <w:rsid w:val="4B86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5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2026-03-01T00:20:00Z</dcterms:created>
  <dc:creator>Ibrahim Saied</dc:creator>
  <cp:lastModifiedBy>Ibrahim Saied</cp:lastModifiedBy>
  <dcterms:modified xsi:type="dcterms:W3CDTF">2026-03-01T00:29:05Z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7FCEA30AABB74A95A53EED2C6BB1A110_11</vt:lpwstr>
  </property>
</Properties>
</file>