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AEC941">
      <w:pPr>
        <w:jc w:val="center"/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</w:rPr>
        <w:t xml:space="preserve">Supplementary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</w:rPr>
        <w:t>Table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S</w:t>
      </w:r>
      <w:r>
        <w:rPr>
          <w:rFonts w:hint="default" w:ascii="Times New Roman" w:hAnsi="Times New Roman" w:cs="Times New Roman"/>
          <w:sz w:val="21"/>
          <w:szCs w:val="21"/>
        </w:rPr>
        <w:t>1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Characteristics of Included Studies</w:t>
      </w:r>
    </w:p>
    <w:p w14:paraId="2CD665C8">
      <w:pPr>
        <w:jc w:val="left"/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</w:p>
    <w:tbl>
      <w:tblPr>
        <w:tblStyle w:val="3"/>
        <w:tblW w:w="21815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2"/>
        <w:gridCol w:w="1769"/>
        <w:gridCol w:w="959"/>
        <w:gridCol w:w="2503"/>
        <w:gridCol w:w="2293"/>
        <w:gridCol w:w="1162"/>
        <w:gridCol w:w="2953"/>
        <w:gridCol w:w="2842"/>
        <w:gridCol w:w="2503"/>
        <w:gridCol w:w="1441"/>
        <w:gridCol w:w="1768"/>
      </w:tblGrid>
      <w:tr w14:paraId="6A902B4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tblHeader/>
          <w:jc w:val="center"/>
        </w:trPr>
        <w:tc>
          <w:tcPr>
            <w:tcW w:w="1632" w:type="dxa"/>
            <w:vMerge w:val="restart"/>
            <w:shd w:val="clear" w:color="auto" w:fill="auto"/>
            <w:vAlign w:val="center"/>
          </w:tcPr>
          <w:p w14:paraId="3A3EB9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Inclusion of literature</w:t>
            </w:r>
          </w:p>
        </w:tc>
        <w:tc>
          <w:tcPr>
            <w:tcW w:w="1780" w:type="dxa"/>
            <w:vMerge w:val="restart"/>
            <w:shd w:val="clear" w:color="auto" w:fill="auto"/>
            <w:vAlign w:val="center"/>
          </w:tcPr>
          <w:p w14:paraId="0009A6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Research design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</w:tcPr>
          <w:p w14:paraId="125B15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Disease type</w:t>
            </w:r>
          </w:p>
        </w:tc>
        <w:tc>
          <w:tcPr>
            <w:tcW w:w="2507" w:type="dxa"/>
            <w:vMerge w:val="restart"/>
            <w:shd w:val="clear" w:color="auto" w:fill="auto"/>
            <w:vAlign w:val="center"/>
          </w:tcPr>
          <w:p w14:paraId="4CE63F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</w:t>
            </w:r>
          </w:p>
        </w:tc>
        <w:tc>
          <w:tcPr>
            <w:tcW w:w="2298" w:type="dxa"/>
            <w:vMerge w:val="restart"/>
            <w:shd w:val="clear" w:color="auto" w:fill="auto"/>
            <w:vAlign w:val="center"/>
          </w:tcPr>
          <w:p w14:paraId="120E87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Gender</w:t>
            </w:r>
          </w:p>
        </w:tc>
        <w:tc>
          <w:tcPr>
            <w:tcW w:w="1162" w:type="dxa"/>
            <w:vMerge w:val="restart"/>
            <w:shd w:val="clear" w:color="auto" w:fill="auto"/>
            <w:vAlign w:val="center"/>
          </w:tcPr>
          <w:p w14:paraId="721803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 of sport</w:t>
            </w:r>
          </w:p>
        </w:tc>
        <w:tc>
          <w:tcPr>
            <w:tcW w:w="2687" w:type="dxa"/>
            <w:vMerge w:val="restart"/>
            <w:shd w:val="clear" w:color="auto" w:fill="auto"/>
            <w:vAlign w:val="center"/>
          </w:tcPr>
          <w:p w14:paraId="45EC45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of sport</w:t>
            </w:r>
          </w:p>
        </w:tc>
        <w:tc>
          <w:tcPr>
            <w:tcW w:w="2883" w:type="dxa"/>
            <w:vMerge w:val="restart"/>
            <w:shd w:val="clear" w:color="auto" w:fill="auto"/>
            <w:vAlign w:val="center"/>
          </w:tcPr>
          <w:p w14:paraId="5C85C4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Exercise time/</w:t>
            </w:r>
          </w:p>
          <w:p w14:paraId="35BD06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(min-times)</w:t>
            </w:r>
          </w:p>
        </w:tc>
        <w:tc>
          <w:tcPr>
            <w:tcW w:w="2532" w:type="dxa"/>
            <w:vMerge w:val="restart"/>
            <w:shd w:val="clear" w:color="auto" w:fill="auto"/>
            <w:vAlign w:val="center"/>
          </w:tcPr>
          <w:p w14:paraId="66A8EB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Frequency of exercise/</w:t>
            </w:r>
          </w:p>
          <w:p w14:paraId="0D7BC3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(times-week)</w:t>
            </w:r>
          </w:p>
        </w:tc>
        <w:tc>
          <w:tcPr>
            <w:tcW w:w="1445" w:type="dxa"/>
            <w:vMerge w:val="restart"/>
            <w:shd w:val="clear" w:color="auto" w:fill="auto"/>
            <w:vAlign w:val="center"/>
          </w:tcPr>
          <w:p w14:paraId="0AD896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Intervention time/week</w:t>
            </w:r>
          </w:p>
        </w:tc>
        <w:tc>
          <w:tcPr>
            <w:tcW w:w="1768" w:type="dxa"/>
            <w:vMerge w:val="restart"/>
            <w:shd w:val="clear" w:color="auto" w:fill="auto"/>
            <w:vAlign w:val="center"/>
          </w:tcPr>
          <w:p w14:paraId="110CD6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utcome indicator</w:t>
            </w:r>
          </w:p>
        </w:tc>
      </w:tr>
      <w:tr w14:paraId="100DA13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tblHeader/>
          <w:jc w:val="center"/>
        </w:trPr>
        <w:tc>
          <w:tcPr>
            <w:tcW w:w="1632" w:type="dxa"/>
            <w:vMerge w:val="continue"/>
            <w:tcBorders>
              <w:bottom w:val="single" w:color="auto" w:sz="6" w:space="0"/>
            </w:tcBorders>
            <w:shd w:val="clear" w:color="auto" w:fill="auto"/>
            <w:vAlign w:val="center"/>
          </w:tcPr>
          <w:p w14:paraId="6EA91B5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0" w:type="dxa"/>
            <w:vMerge w:val="continue"/>
            <w:tcBorders>
              <w:bottom w:val="single" w:color="auto" w:sz="6" w:space="0"/>
            </w:tcBorders>
            <w:shd w:val="clear" w:color="auto" w:fill="auto"/>
            <w:vAlign w:val="center"/>
          </w:tcPr>
          <w:p w14:paraId="3B957F4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0" w:type="dxa"/>
            <w:vMerge w:val="continue"/>
            <w:tcBorders>
              <w:bottom w:val="single" w:color="auto" w:sz="6" w:space="0"/>
            </w:tcBorders>
            <w:shd w:val="clear" w:color="auto" w:fill="auto"/>
            <w:vAlign w:val="center"/>
          </w:tcPr>
          <w:p w14:paraId="1B5765B5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07" w:type="dxa"/>
            <w:vMerge w:val="continue"/>
            <w:tcBorders>
              <w:bottom w:val="single" w:color="auto" w:sz="6" w:space="0"/>
            </w:tcBorders>
            <w:shd w:val="clear" w:color="auto" w:fill="auto"/>
            <w:vAlign w:val="center"/>
          </w:tcPr>
          <w:p w14:paraId="2113357D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98" w:type="dxa"/>
            <w:vMerge w:val="continue"/>
            <w:tcBorders>
              <w:bottom w:val="single" w:color="auto" w:sz="6" w:space="0"/>
            </w:tcBorders>
            <w:shd w:val="clear" w:color="auto" w:fill="auto"/>
            <w:vAlign w:val="center"/>
          </w:tcPr>
          <w:p w14:paraId="55338A6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62" w:type="dxa"/>
            <w:vMerge w:val="continue"/>
            <w:tcBorders>
              <w:bottom w:val="single" w:color="auto" w:sz="6" w:space="0"/>
            </w:tcBorders>
            <w:shd w:val="clear" w:color="auto" w:fill="auto"/>
            <w:vAlign w:val="center"/>
          </w:tcPr>
          <w:p w14:paraId="54E4B1AF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87" w:type="dxa"/>
            <w:vMerge w:val="continue"/>
            <w:tcBorders>
              <w:bottom w:val="single" w:color="auto" w:sz="6" w:space="0"/>
            </w:tcBorders>
            <w:shd w:val="clear" w:color="auto" w:fill="auto"/>
            <w:vAlign w:val="center"/>
          </w:tcPr>
          <w:p w14:paraId="08C9036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83" w:type="dxa"/>
            <w:vMerge w:val="continue"/>
            <w:tcBorders>
              <w:bottom w:val="single" w:color="auto" w:sz="6" w:space="0"/>
            </w:tcBorders>
            <w:shd w:val="clear" w:color="auto" w:fill="auto"/>
            <w:vAlign w:val="center"/>
          </w:tcPr>
          <w:p w14:paraId="594A3F2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32" w:type="dxa"/>
            <w:vMerge w:val="continue"/>
            <w:tcBorders>
              <w:bottom w:val="single" w:color="auto" w:sz="6" w:space="0"/>
            </w:tcBorders>
            <w:shd w:val="clear" w:color="auto" w:fill="auto"/>
            <w:vAlign w:val="center"/>
          </w:tcPr>
          <w:p w14:paraId="36EF7F2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5" w:type="dxa"/>
            <w:vMerge w:val="continue"/>
            <w:tcBorders>
              <w:bottom w:val="single" w:color="auto" w:sz="6" w:space="0"/>
            </w:tcBorders>
            <w:shd w:val="clear" w:color="auto" w:fill="auto"/>
            <w:vAlign w:val="center"/>
          </w:tcPr>
          <w:p w14:paraId="5BBF1995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68" w:type="dxa"/>
            <w:vMerge w:val="continue"/>
            <w:tcBorders>
              <w:bottom w:val="single" w:color="auto" w:sz="6" w:space="0"/>
            </w:tcBorders>
            <w:shd w:val="clear" w:color="auto" w:fill="auto"/>
            <w:vAlign w:val="center"/>
          </w:tcPr>
          <w:p w14:paraId="47BBACB3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BB5729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2" w:type="dxa"/>
            <w:vMerge w:val="restart"/>
            <w:tcBorders>
              <w:top w:val="single" w:color="auto" w:sz="6" w:space="0"/>
              <w:bottom w:val="nil"/>
            </w:tcBorders>
            <w:shd w:val="clear" w:color="auto" w:fill="auto"/>
            <w:vAlign w:val="center"/>
          </w:tcPr>
          <w:p w14:paraId="7AF815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Neil A. Rector et al. 2015 [2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]</w:t>
            </w:r>
          </w:p>
        </w:tc>
        <w:tc>
          <w:tcPr>
            <w:tcW w:w="1780" w:type="dxa"/>
            <w:vMerge w:val="restart"/>
            <w:tcBorders>
              <w:top w:val="single" w:color="auto" w:sz="6" w:space="0"/>
              <w:bottom w:val="nil"/>
            </w:tcBorders>
            <w:shd w:val="clear" w:color="auto" w:fill="auto"/>
            <w:vAlign w:val="center"/>
          </w:tcPr>
          <w:p w14:paraId="2FBDC7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Single-group pre- and post-test experiments</w:t>
            </w:r>
          </w:p>
        </w:tc>
        <w:tc>
          <w:tcPr>
            <w:tcW w:w="960" w:type="dxa"/>
            <w:vMerge w:val="restart"/>
            <w:tcBorders>
              <w:top w:val="single" w:color="auto" w:sz="6" w:space="0"/>
              <w:bottom w:val="nil"/>
            </w:tcBorders>
            <w:shd w:val="clear" w:color="auto" w:fill="auto"/>
            <w:vAlign w:val="center"/>
          </w:tcPr>
          <w:p w14:paraId="006DB4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OCD</w:t>
            </w:r>
          </w:p>
        </w:tc>
        <w:tc>
          <w:tcPr>
            <w:tcW w:w="2507" w:type="dxa"/>
            <w:vMerge w:val="restart"/>
            <w:tcBorders>
              <w:top w:val="single" w:color="auto" w:sz="6" w:space="0"/>
              <w:bottom w:val="nil"/>
            </w:tcBorders>
            <w:shd w:val="clear" w:color="auto" w:fill="auto"/>
            <w:vAlign w:val="center"/>
          </w:tcPr>
          <w:p w14:paraId="28E87B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35.54±8.47</w:t>
            </w:r>
          </w:p>
        </w:tc>
        <w:tc>
          <w:tcPr>
            <w:tcW w:w="2298" w:type="dxa"/>
            <w:vMerge w:val="restart"/>
            <w:tcBorders>
              <w:top w:val="single" w:color="auto" w:sz="6" w:space="0"/>
              <w:bottom w:val="nil"/>
            </w:tcBorders>
            <w:shd w:val="clear" w:color="auto" w:fill="auto"/>
            <w:vAlign w:val="center"/>
          </w:tcPr>
          <w:p w14:paraId="7BA216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 women</w:t>
            </w:r>
          </w:p>
        </w:tc>
        <w:tc>
          <w:tcPr>
            <w:tcW w:w="1162" w:type="dxa"/>
            <w:vMerge w:val="restart"/>
            <w:tcBorders>
              <w:top w:val="single" w:color="auto" w:sz="6" w:space="0"/>
              <w:bottom w:val="nil"/>
            </w:tcBorders>
            <w:shd w:val="clear" w:color="auto" w:fill="auto"/>
            <w:vAlign w:val="center"/>
          </w:tcPr>
          <w:p w14:paraId="749DEC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aerobics</w:t>
            </w:r>
          </w:p>
        </w:tc>
        <w:tc>
          <w:tcPr>
            <w:tcW w:w="2687" w:type="dxa"/>
            <w:vMerge w:val="restart"/>
            <w:tcBorders>
              <w:top w:val="single" w:color="auto" w:sz="6" w:space="0"/>
              <w:bottom w:val="nil"/>
            </w:tcBorders>
            <w:shd w:val="clear" w:color="auto" w:fill="auto"/>
            <w:vAlign w:val="center"/>
          </w:tcPr>
          <w:p w14:paraId="510A6D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Treadmill/Elliptical/Bike</w:t>
            </w:r>
          </w:p>
        </w:tc>
        <w:tc>
          <w:tcPr>
            <w:tcW w:w="2883" w:type="dxa"/>
            <w:vMerge w:val="restart"/>
            <w:tcBorders>
              <w:top w:val="single" w:color="auto" w:sz="6" w:space="0"/>
              <w:bottom w:val="nil"/>
            </w:tcBorders>
            <w:shd w:val="clear" w:color="auto" w:fill="auto"/>
            <w:vAlign w:val="center"/>
          </w:tcPr>
          <w:p w14:paraId="49646A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1-4 weeks: 15-30 minutes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5-12 weeks: 30-45 minutes</w:t>
            </w:r>
          </w:p>
        </w:tc>
        <w:tc>
          <w:tcPr>
            <w:tcW w:w="2532" w:type="dxa"/>
            <w:vMerge w:val="restart"/>
            <w:tcBorders>
              <w:top w:val="single" w:color="auto" w:sz="6" w:space="0"/>
              <w:bottom w:val="nil"/>
            </w:tcBorders>
            <w:shd w:val="clear" w:color="auto" w:fill="auto"/>
            <w:vAlign w:val="center"/>
          </w:tcPr>
          <w:p w14:paraId="2DD6E4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445" w:type="dxa"/>
            <w:vMerge w:val="restart"/>
            <w:tcBorders>
              <w:top w:val="single" w:color="auto" w:sz="6" w:space="0"/>
              <w:bottom w:val="nil"/>
            </w:tcBorders>
            <w:shd w:val="clear" w:color="auto" w:fill="auto"/>
            <w:vAlign w:val="center"/>
          </w:tcPr>
          <w:p w14:paraId="0A9380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768" w:type="dxa"/>
            <w:vMerge w:val="restart"/>
            <w:tcBorders>
              <w:top w:val="single" w:color="auto" w:sz="6" w:space="0"/>
              <w:bottom w:val="nil"/>
            </w:tcBorders>
            <w:shd w:val="clear" w:color="auto" w:fill="auto"/>
            <w:vAlign w:val="center"/>
          </w:tcPr>
          <w:p w14:paraId="78EB48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Y-BOCS</w:t>
            </w:r>
          </w:p>
        </w:tc>
      </w:tr>
      <w:tr w14:paraId="0A85565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2" w:type="dxa"/>
            <w:vMerge w:val="restart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 w14:paraId="75211B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Shubha Bhat et al.2016 [2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]</w:t>
            </w:r>
          </w:p>
        </w:tc>
        <w:tc>
          <w:tcPr>
            <w:tcW w:w="1780" w:type="dxa"/>
            <w:vMerge w:val="restart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 w14:paraId="5D288B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Single-group pre- and post-test experiments</w:t>
            </w:r>
          </w:p>
        </w:tc>
        <w:tc>
          <w:tcPr>
            <w:tcW w:w="960" w:type="dxa"/>
            <w:vMerge w:val="restart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 w14:paraId="00FAC0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OCD</w:t>
            </w:r>
          </w:p>
        </w:tc>
        <w:tc>
          <w:tcPr>
            <w:tcW w:w="2507" w:type="dxa"/>
            <w:vMerge w:val="restart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 w14:paraId="04FB08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28.1±8.91</w:t>
            </w:r>
          </w:p>
        </w:tc>
        <w:tc>
          <w:tcPr>
            <w:tcW w:w="2298" w:type="dxa"/>
            <w:vMerge w:val="restart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 w14:paraId="486F58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 men</w:t>
            </w:r>
          </w:p>
        </w:tc>
        <w:tc>
          <w:tcPr>
            <w:tcW w:w="1162" w:type="dxa"/>
            <w:vMerge w:val="restart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 w14:paraId="6C0005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movement of body and mind</w:t>
            </w:r>
          </w:p>
        </w:tc>
        <w:tc>
          <w:tcPr>
            <w:tcW w:w="2687" w:type="dxa"/>
            <w:vMerge w:val="restart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 w14:paraId="63900F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yoga (loanword)</w:t>
            </w:r>
          </w:p>
        </w:tc>
        <w:tc>
          <w:tcPr>
            <w:tcW w:w="2883" w:type="dxa"/>
            <w:vMerge w:val="restart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 w14:paraId="438FB3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2532" w:type="dxa"/>
            <w:vMerge w:val="restart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 w14:paraId="65F79D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445" w:type="dxa"/>
            <w:vMerge w:val="restart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 w14:paraId="5924DC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768" w:type="dxa"/>
            <w:vMerge w:val="restart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 w14:paraId="167CCF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Y-BOCS</w:t>
            </w:r>
          </w:p>
        </w:tc>
      </w:tr>
      <w:tr w14:paraId="042BBC5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2" w:type="dxa"/>
            <w:vMerge w:val="restart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 w14:paraId="48F95E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Ana M. Abrantes et al.2017 [2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]</w:t>
            </w:r>
          </w:p>
        </w:tc>
        <w:tc>
          <w:tcPr>
            <w:tcW w:w="1780" w:type="dxa"/>
            <w:vMerge w:val="restart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 w14:paraId="437B6E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randomized controlled trial</w:t>
            </w:r>
          </w:p>
        </w:tc>
        <w:tc>
          <w:tcPr>
            <w:tcW w:w="960" w:type="dxa"/>
            <w:vMerge w:val="restart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 w14:paraId="42B537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OCD</w:t>
            </w:r>
          </w:p>
        </w:tc>
        <w:tc>
          <w:tcPr>
            <w:tcW w:w="2507" w:type="dxa"/>
            <w:vMerge w:val="restart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 w14:paraId="273AF5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38.8 ± 13</w:t>
            </w:r>
          </w:p>
        </w:tc>
        <w:tc>
          <w:tcPr>
            <w:tcW w:w="2298" w:type="dxa"/>
            <w:vMerge w:val="restart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 w14:paraId="53B49B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1:1 distribution of 36women, 20men</w:t>
            </w:r>
          </w:p>
        </w:tc>
        <w:tc>
          <w:tcPr>
            <w:tcW w:w="1162" w:type="dxa"/>
            <w:vMerge w:val="restart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 w14:paraId="5120FC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aerobics</w:t>
            </w:r>
          </w:p>
        </w:tc>
        <w:tc>
          <w:tcPr>
            <w:tcW w:w="2687" w:type="dxa"/>
            <w:vMerge w:val="restart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 w14:paraId="7E3DB8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Treadmill/Elliptical/Horizontal Bike</w:t>
            </w:r>
          </w:p>
        </w:tc>
        <w:tc>
          <w:tcPr>
            <w:tcW w:w="2883" w:type="dxa"/>
            <w:vMerge w:val="restart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 w14:paraId="6B246A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2532" w:type="dxa"/>
            <w:vMerge w:val="restart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 w14:paraId="14DCA4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supervised exercise per week with 2-4 additional autonomous exercises</w:t>
            </w:r>
          </w:p>
        </w:tc>
        <w:tc>
          <w:tcPr>
            <w:tcW w:w="1445" w:type="dxa"/>
            <w:vMerge w:val="restart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 w14:paraId="68D958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768" w:type="dxa"/>
            <w:vMerge w:val="restart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 w14:paraId="74E7AC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Y-BOCS</w:t>
            </w:r>
          </w:p>
        </w:tc>
      </w:tr>
      <w:tr w14:paraId="4DFE70A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2" w:type="dxa"/>
            <w:vMerge w:val="restart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 w14:paraId="284A25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Danielle E.Katz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et al.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3[27]</w:t>
            </w:r>
          </w:p>
        </w:tc>
        <w:tc>
          <w:tcPr>
            <w:tcW w:w="1780" w:type="dxa"/>
            <w:vMerge w:val="restart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 w14:paraId="177814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 randomized controlled trial</w:t>
            </w:r>
          </w:p>
        </w:tc>
        <w:tc>
          <w:tcPr>
            <w:tcW w:w="960" w:type="dxa"/>
            <w:vMerge w:val="restart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 w14:paraId="002296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OCD</w:t>
            </w:r>
          </w:p>
        </w:tc>
        <w:tc>
          <w:tcPr>
            <w:tcW w:w="2507" w:type="dxa"/>
            <w:vMerge w:val="restart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 w14:paraId="6144FD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CBT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34.59±10.63-CBT-Ex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31.79 ±9.90 Ex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33.25±10.71 WC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33.40±10.06</w:t>
            </w:r>
          </w:p>
        </w:tc>
        <w:tc>
          <w:tcPr>
            <w:tcW w:w="2298" w:type="dxa"/>
            <w:vMerge w:val="restart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 w14:paraId="79DF70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CBT:10 men,27 women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CBT-EX: 19men, 15women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EX:10men,14women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C:13men,17women</w:t>
            </w:r>
          </w:p>
          <w:p w14:paraId="5D01D3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2" w:type="dxa"/>
            <w:vMerge w:val="restart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 w14:paraId="60FC2D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aerobics</w:t>
            </w:r>
          </w:p>
        </w:tc>
        <w:tc>
          <w:tcPr>
            <w:tcW w:w="2687" w:type="dxa"/>
            <w:vMerge w:val="restart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 w14:paraId="71FBE7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Treadmill, elliptical, bike, walking</w:t>
            </w:r>
          </w:p>
        </w:tc>
        <w:tc>
          <w:tcPr>
            <w:tcW w:w="2883" w:type="dxa"/>
            <w:vMerge w:val="restart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 w14:paraId="7839B3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30-40</w:t>
            </w:r>
          </w:p>
        </w:tc>
        <w:tc>
          <w:tcPr>
            <w:tcW w:w="2532" w:type="dxa"/>
            <w:vMerge w:val="restart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 w14:paraId="004566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supervised exercise per week with 2-3 additional autonomous exercises</w:t>
            </w:r>
          </w:p>
        </w:tc>
        <w:tc>
          <w:tcPr>
            <w:tcW w:w="1445" w:type="dxa"/>
            <w:vMerge w:val="restart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 w14:paraId="2F78DC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768" w:type="dxa"/>
            <w:vMerge w:val="restart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 w14:paraId="79B2C0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Y-BOCS</w:t>
            </w:r>
          </w:p>
        </w:tc>
      </w:tr>
      <w:tr w14:paraId="4371ECD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2" w:type="dxa"/>
            <w:vMerge w:val="restart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 w14:paraId="5A8A16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Lauren M. Weinstock et al.2016 [2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]</w:t>
            </w:r>
          </w:p>
        </w:tc>
        <w:tc>
          <w:tcPr>
            <w:tcW w:w="1780" w:type="dxa"/>
            <w:vMerge w:val="restart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 w14:paraId="4BC5DB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randomized controlled trial</w:t>
            </w:r>
          </w:p>
        </w:tc>
        <w:tc>
          <w:tcPr>
            <w:tcW w:w="960" w:type="dxa"/>
            <w:vMerge w:val="restart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 w14:paraId="7A6844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BD</w:t>
            </w:r>
          </w:p>
        </w:tc>
        <w:tc>
          <w:tcPr>
            <w:tcW w:w="2507" w:type="dxa"/>
            <w:vMerge w:val="restart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 w14:paraId="091179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E:41.3±14.3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C:33.6±13.3</w:t>
            </w:r>
          </w:p>
        </w:tc>
        <w:tc>
          <w:tcPr>
            <w:tcW w:w="2298" w:type="dxa"/>
            <w:vMerge w:val="restart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 w14:paraId="6052A0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E: 5 men,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5women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C:3men,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5women</w:t>
            </w:r>
          </w:p>
          <w:p w14:paraId="689CBC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62" w:type="dxa"/>
            <w:vMerge w:val="restart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 w14:paraId="500AAA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movement of body and mind</w:t>
            </w:r>
          </w:p>
        </w:tc>
        <w:tc>
          <w:tcPr>
            <w:tcW w:w="2687" w:type="dxa"/>
            <w:vMerge w:val="restart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 w14:paraId="6DE071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yoga</w:t>
            </w:r>
          </w:p>
        </w:tc>
        <w:tc>
          <w:tcPr>
            <w:tcW w:w="2883" w:type="dxa"/>
            <w:vMerge w:val="restart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 w14:paraId="13839F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2532" w:type="dxa"/>
            <w:vMerge w:val="restart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 w14:paraId="524080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445" w:type="dxa"/>
            <w:vMerge w:val="restart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 w14:paraId="051A80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768" w:type="dxa"/>
            <w:vMerge w:val="restart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 w14:paraId="218958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QIDS-C,ASRM</w:t>
            </w:r>
          </w:p>
        </w:tc>
      </w:tr>
      <w:tr w14:paraId="5157579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2" w:type="dxa"/>
            <w:vMerge w:val="restart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 w14:paraId="7CB5B1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Arun VRavindran et al.2021 [2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]</w:t>
            </w:r>
          </w:p>
        </w:tc>
        <w:tc>
          <w:tcPr>
            <w:tcW w:w="1780" w:type="dxa"/>
            <w:vMerge w:val="restart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 w14:paraId="3577D3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randomized controlled trial</w:t>
            </w:r>
          </w:p>
        </w:tc>
        <w:tc>
          <w:tcPr>
            <w:tcW w:w="960" w:type="dxa"/>
            <w:vMerge w:val="restart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 w14:paraId="3D588E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BD</w:t>
            </w:r>
          </w:p>
        </w:tc>
        <w:tc>
          <w:tcPr>
            <w:tcW w:w="2507" w:type="dxa"/>
            <w:vMerge w:val="restart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 w14:paraId="72BDE3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E:39.36±11.69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C:40.58±12.72</w:t>
            </w:r>
          </w:p>
        </w:tc>
        <w:tc>
          <w:tcPr>
            <w:tcW w:w="2298" w:type="dxa"/>
            <w:vMerge w:val="restart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 w14:paraId="5AF69B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E: 43 women,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10men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C:14 women,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5men</w:t>
            </w:r>
          </w:p>
        </w:tc>
        <w:tc>
          <w:tcPr>
            <w:tcW w:w="1162" w:type="dxa"/>
            <w:vMerge w:val="restart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 w14:paraId="3F15B9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movement of body and mind</w:t>
            </w:r>
          </w:p>
        </w:tc>
        <w:tc>
          <w:tcPr>
            <w:tcW w:w="2687" w:type="dxa"/>
            <w:vMerge w:val="restart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 w14:paraId="181D32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yoga</w:t>
            </w:r>
          </w:p>
        </w:tc>
        <w:tc>
          <w:tcPr>
            <w:tcW w:w="2883" w:type="dxa"/>
            <w:vMerge w:val="restart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 w14:paraId="2653A3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2532" w:type="dxa"/>
            <w:vMerge w:val="restart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 w14:paraId="17A330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445" w:type="dxa"/>
            <w:vMerge w:val="restart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 w14:paraId="24045B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768" w:type="dxa"/>
            <w:vMerge w:val="restart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 w14:paraId="526863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HAMD</w:t>
            </w:r>
          </w:p>
        </w:tc>
      </w:tr>
      <w:tr w14:paraId="026FECD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2" w:type="dxa"/>
            <w:tcBorders>
              <w:top w:val="nil"/>
              <w:bottom w:val="single" w:color="auto" w:sz="12" w:space="0"/>
            </w:tcBorders>
            <w:shd w:val="clear" w:color="auto" w:fill="auto"/>
            <w:vAlign w:val="center"/>
          </w:tcPr>
          <w:p w14:paraId="39684C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Haley Park et al.2023 [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]</w:t>
            </w:r>
          </w:p>
        </w:tc>
        <w:tc>
          <w:tcPr>
            <w:tcW w:w="1780" w:type="dxa"/>
            <w:tcBorders>
              <w:top w:val="nil"/>
              <w:bottom w:val="single" w:color="auto" w:sz="12" w:space="0"/>
            </w:tcBorders>
            <w:shd w:val="clear" w:color="auto" w:fill="auto"/>
            <w:vAlign w:val="center"/>
          </w:tcPr>
          <w:p w14:paraId="15A127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randomized controlled trial</w:t>
            </w:r>
          </w:p>
        </w:tc>
        <w:tc>
          <w:tcPr>
            <w:tcW w:w="960" w:type="dxa"/>
            <w:tcBorders>
              <w:top w:val="nil"/>
              <w:bottom w:val="single" w:color="auto" w:sz="12" w:space="0"/>
            </w:tcBorders>
            <w:shd w:val="clear" w:color="auto" w:fill="auto"/>
            <w:vAlign w:val="center"/>
          </w:tcPr>
          <w:p w14:paraId="799CDA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BD</w:t>
            </w:r>
          </w:p>
        </w:tc>
        <w:tc>
          <w:tcPr>
            <w:tcW w:w="2507" w:type="dxa"/>
            <w:tcBorders>
              <w:top w:val="nil"/>
              <w:bottom w:val="single" w:color="auto" w:sz="12" w:space="0"/>
            </w:tcBorders>
            <w:shd w:val="clear" w:color="auto" w:fill="auto"/>
            <w:vAlign w:val="center"/>
          </w:tcPr>
          <w:p w14:paraId="650506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E:55±11.25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C:61±6.45</w:t>
            </w:r>
          </w:p>
        </w:tc>
        <w:tc>
          <w:tcPr>
            <w:tcW w:w="2298" w:type="dxa"/>
            <w:tcBorders>
              <w:top w:val="nil"/>
              <w:bottom w:val="single" w:color="auto" w:sz="12" w:space="0"/>
            </w:tcBorders>
            <w:shd w:val="clear" w:color="auto" w:fill="auto"/>
            <w:vAlign w:val="center"/>
          </w:tcPr>
          <w:p w14:paraId="54E2C6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E: 9women,2 men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C:6women,6men</w:t>
            </w:r>
          </w:p>
        </w:tc>
        <w:tc>
          <w:tcPr>
            <w:tcW w:w="1162" w:type="dxa"/>
            <w:tcBorders>
              <w:top w:val="nil"/>
              <w:bottom w:val="single" w:color="auto" w:sz="12" w:space="0"/>
            </w:tcBorders>
            <w:shd w:val="clear" w:color="auto" w:fill="auto"/>
            <w:vAlign w:val="center"/>
          </w:tcPr>
          <w:p w14:paraId="4C2DEC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movement of body and mind</w:t>
            </w:r>
          </w:p>
        </w:tc>
        <w:tc>
          <w:tcPr>
            <w:tcW w:w="2687" w:type="dxa"/>
            <w:tcBorders>
              <w:top w:val="nil"/>
              <w:bottom w:val="single" w:color="auto" w:sz="12" w:space="0"/>
            </w:tcBorders>
            <w:shd w:val="clear" w:color="auto" w:fill="auto"/>
            <w:vAlign w:val="center"/>
          </w:tcPr>
          <w:p w14:paraId="2102D2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Taijiquan/Qigong</w:t>
            </w:r>
          </w:p>
        </w:tc>
        <w:tc>
          <w:tcPr>
            <w:tcW w:w="2883" w:type="dxa"/>
            <w:tcBorders>
              <w:top w:val="nil"/>
              <w:bottom w:val="single" w:color="auto" w:sz="12" w:space="0"/>
            </w:tcBorders>
            <w:shd w:val="clear" w:color="auto" w:fill="auto"/>
            <w:vAlign w:val="center"/>
          </w:tcPr>
          <w:p w14:paraId="42C7C5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2532" w:type="dxa"/>
            <w:tcBorders>
              <w:top w:val="nil"/>
              <w:bottom w:val="single" w:color="auto" w:sz="12" w:space="0"/>
            </w:tcBorders>
            <w:shd w:val="clear" w:color="auto" w:fill="auto"/>
            <w:vAlign w:val="center"/>
          </w:tcPr>
          <w:p w14:paraId="4242C8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445" w:type="dxa"/>
            <w:tcBorders>
              <w:top w:val="nil"/>
              <w:bottom w:val="single" w:color="auto" w:sz="12" w:space="0"/>
            </w:tcBorders>
            <w:shd w:val="clear" w:color="auto" w:fill="auto"/>
            <w:vAlign w:val="center"/>
          </w:tcPr>
          <w:p w14:paraId="3EA482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768" w:type="dxa"/>
            <w:tcBorders>
              <w:top w:val="nil"/>
              <w:bottom w:val="single" w:color="auto" w:sz="12" w:space="0"/>
            </w:tcBorders>
            <w:shd w:val="clear" w:color="auto" w:fill="auto"/>
            <w:vAlign w:val="center"/>
          </w:tcPr>
          <w:p w14:paraId="4FA490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YMRS,QIDS-SR</w:t>
            </w:r>
          </w:p>
        </w:tc>
      </w:tr>
    </w:tbl>
    <w:p w14:paraId="5BB3EDA6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afterAutospacing="0" w:line="480" w:lineRule="auto"/>
        <w:ind w:left="0" w:leftChars="0" w:firstLine="440" w:firstLineChars="200"/>
        <w:jc w:val="both"/>
        <w:textAlignment w:val="auto"/>
        <w:rPr>
          <w:rFonts w:hint="default" w:ascii="Times New Roman" w:hAnsi="Times New Roman" w:cs="Times New Roman"/>
          <w:sz w:val="22"/>
          <w:szCs w:val="22"/>
          <w:highlight w:val="none"/>
          <w:lang w:val="en-US" w:eastAsia="zh-CN"/>
        </w:rPr>
      </w:pPr>
    </w:p>
    <w:p w14:paraId="0C8C6930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afterAutospacing="0" w:line="480" w:lineRule="auto"/>
        <w:ind w:left="0" w:leftChars="0" w:firstLine="440" w:firstLineChars="200"/>
        <w:jc w:val="both"/>
        <w:textAlignment w:val="auto"/>
        <w:rPr>
          <w:rFonts w:hint="default" w:ascii="Times New Roman" w:hAnsi="Times New Roman" w:cs="Times New Roman"/>
          <w:sz w:val="22"/>
          <w:szCs w:val="22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2"/>
          <w:szCs w:val="22"/>
          <w:highlight w:val="none"/>
          <w:lang w:val="en-US" w:eastAsia="zh-CN"/>
        </w:rPr>
        <w:t>Note: HAMD, Hamilton Depression Rating Scale; YMRS, Young Mania Rating Scale;QIDS-C,Quick Inventory of Depressive Symptoms-Clinical Version; ASRM, Altman Self-Rating Mania Scale; QIDS-SR, Quick Self-Rating Inventory of Depressive Symptoms;Y-BOCS,Yale-Brown Obsessive-Compulsive Scale.</w:t>
      </w:r>
    </w:p>
    <w:p w14:paraId="582B08AB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afterAutospacing="0" w:line="480" w:lineRule="auto"/>
        <w:ind w:left="0" w:leftChars="0" w:firstLine="440" w:firstLineChars="200"/>
        <w:jc w:val="both"/>
        <w:textAlignment w:val="auto"/>
        <w:rPr>
          <w:rFonts w:hint="default" w:ascii="Times New Roman" w:hAnsi="Times New Roman" w:cs="Times New Roman"/>
          <w:sz w:val="22"/>
          <w:szCs w:val="22"/>
          <w:highlight w:val="none"/>
          <w:lang w:val="en-US" w:eastAsia="zh-CN"/>
        </w:rPr>
      </w:pPr>
      <w:bookmarkStart w:id="6" w:name="_GoBack"/>
      <w:bookmarkEnd w:id="6"/>
    </w:p>
    <w:p w14:paraId="4F720FB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/>
        <w:ind w:left="480" w:leftChars="0" w:hanging="480" w:hangingChars="200"/>
        <w:textAlignment w:val="auto"/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lang w:val="en-US" w:eastAsia="zh-CN" w:bidi="ar-SA"/>
        </w:rPr>
        <w:t>24.</w:t>
      </w:r>
      <w:r>
        <w:rPr>
          <w:rFonts w:hint="default" w:ascii="Times New Roman" w:hAnsi="Times New Roman" w:cs="Times New Roman"/>
          <w:color w:val="auto"/>
          <w:highlight w:val="none"/>
        </w:rPr>
        <w:t>Rector NA, Richter MA, Lerman B, et al. A pilot test of the additive benefits of physical exercise to CBT for OCD. Cognitive Behaviour Therapy, 2015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;</w:t>
      </w:r>
      <w:r>
        <w:rPr>
          <w:rFonts w:hint="default" w:ascii="Times New Roman" w:hAnsi="Times New Roman" w:cs="Times New Roman"/>
          <w:color w:val="auto"/>
          <w:highlight w:val="none"/>
        </w:rPr>
        <w:t>44(4):328-340.</w:t>
      </w:r>
      <w:bookmarkStart w:id="0" w:name="_Ref15663"/>
    </w:p>
    <w:p w14:paraId="6CDC98C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/>
        <w:ind w:left="480" w:leftChars="0" w:hanging="480" w:hangingChars="200"/>
        <w:textAlignment w:val="auto"/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lang w:val="en-US" w:eastAsia="zh-CN" w:bidi="ar-SA"/>
        </w:rPr>
        <w:t>25.</w:t>
      </w:r>
      <w:r>
        <w:rPr>
          <w:rFonts w:hint="default" w:ascii="Times New Roman" w:hAnsi="Times New Roman" w:cs="Times New Roman"/>
          <w:color w:val="auto"/>
          <w:highlight w:val="none"/>
        </w:rPr>
        <w:t>Bhat S, Varambally S, Karmani S, et al. Designing and validation of a yoga-based intervention for obsessive compulsive disorder. International Review of Psychiatry, 2016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;</w:t>
      </w:r>
      <w:r>
        <w:rPr>
          <w:rFonts w:hint="default" w:ascii="Times New Roman" w:hAnsi="Times New Roman" w:cs="Times New Roman"/>
          <w:color w:val="auto"/>
          <w:highlight w:val="none"/>
        </w:rPr>
        <w:t>28(3):327-333.</w:t>
      </w:r>
      <w:bookmarkEnd w:id="0"/>
      <w:bookmarkStart w:id="1" w:name="_Ref15748"/>
    </w:p>
    <w:p w14:paraId="133BCFF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/>
        <w:ind w:left="480" w:leftChars="0" w:hanging="480" w:hangingChars="200"/>
        <w:textAlignment w:val="auto"/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lang w:val="en-US" w:eastAsia="zh-CN" w:bidi="ar-SA"/>
        </w:rPr>
        <w:t>26.</w:t>
      </w:r>
      <w:r>
        <w:rPr>
          <w:rFonts w:hint="default" w:ascii="Times New Roman" w:hAnsi="Times New Roman" w:cs="Times New Roman"/>
          <w:color w:val="auto"/>
          <w:highlight w:val="none"/>
        </w:rPr>
        <w:t xml:space="preserve">Abrantes AM, Brown RA, Strong DR, et al. A pilot randomized controlled trial of aerobic exercise as an adjunct to OCD treatment. General 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H</w:t>
      </w:r>
      <w:r>
        <w:rPr>
          <w:rFonts w:hint="default" w:ascii="Times New Roman" w:hAnsi="Times New Roman" w:cs="Times New Roman"/>
          <w:color w:val="auto"/>
          <w:highlight w:val="none"/>
        </w:rPr>
        <w:t xml:space="preserve">ospital 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P</w:t>
      </w:r>
      <w:r>
        <w:rPr>
          <w:rFonts w:hint="default" w:ascii="Times New Roman" w:hAnsi="Times New Roman" w:cs="Times New Roman"/>
          <w:color w:val="auto"/>
          <w:highlight w:val="none"/>
        </w:rPr>
        <w:t>sychiatry, 2017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;</w:t>
      </w:r>
      <w:r>
        <w:rPr>
          <w:rFonts w:hint="default" w:ascii="Times New Roman" w:hAnsi="Times New Roman" w:cs="Times New Roman"/>
          <w:color w:val="auto"/>
          <w:highlight w:val="none"/>
        </w:rPr>
        <w:t>49:51-55.</w:t>
      </w:r>
      <w:bookmarkEnd w:id="1"/>
      <w:bookmarkStart w:id="2" w:name="_Ref15770"/>
    </w:p>
    <w:p w14:paraId="63EFE7E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/>
        <w:ind w:left="480" w:leftChars="0" w:hanging="480" w:hangingChars="200"/>
        <w:textAlignment w:val="auto"/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lang w:val="en-US" w:eastAsia="zh-CN" w:bidi="ar-SA"/>
        </w:rPr>
        <w:t>27.</w:t>
      </w:r>
      <w:r>
        <w:rPr>
          <w:rFonts w:hint="default" w:ascii="Times New Roman" w:hAnsi="Times New Roman" w:cs="Times New Roman"/>
          <w:color w:val="auto"/>
          <w:highlight w:val="none"/>
        </w:rPr>
        <w:t>Katz DE, Rector NA, McCabe RE, et al. The effect of aerobic exercise alone and in combination with cognitive behavioural therapy on obsessive compulsive disorder: A randomized control study. Journal of Anxiety Disorders, 2023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;</w:t>
      </w:r>
      <w:r>
        <w:rPr>
          <w:rFonts w:hint="default" w:ascii="Times New Roman" w:hAnsi="Times New Roman" w:cs="Times New Roman"/>
          <w:color w:val="auto"/>
          <w:highlight w:val="none"/>
        </w:rPr>
        <w:t>98:102746.</w:t>
      </w:r>
      <w:bookmarkEnd w:id="2"/>
      <w:bookmarkStart w:id="3" w:name="_Ref15790"/>
    </w:p>
    <w:p w14:paraId="32E930F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/>
        <w:ind w:left="480" w:leftChars="0" w:hanging="480" w:hangingChars="200"/>
        <w:textAlignment w:val="auto"/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lang w:val="en-US" w:eastAsia="zh-CN" w:bidi="ar-SA"/>
        </w:rPr>
        <w:t>28.</w:t>
      </w:r>
      <w:r>
        <w:rPr>
          <w:rFonts w:hint="default" w:ascii="Times New Roman" w:hAnsi="Times New Roman" w:cs="Times New Roman"/>
          <w:color w:val="auto"/>
          <w:highlight w:val="none"/>
        </w:rPr>
        <w:t>Weinstock LM, Broughton MK, Tezanos KM, et al. Adjunctive yoga versus bibliotherapy for bipolar depression: a pilot randomized controlled trial. Mental Health and Physical Activity, 2016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;</w:t>
      </w:r>
      <w:r>
        <w:rPr>
          <w:rFonts w:hint="default" w:ascii="Times New Roman" w:hAnsi="Times New Roman" w:cs="Times New Roman"/>
          <w:color w:val="auto"/>
          <w:highlight w:val="none"/>
        </w:rPr>
        <w:t>11:67-73.</w:t>
      </w:r>
      <w:bookmarkEnd w:id="3"/>
      <w:bookmarkStart w:id="4" w:name="_Ref15813"/>
    </w:p>
    <w:p w14:paraId="368A713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/>
        <w:ind w:left="480" w:leftChars="0" w:hanging="480" w:hangingChars="200"/>
        <w:textAlignment w:val="auto"/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lang w:val="en-US" w:eastAsia="zh-CN" w:bidi="ar-SA"/>
        </w:rPr>
        <w:t>29.</w:t>
      </w:r>
      <w:r>
        <w:rPr>
          <w:rFonts w:hint="default" w:ascii="Times New Roman" w:hAnsi="Times New Roman" w:cs="Times New Roman"/>
          <w:color w:val="auto"/>
          <w:highlight w:val="none"/>
        </w:rPr>
        <w:t>Ravindran AV, McKay MS, Silva T, et al. Breathing-focused Yoga as Augmentation for Unipolar and Bipolar Depression: A Randomized Controlled Trial: Le yoga axé sur la respiration comme traitement d’appoint pour la dépression unipolaire et bipolaire: Un essai randomisé contrôlé. The Canadian Journal of Psychiatry, 2021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;</w:t>
      </w:r>
      <w:r>
        <w:rPr>
          <w:rFonts w:hint="default" w:ascii="Times New Roman" w:hAnsi="Times New Roman" w:cs="Times New Roman"/>
          <w:color w:val="auto"/>
          <w:highlight w:val="none"/>
        </w:rPr>
        <w:t>66(2):159-169.</w:t>
      </w:r>
      <w:bookmarkEnd w:id="4"/>
      <w:bookmarkStart w:id="5" w:name="_Ref15839"/>
    </w:p>
    <w:p w14:paraId="6581600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/>
        <w:ind w:left="480" w:leftChars="0" w:hanging="480" w:hangingChars="200"/>
        <w:textAlignment w:val="auto"/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lang w:val="en-US" w:eastAsia="zh-CN" w:bidi="ar-SA"/>
        </w:rPr>
        <w:t>30.</w:t>
      </w:r>
      <w:r>
        <w:rPr>
          <w:rFonts w:hint="default" w:ascii="Times New Roman" w:hAnsi="Times New Roman" w:cs="Times New Roman"/>
          <w:color w:val="auto"/>
          <w:highlight w:val="none"/>
        </w:rPr>
        <w:t>Park H, Rigas C, Ibrahim M, et al. Efficacy of virtually-delivered Qigong/Tai Chi for depression in middle-and older-age adults with bipolar disorder (QT-BD): A pilot randomized controlled trial during the COVID-19 pandemic. Journal of Affective Disorders Reports, 2023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;</w:t>
      </w:r>
      <w:r>
        <w:rPr>
          <w:rFonts w:hint="default" w:ascii="Times New Roman" w:hAnsi="Times New Roman" w:cs="Times New Roman"/>
          <w:color w:val="auto"/>
          <w:highlight w:val="none"/>
        </w:rPr>
        <w:t>13:100604.</w:t>
      </w:r>
      <w:bookmarkEnd w:id="5"/>
    </w:p>
    <w:p w14:paraId="0C44DA74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afterAutospacing="0" w:line="480" w:lineRule="auto"/>
        <w:ind w:left="0" w:leftChars="0" w:firstLine="440" w:firstLineChars="200"/>
        <w:jc w:val="both"/>
        <w:textAlignment w:val="auto"/>
        <w:rPr>
          <w:rFonts w:hint="default" w:ascii="Times New Roman" w:hAnsi="Times New Roman" w:cs="Times New Roman"/>
          <w:sz w:val="22"/>
          <w:szCs w:val="22"/>
          <w:highlight w:val="none"/>
          <w:lang w:val="en-US" w:eastAsia="zh-CN"/>
        </w:rPr>
      </w:pPr>
    </w:p>
    <w:p w14:paraId="2B64375B"/>
    <w:p w14:paraId="5D1E893E">
      <w:pPr>
        <w:jc w:val="left"/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sectPr>
      <w:pgSz w:w="24480" w:h="15839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9C6CBE"/>
    <w:rsid w:val="094939A9"/>
    <w:rsid w:val="13947DA9"/>
    <w:rsid w:val="59DC6192"/>
    <w:rsid w:val="70A51CDF"/>
    <w:rsid w:val="789C6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qFormat/>
    <w:uiPriority w:val="0"/>
    <w:pPr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280</Words>
  <Characters>1711</Characters>
  <Lines>0</Lines>
  <Paragraphs>0</Paragraphs>
  <TotalTime>0</TotalTime>
  <ScaleCrop>false</ScaleCrop>
  <LinksUpToDate>false</LinksUpToDate>
  <CharactersWithSpaces>1877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2025-11-15T11:29:00Z</dcterms:created>
  <dc:creator>YuAn？</dc:creator>
  <cp:lastModifiedBy>YuAn？</cp:lastModifiedBy>
  <dcterms:modified xsi:type="dcterms:W3CDTF">2025-11-16T15:34:15Z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50371579EEA94AB6B83AAC754FEAB1FF_11</vt:lpwstr>
  </property>
  <property fmtid="{D5CDD505-2E9C-101B-9397-08002B2CF9AE}" pid="4" name="KSOTemplateDocerSaveRecord">
    <vt:lpwstr>eyJoZGlkIjoiMmI1NGJiZTk3Y2U4OWJlNWZkZmVmMjBkN2I2MDdkMGIiLCJ1c2VySWQiOiI2NjgwMTE0MzcifQ==</vt:lpwstr>
  </property>
</Properties>
</file>