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5EC14A"/>
    <w:p w14:paraId="1D160371">
      <w:pPr>
        <w:jc w:val="center"/>
        <w:rPr>
          <w:rFonts w:hint="eastAsia"/>
        </w:rPr>
      </w:pPr>
      <w:r>
        <w:rPr>
          <w:rFonts w:hint="eastAsia"/>
        </w:rPr>
        <w:t>Supplementary materials</w:t>
      </w:r>
    </w:p>
    <w:p w14:paraId="1BC6C724">
      <w:pPr>
        <w:jc w:val="center"/>
        <w:rPr>
          <w:rFonts w:hint="eastAsia"/>
        </w:rPr>
      </w:pPr>
    </w:p>
    <w:p w14:paraId="4CBB60B9">
      <w:pPr>
        <w:jc w:val="both"/>
        <w:rPr>
          <w:rFonts w:hint="eastAsia"/>
          <w:b/>
          <w:bCs/>
        </w:rPr>
      </w:pPr>
      <w:r>
        <w:rPr>
          <w:rFonts w:hint="eastAsia"/>
          <w:b/>
          <w:bCs/>
        </w:rPr>
        <w:t>1. Supplementary Methods</w:t>
      </w:r>
    </w:p>
    <w:p w14:paraId="7D9BED16">
      <w:pPr>
        <w:jc w:val="both"/>
        <w:rPr>
          <w:rFonts w:hint="eastAsia"/>
          <w:b/>
          <w:bCs/>
        </w:rPr>
      </w:pPr>
      <w:r>
        <w:rPr>
          <w:rFonts w:hint="eastAsia"/>
          <w:b/>
          <w:bCs/>
        </w:rPr>
        <w:t>1.1 Primary analysis threshold</w:t>
      </w:r>
    </w:p>
    <w:p w14:paraId="3D374E7E">
      <w:pPr>
        <w:jc w:val="both"/>
        <w:rPr>
          <w:rFonts w:hint="eastAsia"/>
        </w:rPr>
      </w:pPr>
      <w:r>
        <w:rPr>
          <w:rFonts w:hint="eastAsia"/>
        </w:rPr>
        <w:t>The primary coordinate-based meta-analyses were conducted using AES-SDM implemented in SDM-PSI. Statistical significance was determined using permutation-based correction as implemented in SDM-PSI. The predefined statistical threshold for the main analyses was set at:</w:t>
      </w:r>
    </w:p>
    <w:p w14:paraId="5DA3AB53">
      <w:pPr>
        <w:jc w:val="both"/>
        <w:rPr>
          <w:rFonts w:hint="eastAsia"/>
        </w:rPr>
      </w:pPr>
      <w:r>
        <w:rPr>
          <w:rFonts w:hint="eastAsia"/>
        </w:rPr>
        <w:t>TFCE-corrected</w:t>
      </w:r>
    </w:p>
    <w:p w14:paraId="32FA6BC6">
      <w:pPr>
        <w:jc w:val="both"/>
        <w:rPr>
          <w:rFonts w:hint="eastAsia"/>
        </w:rPr>
      </w:pPr>
      <w:r>
        <w:rPr>
          <w:rFonts w:hint="eastAsia"/>
          <w:i/>
          <w:iCs/>
        </w:rPr>
        <w:t xml:space="preserve">p </w:t>
      </w:r>
      <w:r>
        <w:rPr>
          <w:rFonts w:hint="eastAsia"/>
        </w:rPr>
        <w:t>&lt; 0.05</w:t>
      </w:r>
    </w:p>
    <w:p w14:paraId="2EB2B0F8">
      <w:pPr>
        <w:jc w:val="both"/>
        <w:rPr>
          <w:rFonts w:hint="eastAsia"/>
        </w:rPr>
      </w:pPr>
      <w:r>
        <w:rPr>
          <w:rFonts w:hint="eastAsia"/>
          <w:lang w:val="en-US" w:eastAsia="zh-CN"/>
        </w:rPr>
        <w:t>1</w:t>
      </w:r>
      <w:r>
        <w:rPr>
          <w:rFonts w:hint="eastAsia"/>
        </w:rPr>
        <w:t>000 permutations</w:t>
      </w:r>
    </w:p>
    <w:p w14:paraId="052F48B0">
      <w:pPr>
        <w:jc w:val="both"/>
        <w:rPr>
          <w:rFonts w:hint="eastAsia"/>
        </w:rPr>
      </w:pPr>
      <w:r>
        <w:rPr>
          <w:rFonts w:hint="eastAsia"/>
        </w:rPr>
        <w:t>cluster extent ≥ 50 voxels</w:t>
      </w:r>
    </w:p>
    <w:p w14:paraId="169BE7C6">
      <w:pPr>
        <w:jc w:val="both"/>
        <w:rPr>
          <w:rFonts w:hint="eastAsia"/>
        </w:rPr>
      </w:pPr>
      <w:r>
        <w:rPr>
          <w:rFonts w:hint="eastAsia"/>
        </w:rPr>
        <w:t>FWHM = 20 mm</w:t>
      </w:r>
    </w:p>
    <w:p w14:paraId="52D3AB15">
      <w:pPr>
        <w:jc w:val="both"/>
        <w:rPr>
          <w:rFonts w:hint="eastAsia"/>
        </w:rPr>
      </w:pPr>
      <w:r>
        <w:rPr>
          <w:rFonts w:hint="eastAsia"/>
        </w:rPr>
        <w:t>Only clusters surviving this correction threshold were considered statistically significant in the primary analyses.</w:t>
      </w:r>
    </w:p>
    <w:p w14:paraId="61904021">
      <w:pPr>
        <w:jc w:val="both"/>
        <w:rPr>
          <w:rFonts w:hint="eastAsia"/>
          <w:b/>
          <w:bCs/>
        </w:rPr>
      </w:pPr>
      <w:r>
        <w:rPr>
          <w:rFonts w:hint="eastAsia"/>
          <w:b/>
          <w:bCs/>
        </w:rPr>
        <w:t>1.2 E</w:t>
      </w:r>
      <w:bookmarkStart w:id="0" w:name="_GoBack"/>
      <w:bookmarkEnd w:id="0"/>
      <w:r>
        <w:rPr>
          <w:rFonts w:hint="eastAsia"/>
          <w:b/>
          <w:bCs/>
        </w:rPr>
        <w:t>xploratory uncorrected analyses</w:t>
      </w:r>
    </w:p>
    <w:p w14:paraId="3A0E7B1E">
      <w:pPr>
        <w:jc w:val="both"/>
        <w:rPr>
          <w:rFonts w:hint="eastAsia"/>
        </w:rPr>
      </w:pPr>
      <w:r>
        <w:rPr>
          <w:rFonts w:hint="eastAsia"/>
        </w:rPr>
        <w:t>To further explore potential subthreshold activation patterns in the working memory and reward domains, additional AES-SDM analyses were conducted using a more lenient statistical threshold:</w:t>
      </w:r>
    </w:p>
    <w:p w14:paraId="093B4865">
      <w:pPr>
        <w:jc w:val="both"/>
        <w:rPr>
          <w:rFonts w:hint="eastAsia"/>
        </w:rPr>
      </w:pPr>
      <w:r>
        <w:rPr>
          <w:rFonts w:hint="eastAsia"/>
        </w:rPr>
        <w:t>uncorrected</w:t>
      </w:r>
      <w:r>
        <w:rPr>
          <w:rFonts w:hint="eastAsia"/>
          <w:i/>
          <w:iCs/>
        </w:rPr>
        <w:t xml:space="preserve"> p </w:t>
      </w:r>
      <w:r>
        <w:rPr>
          <w:rFonts w:hint="eastAsia"/>
        </w:rPr>
        <w:t>&lt; 0.05</w:t>
      </w:r>
    </w:p>
    <w:p w14:paraId="279DBB72">
      <w:pPr>
        <w:jc w:val="both"/>
        <w:rPr>
          <w:rFonts w:hint="eastAsia"/>
        </w:rPr>
      </w:pPr>
      <w:r>
        <w:rPr>
          <w:rFonts w:hint="eastAsia"/>
        </w:rPr>
        <w:t>cluster extent ≥ 50 voxels</w:t>
      </w:r>
    </w:p>
    <w:p w14:paraId="6D95A234">
      <w:pPr>
        <w:jc w:val="both"/>
        <w:rPr>
          <w:rFonts w:hint="eastAsia"/>
        </w:rPr>
      </w:pPr>
      <w:r>
        <w:rPr>
          <w:rFonts w:hint="eastAsia"/>
        </w:rPr>
        <w:t>FWHM = 20 mm</w:t>
      </w:r>
    </w:p>
    <w:p w14:paraId="5D601BBB">
      <w:pPr>
        <w:jc w:val="both"/>
        <w:rPr>
          <w:rFonts w:hint="eastAsia"/>
        </w:rPr>
      </w:pPr>
      <w:r>
        <w:rPr>
          <w:rFonts w:hint="eastAsia"/>
        </w:rPr>
        <w:t>No permutation-based or TFCE-based correction was applied in these exploratory analyses. These analyses were conducted post hoc and were considered hypothesis-generating.</w:t>
      </w:r>
    </w:p>
    <w:p w14:paraId="69733B6E">
      <w:pPr>
        <w:rPr>
          <w:rFonts w:hint="eastAsia"/>
        </w:rPr>
      </w:pPr>
      <w:r>
        <w:rPr>
          <w:rFonts w:hint="eastAsia"/>
        </w:rPr>
        <w:br w:type="page"/>
      </w:r>
    </w:p>
    <w:p w14:paraId="13D47E27">
      <w:pPr>
        <w:jc w:val="both"/>
        <w:rPr>
          <w:rFonts w:hint="eastAsia"/>
          <w:b/>
          <w:bCs/>
        </w:rPr>
      </w:pPr>
      <w:r>
        <w:rPr>
          <w:rFonts w:hint="eastAsia"/>
          <w:b/>
          <w:bCs/>
        </w:rPr>
        <w:t>2. Supplementary Results</w:t>
      </w:r>
    </w:p>
    <w:p w14:paraId="5D81D1FD">
      <w:pPr>
        <w:jc w:val="both"/>
        <w:rPr>
          <w:rFonts w:hint="eastAsia"/>
          <w:b/>
          <w:bCs/>
        </w:rPr>
      </w:pPr>
      <w:r>
        <w:rPr>
          <w:rFonts w:hint="eastAsia"/>
          <w:b/>
          <w:bCs/>
        </w:rPr>
        <w:t>2.1 Working memory domain</w:t>
      </w:r>
    </w:p>
    <w:p w14:paraId="12D3E915">
      <w:pPr>
        <w:jc w:val="both"/>
        <w:rPr>
          <w:rFonts w:hint="eastAsia"/>
        </w:rPr>
      </w:pPr>
      <w:r>
        <w:rPr>
          <w:rFonts w:hint="eastAsia"/>
        </w:rPr>
        <w:t>Using the exploratory uncorrected threshold (p &lt; 0.05, k ≥ 50 voxels), several clusters showing greater activation in MDD relative to healthy controls were identified within canonical working memory–related regions. These included the left precentral gyrus, right middle frontal gyrus, left median cingulate/paracingulate gyri, right precuneus, right inferior parietal lobule (excluding supramarginal and angular gyri), left inferior parietal lobule (excluding supramarginal and angular gyri), right precentral gyrus, right middle occipital gyrus, left fusiform gyrus, right cerebellar hemispheric lobule VI, right inferior occipital gyrus, left inferior occipital gyrus, and left postcentral gyrus (see Table S1). No clusters were observed for the contrast HC</w:t>
      </w:r>
      <w:r>
        <w:rPr>
          <w:rFonts w:hint="default"/>
          <w:lang w:val="en-US"/>
        </w:rPr>
        <w:t>s</w:t>
      </w:r>
      <w:r>
        <w:rPr>
          <w:rFonts w:hint="eastAsia"/>
        </w:rPr>
        <w:t xml:space="preserve"> &gt; MDD under this exploratory threshold.</w:t>
      </w:r>
    </w:p>
    <w:p w14:paraId="4F98006C">
      <w:pPr>
        <w:rPr>
          <w:rFonts w:hint="eastAsia"/>
        </w:rPr>
      </w:pPr>
      <w:r>
        <w:rPr>
          <w:rFonts w:hint="eastAsia"/>
        </w:rPr>
        <w:br w:type="page"/>
      </w:r>
    </w:p>
    <w:p w14:paraId="7738A586">
      <w:pPr>
        <w:jc w:val="both"/>
        <w:rPr>
          <w:rFonts w:hint="eastAsia"/>
          <w:b/>
          <w:bCs/>
          <w:lang w:val="en-US" w:eastAsia="zh-CN"/>
        </w:rPr>
      </w:pPr>
      <w:r>
        <w:rPr>
          <w:rFonts w:hint="eastAsia"/>
          <w:b/>
          <w:bCs/>
          <w:lang w:val="en-US" w:eastAsia="zh-CN"/>
        </w:rPr>
        <w:t>Table S1 Exploratory uncorrected AES-SDM results for the working memory domain (p &lt; 0.05, k ≥ 50 voxels)</w:t>
      </w:r>
    </w:p>
    <w:tbl>
      <w:tblPr>
        <w:tblStyle w:val="4"/>
        <w:tblW w:w="5353" w:type="pct"/>
        <w:tblInd w:w="0" w:type="dxa"/>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2753"/>
        <w:gridCol w:w="585"/>
        <w:gridCol w:w="597"/>
        <w:gridCol w:w="567"/>
        <w:gridCol w:w="913"/>
        <w:gridCol w:w="1519"/>
        <w:gridCol w:w="867"/>
      </w:tblGrid>
      <w:tr w14:paraId="0352FDAD">
        <w:trPr>
          <w:trHeight w:val="23" w:hRule="atLeast"/>
        </w:trPr>
        <w:tc>
          <w:tcPr>
            <w:tcW w:w="1324" w:type="dxa"/>
            <w:vMerge w:val="restart"/>
            <w:tcBorders>
              <w:top w:val="single" w:color="auto" w:sz="12" w:space="0"/>
              <w:left w:val="nil"/>
              <w:bottom w:val="single" w:color="auto" w:sz="4" w:space="0"/>
              <w:right w:val="nil"/>
            </w:tcBorders>
            <w:noWrap w:val="0"/>
            <w:vAlign w:val="center"/>
          </w:tcPr>
          <w:p w14:paraId="2656732A">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Research methods</w:t>
            </w:r>
          </w:p>
        </w:tc>
        <w:tc>
          <w:tcPr>
            <w:tcW w:w="2753" w:type="dxa"/>
            <w:vMerge w:val="restart"/>
            <w:tcBorders>
              <w:top w:val="single" w:color="auto" w:sz="12" w:space="0"/>
              <w:left w:val="nil"/>
              <w:bottom w:val="single" w:color="auto" w:sz="4" w:space="0"/>
              <w:right w:val="nil"/>
            </w:tcBorders>
            <w:noWrap w:val="0"/>
            <w:vAlign w:val="center"/>
          </w:tcPr>
          <w:p w14:paraId="206819C9">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Anatomical label</w:t>
            </w:r>
          </w:p>
        </w:tc>
        <w:tc>
          <w:tcPr>
            <w:tcW w:w="1749" w:type="dxa"/>
            <w:gridSpan w:val="3"/>
            <w:tcBorders>
              <w:top w:val="single" w:color="auto" w:sz="12" w:space="0"/>
              <w:left w:val="nil"/>
              <w:bottom w:val="nil"/>
              <w:right w:val="nil"/>
            </w:tcBorders>
            <w:noWrap w:val="0"/>
            <w:vAlign w:val="center"/>
          </w:tcPr>
          <w:p w14:paraId="64E14F2C">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Peak MNI coordinate</w:t>
            </w:r>
          </w:p>
        </w:tc>
        <w:tc>
          <w:tcPr>
            <w:tcW w:w="913" w:type="dxa"/>
            <w:vMerge w:val="restart"/>
            <w:tcBorders>
              <w:top w:val="single" w:color="auto" w:sz="12" w:space="0"/>
              <w:left w:val="nil"/>
              <w:right w:val="nil"/>
            </w:tcBorders>
            <w:noWrap w:val="0"/>
            <w:vAlign w:val="center"/>
          </w:tcPr>
          <w:p w14:paraId="71E997C9">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SDM-Z</w:t>
            </w:r>
          </w:p>
        </w:tc>
        <w:tc>
          <w:tcPr>
            <w:tcW w:w="1519" w:type="dxa"/>
            <w:vMerge w:val="restart"/>
            <w:tcBorders>
              <w:top w:val="single" w:color="auto" w:sz="12" w:space="0"/>
              <w:left w:val="nil"/>
              <w:right w:val="nil"/>
            </w:tcBorders>
            <w:noWrap w:val="0"/>
            <w:vAlign w:val="center"/>
          </w:tcPr>
          <w:p w14:paraId="10C315B1">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p value</w:t>
            </w:r>
          </w:p>
        </w:tc>
        <w:tc>
          <w:tcPr>
            <w:tcW w:w="867" w:type="dxa"/>
            <w:vMerge w:val="restart"/>
            <w:tcBorders>
              <w:top w:val="single" w:color="auto" w:sz="12" w:space="0"/>
              <w:left w:val="nil"/>
              <w:right w:val="nil"/>
            </w:tcBorders>
            <w:noWrap w:val="0"/>
            <w:vAlign w:val="center"/>
          </w:tcPr>
          <w:p w14:paraId="24FA9D20">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Voxels</w:t>
            </w:r>
          </w:p>
        </w:tc>
      </w:tr>
      <w:tr w14:paraId="5E50E375">
        <w:trPr>
          <w:trHeight w:val="23" w:hRule="atLeast"/>
        </w:trPr>
        <w:tc>
          <w:tcPr>
            <w:tcW w:w="1324" w:type="dxa"/>
            <w:vMerge w:val="continue"/>
            <w:tcBorders>
              <w:top w:val="single" w:color="auto" w:sz="4" w:space="0"/>
              <w:left w:val="nil"/>
              <w:bottom w:val="single" w:color="auto" w:sz="4" w:space="0"/>
              <w:right w:val="nil"/>
            </w:tcBorders>
            <w:noWrap w:val="0"/>
            <w:vAlign w:val="center"/>
          </w:tcPr>
          <w:p w14:paraId="07F2D8AB">
            <w:pPr>
              <w:jc w:val="both"/>
              <w:rPr>
                <w:rFonts w:hint="default" w:ascii="Times New Roman Regular" w:hAnsi="Times New Roman Regular" w:cs="Times New Roman Regular"/>
                <w:lang w:val="en-US" w:eastAsia="zh-CN"/>
              </w:rPr>
            </w:pPr>
          </w:p>
        </w:tc>
        <w:tc>
          <w:tcPr>
            <w:tcW w:w="2753" w:type="dxa"/>
            <w:vMerge w:val="continue"/>
            <w:tcBorders>
              <w:top w:val="single" w:color="auto" w:sz="4" w:space="0"/>
              <w:left w:val="nil"/>
              <w:bottom w:val="single" w:color="auto" w:sz="4" w:space="0"/>
              <w:right w:val="nil"/>
            </w:tcBorders>
            <w:noWrap w:val="0"/>
            <w:vAlign w:val="center"/>
          </w:tcPr>
          <w:p w14:paraId="247656DC">
            <w:pPr>
              <w:jc w:val="both"/>
              <w:rPr>
                <w:rFonts w:hint="default" w:ascii="Times New Roman Regular" w:hAnsi="Times New Roman Regular" w:cs="Times New Roman Regular"/>
                <w:lang w:val="en-US" w:eastAsia="zh-CN"/>
              </w:rPr>
            </w:pPr>
          </w:p>
        </w:tc>
        <w:tc>
          <w:tcPr>
            <w:tcW w:w="1749" w:type="dxa"/>
            <w:gridSpan w:val="3"/>
            <w:tcBorders>
              <w:top w:val="nil"/>
              <w:left w:val="nil"/>
              <w:bottom w:val="single" w:color="auto" w:sz="6" w:space="0"/>
              <w:right w:val="nil"/>
            </w:tcBorders>
            <w:noWrap w:val="0"/>
            <w:vAlign w:val="center"/>
          </w:tcPr>
          <w:p w14:paraId="107E6BC9">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X    Y    Z</w:t>
            </w:r>
          </w:p>
        </w:tc>
        <w:tc>
          <w:tcPr>
            <w:tcW w:w="913" w:type="dxa"/>
            <w:vMerge w:val="continue"/>
            <w:tcBorders>
              <w:left w:val="nil"/>
              <w:bottom w:val="single" w:color="auto" w:sz="6" w:space="0"/>
              <w:right w:val="nil"/>
            </w:tcBorders>
            <w:noWrap w:val="0"/>
            <w:vAlign w:val="center"/>
          </w:tcPr>
          <w:p w14:paraId="3D1C37EB">
            <w:pPr>
              <w:jc w:val="both"/>
              <w:rPr>
                <w:rFonts w:hint="default" w:ascii="Times New Roman Regular" w:hAnsi="Times New Roman Regular" w:cs="Times New Roman Regular"/>
                <w:lang w:val="en-US" w:eastAsia="zh-CN"/>
              </w:rPr>
            </w:pPr>
          </w:p>
        </w:tc>
        <w:tc>
          <w:tcPr>
            <w:tcW w:w="1519" w:type="dxa"/>
            <w:vMerge w:val="continue"/>
            <w:tcBorders>
              <w:left w:val="nil"/>
              <w:bottom w:val="single" w:color="auto" w:sz="6" w:space="0"/>
              <w:right w:val="nil"/>
            </w:tcBorders>
            <w:noWrap w:val="0"/>
            <w:vAlign w:val="center"/>
          </w:tcPr>
          <w:p w14:paraId="7772E5BE">
            <w:pPr>
              <w:jc w:val="both"/>
              <w:rPr>
                <w:rFonts w:hint="default" w:ascii="Times New Roman Regular" w:hAnsi="Times New Roman Regular" w:cs="Times New Roman Regular"/>
                <w:lang w:val="en-US" w:eastAsia="zh-CN"/>
              </w:rPr>
            </w:pPr>
          </w:p>
        </w:tc>
        <w:tc>
          <w:tcPr>
            <w:tcW w:w="867" w:type="dxa"/>
            <w:vMerge w:val="continue"/>
            <w:tcBorders>
              <w:left w:val="nil"/>
              <w:bottom w:val="single" w:color="auto" w:sz="6" w:space="0"/>
              <w:right w:val="nil"/>
            </w:tcBorders>
            <w:noWrap w:val="0"/>
            <w:vAlign w:val="center"/>
          </w:tcPr>
          <w:p w14:paraId="5C23DF2E">
            <w:pPr>
              <w:jc w:val="both"/>
              <w:rPr>
                <w:rFonts w:hint="default" w:ascii="Times New Roman Regular" w:hAnsi="Times New Roman Regular" w:cs="Times New Roman Regular"/>
                <w:lang w:val="en-US" w:eastAsia="zh-CN"/>
              </w:rPr>
            </w:pPr>
          </w:p>
        </w:tc>
      </w:tr>
      <w:tr w14:paraId="103DB9C6">
        <w:trPr>
          <w:trHeight w:val="23" w:hRule="atLeast"/>
        </w:trPr>
        <w:tc>
          <w:tcPr>
            <w:tcW w:w="1324" w:type="dxa"/>
            <w:tcBorders>
              <w:top w:val="nil"/>
              <w:left w:val="nil"/>
              <w:bottom w:val="nil"/>
              <w:right w:val="nil"/>
            </w:tcBorders>
            <w:noWrap w:val="0"/>
            <w:vAlign w:val="center"/>
          </w:tcPr>
          <w:p w14:paraId="370F9737">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MDD &gt; HCs</w:t>
            </w:r>
          </w:p>
        </w:tc>
        <w:tc>
          <w:tcPr>
            <w:tcW w:w="7801" w:type="dxa"/>
            <w:gridSpan w:val="7"/>
            <w:tcBorders>
              <w:top w:val="nil"/>
              <w:left w:val="nil"/>
              <w:bottom w:val="nil"/>
              <w:right w:val="nil"/>
            </w:tcBorders>
            <w:noWrap w:val="0"/>
            <w:vAlign w:val="center"/>
          </w:tcPr>
          <w:p w14:paraId="51990B68">
            <w:pPr>
              <w:jc w:val="both"/>
              <w:rPr>
                <w:rFonts w:hint="default" w:ascii="Times New Roman Regular" w:hAnsi="Times New Roman Regular" w:cs="Times New Roman Regular"/>
                <w:lang w:val="en-US" w:eastAsia="zh-CN"/>
              </w:rPr>
            </w:pPr>
          </w:p>
        </w:tc>
      </w:tr>
      <w:tr w14:paraId="313F9C44">
        <w:trPr>
          <w:trHeight w:val="299" w:hRule="atLeast"/>
        </w:trPr>
        <w:tc>
          <w:tcPr>
            <w:tcW w:w="1324" w:type="dxa"/>
            <w:tcBorders>
              <w:top w:val="nil"/>
              <w:left w:val="nil"/>
              <w:bottom w:val="nil"/>
              <w:right w:val="nil"/>
            </w:tcBorders>
            <w:noWrap w:val="0"/>
            <w:vAlign w:val="center"/>
          </w:tcPr>
          <w:p w14:paraId="0135FD9C">
            <w:pPr>
              <w:jc w:val="both"/>
              <w:rPr>
                <w:rFonts w:hint="default" w:ascii="Times New Roman Regular" w:hAnsi="Times New Roman Regular" w:cs="Times New Roman Regular"/>
                <w:lang w:val="en-US" w:eastAsia="zh-CN"/>
              </w:rPr>
            </w:pPr>
          </w:p>
        </w:tc>
        <w:tc>
          <w:tcPr>
            <w:tcW w:w="2753" w:type="dxa"/>
            <w:tcBorders>
              <w:top w:val="nil"/>
              <w:left w:val="nil"/>
              <w:bottom w:val="nil"/>
              <w:right w:val="nil"/>
            </w:tcBorders>
            <w:noWrap w:val="0"/>
            <w:vAlign w:val="center"/>
          </w:tcPr>
          <w:p w14:paraId="517E6CA0">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Left precentral gyrus, BA 44</w:t>
            </w:r>
          </w:p>
        </w:tc>
        <w:tc>
          <w:tcPr>
            <w:tcW w:w="585" w:type="dxa"/>
            <w:tcBorders>
              <w:top w:val="nil"/>
              <w:left w:val="nil"/>
              <w:bottom w:val="nil"/>
              <w:right w:val="nil"/>
            </w:tcBorders>
            <w:noWrap w:val="0"/>
            <w:vAlign w:val="center"/>
          </w:tcPr>
          <w:p w14:paraId="7289E9CF">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-50</w:t>
            </w:r>
          </w:p>
        </w:tc>
        <w:tc>
          <w:tcPr>
            <w:tcW w:w="597" w:type="dxa"/>
            <w:tcBorders>
              <w:top w:val="nil"/>
              <w:left w:val="nil"/>
              <w:bottom w:val="nil"/>
              <w:right w:val="nil"/>
            </w:tcBorders>
            <w:noWrap w:val="0"/>
            <w:vAlign w:val="center"/>
          </w:tcPr>
          <w:p w14:paraId="04726BE4">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6</w:t>
            </w:r>
          </w:p>
        </w:tc>
        <w:tc>
          <w:tcPr>
            <w:tcW w:w="567" w:type="dxa"/>
            <w:tcBorders>
              <w:top w:val="nil"/>
              <w:left w:val="nil"/>
              <w:bottom w:val="nil"/>
              <w:right w:val="nil"/>
            </w:tcBorders>
            <w:noWrap w:val="0"/>
            <w:vAlign w:val="center"/>
          </w:tcPr>
          <w:p w14:paraId="68CE02FD">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22</w:t>
            </w:r>
          </w:p>
        </w:tc>
        <w:tc>
          <w:tcPr>
            <w:tcW w:w="913" w:type="dxa"/>
            <w:tcBorders>
              <w:top w:val="nil"/>
              <w:left w:val="nil"/>
              <w:bottom w:val="nil"/>
              <w:right w:val="nil"/>
            </w:tcBorders>
            <w:noWrap w:val="0"/>
            <w:vAlign w:val="center"/>
          </w:tcPr>
          <w:p w14:paraId="2B1F33F5">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2.888</w:t>
            </w:r>
          </w:p>
        </w:tc>
        <w:tc>
          <w:tcPr>
            <w:tcW w:w="1519" w:type="dxa"/>
            <w:tcBorders>
              <w:top w:val="nil"/>
              <w:left w:val="nil"/>
              <w:bottom w:val="nil"/>
              <w:right w:val="nil"/>
            </w:tcBorders>
            <w:noWrap w:val="0"/>
            <w:vAlign w:val="center"/>
          </w:tcPr>
          <w:p w14:paraId="09750415">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0.001935720</w:t>
            </w:r>
          </w:p>
        </w:tc>
        <w:tc>
          <w:tcPr>
            <w:tcW w:w="867" w:type="dxa"/>
            <w:tcBorders>
              <w:top w:val="nil"/>
              <w:left w:val="nil"/>
              <w:bottom w:val="nil"/>
              <w:right w:val="nil"/>
            </w:tcBorders>
            <w:noWrap w:val="0"/>
            <w:vAlign w:val="center"/>
          </w:tcPr>
          <w:p w14:paraId="6487B4B6">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1776</w:t>
            </w:r>
          </w:p>
        </w:tc>
      </w:tr>
      <w:tr w14:paraId="47E6692B">
        <w:trPr>
          <w:trHeight w:val="23" w:hRule="atLeast"/>
        </w:trPr>
        <w:tc>
          <w:tcPr>
            <w:tcW w:w="1324" w:type="dxa"/>
            <w:tcBorders>
              <w:top w:val="nil"/>
              <w:left w:val="nil"/>
              <w:bottom w:val="nil"/>
              <w:right w:val="nil"/>
            </w:tcBorders>
            <w:noWrap w:val="0"/>
            <w:vAlign w:val="center"/>
          </w:tcPr>
          <w:p w14:paraId="5221A81B">
            <w:pPr>
              <w:jc w:val="both"/>
              <w:rPr>
                <w:rFonts w:hint="default" w:ascii="Times New Roman Regular" w:hAnsi="Times New Roman Regular" w:cs="Times New Roman Regular"/>
                <w:lang w:val="en-US" w:eastAsia="zh-CN"/>
              </w:rPr>
            </w:pPr>
          </w:p>
        </w:tc>
        <w:tc>
          <w:tcPr>
            <w:tcW w:w="2753" w:type="dxa"/>
            <w:tcBorders>
              <w:top w:val="nil"/>
              <w:left w:val="nil"/>
              <w:bottom w:val="nil"/>
              <w:right w:val="nil"/>
            </w:tcBorders>
            <w:noWrap w:val="0"/>
            <w:vAlign w:val="center"/>
          </w:tcPr>
          <w:p w14:paraId="772501E2">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Right middle frontal gyrus, BA 46</w:t>
            </w:r>
          </w:p>
        </w:tc>
        <w:tc>
          <w:tcPr>
            <w:tcW w:w="585" w:type="dxa"/>
            <w:tcBorders>
              <w:top w:val="nil"/>
              <w:left w:val="nil"/>
              <w:bottom w:val="nil"/>
              <w:right w:val="nil"/>
            </w:tcBorders>
            <w:noWrap w:val="0"/>
            <w:vAlign w:val="center"/>
          </w:tcPr>
          <w:p w14:paraId="1332863C">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40</w:t>
            </w:r>
          </w:p>
        </w:tc>
        <w:tc>
          <w:tcPr>
            <w:tcW w:w="597" w:type="dxa"/>
            <w:tcBorders>
              <w:top w:val="nil"/>
              <w:left w:val="nil"/>
              <w:bottom w:val="nil"/>
              <w:right w:val="nil"/>
            </w:tcBorders>
            <w:noWrap w:val="0"/>
            <w:vAlign w:val="center"/>
          </w:tcPr>
          <w:p w14:paraId="661F557A">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40</w:t>
            </w:r>
          </w:p>
        </w:tc>
        <w:tc>
          <w:tcPr>
            <w:tcW w:w="567" w:type="dxa"/>
            <w:tcBorders>
              <w:top w:val="nil"/>
              <w:left w:val="nil"/>
              <w:bottom w:val="nil"/>
              <w:right w:val="nil"/>
            </w:tcBorders>
            <w:noWrap w:val="0"/>
            <w:vAlign w:val="center"/>
          </w:tcPr>
          <w:p w14:paraId="001CAA27">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30</w:t>
            </w:r>
          </w:p>
        </w:tc>
        <w:tc>
          <w:tcPr>
            <w:tcW w:w="913" w:type="dxa"/>
            <w:tcBorders>
              <w:top w:val="nil"/>
              <w:left w:val="nil"/>
              <w:bottom w:val="nil"/>
              <w:right w:val="nil"/>
            </w:tcBorders>
            <w:noWrap w:val="0"/>
            <w:vAlign w:val="center"/>
          </w:tcPr>
          <w:p w14:paraId="63B218C2">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3.923</w:t>
            </w:r>
          </w:p>
        </w:tc>
        <w:tc>
          <w:tcPr>
            <w:tcW w:w="1519" w:type="dxa"/>
            <w:tcBorders>
              <w:top w:val="nil"/>
              <w:left w:val="nil"/>
              <w:bottom w:val="nil"/>
              <w:right w:val="nil"/>
            </w:tcBorders>
            <w:noWrap w:val="0"/>
            <w:vAlign w:val="center"/>
          </w:tcPr>
          <w:p w14:paraId="0BF3F51D">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0.000043809</w:t>
            </w:r>
          </w:p>
        </w:tc>
        <w:tc>
          <w:tcPr>
            <w:tcW w:w="867" w:type="dxa"/>
            <w:tcBorders>
              <w:top w:val="nil"/>
              <w:left w:val="nil"/>
              <w:bottom w:val="nil"/>
              <w:right w:val="nil"/>
            </w:tcBorders>
            <w:noWrap w:val="0"/>
            <w:vAlign w:val="center"/>
          </w:tcPr>
          <w:p w14:paraId="75D60AA5">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1312</w:t>
            </w:r>
          </w:p>
        </w:tc>
      </w:tr>
      <w:tr w14:paraId="00E44040">
        <w:trPr>
          <w:trHeight w:val="23" w:hRule="atLeast"/>
        </w:trPr>
        <w:tc>
          <w:tcPr>
            <w:tcW w:w="1324" w:type="dxa"/>
            <w:tcBorders>
              <w:top w:val="nil"/>
              <w:left w:val="nil"/>
              <w:bottom w:val="nil"/>
              <w:right w:val="nil"/>
            </w:tcBorders>
            <w:noWrap w:val="0"/>
            <w:vAlign w:val="center"/>
          </w:tcPr>
          <w:p w14:paraId="65B1DC36">
            <w:pPr>
              <w:jc w:val="both"/>
              <w:rPr>
                <w:rFonts w:hint="default" w:ascii="Times New Roman Regular" w:hAnsi="Times New Roman Regular" w:cs="Times New Roman Regular"/>
                <w:lang w:val="en-US" w:eastAsia="zh-CN"/>
              </w:rPr>
            </w:pPr>
          </w:p>
        </w:tc>
        <w:tc>
          <w:tcPr>
            <w:tcW w:w="2753" w:type="dxa"/>
            <w:tcBorders>
              <w:top w:val="nil"/>
              <w:left w:val="nil"/>
              <w:bottom w:val="nil"/>
              <w:right w:val="nil"/>
            </w:tcBorders>
            <w:noWrap w:val="0"/>
            <w:vAlign w:val="center"/>
          </w:tcPr>
          <w:p w14:paraId="1467DFD0">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Left median cingulate / paracingulate gyri, BA 24</w:t>
            </w:r>
          </w:p>
        </w:tc>
        <w:tc>
          <w:tcPr>
            <w:tcW w:w="585" w:type="dxa"/>
            <w:tcBorders>
              <w:top w:val="nil"/>
              <w:left w:val="nil"/>
              <w:bottom w:val="nil"/>
              <w:right w:val="nil"/>
            </w:tcBorders>
            <w:noWrap w:val="0"/>
            <w:vAlign w:val="center"/>
          </w:tcPr>
          <w:p w14:paraId="7FC805BA">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-2</w:t>
            </w:r>
          </w:p>
        </w:tc>
        <w:tc>
          <w:tcPr>
            <w:tcW w:w="597" w:type="dxa"/>
            <w:tcBorders>
              <w:top w:val="nil"/>
              <w:left w:val="nil"/>
              <w:bottom w:val="nil"/>
              <w:right w:val="nil"/>
            </w:tcBorders>
            <w:noWrap w:val="0"/>
            <w:vAlign w:val="center"/>
          </w:tcPr>
          <w:p w14:paraId="52B97568">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12</w:t>
            </w:r>
          </w:p>
        </w:tc>
        <w:tc>
          <w:tcPr>
            <w:tcW w:w="567" w:type="dxa"/>
            <w:tcBorders>
              <w:top w:val="nil"/>
              <w:left w:val="nil"/>
              <w:bottom w:val="nil"/>
              <w:right w:val="nil"/>
            </w:tcBorders>
            <w:noWrap w:val="0"/>
            <w:vAlign w:val="center"/>
          </w:tcPr>
          <w:p w14:paraId="567891F0">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40</w:t>
            </w:r>
          </w:p>
        </w:tc>
        <w:tc>
          <w:tcPr>
            <w:tcW w:w="913" w:type="dxa"/>
            <w:tcBorders>
              <w:top w:val="nil"/>
              <w:left w:val="nil"/>
              <w:bottom w:val="nil"/>
              <w:right w:val="nil"/>
            </w:tcBorders>
            <w:noWrap w:val="0"/>
            <w:vAlign w:val="center"/>
          </w:tcPr>
          <w:p w14:paraId="49C6DC3D">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2.257</w:t>
            </w:r>
          </w:p>
        </w:tc>
        <w:tc>
          <w:tcPr>
            <w:tcW w:w="1519" w:type="dxa"/>
            <w:tcBorders>
              <w:top w:val="nil"/>
              <w:left w:val="nil"/>
              <w:bottom w:val="nil"/>
              <w:right w:val="nil"/>
            </w:tcBorders>
            <w:noWrap w:val="0"/>
            <w:vAlign w:val="center"/>
          </w:tcPr>
          <w:p w14:paraId="1E69273E">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0.012018681</w:t>
            </w:r>
          </w:p>
        </w:tc>
        <w:tc>
          <w:tcPr>
            <w:tcW w:w="867" w:type="dxa"/>
            <w:tcBorders>
              <w:top w:val="nil"/>
              <w:left w:val="nil"/>
              <w:bottom w:val="nil"/>
              <w:right w:val="nil"/>
            </w:tcBorders>
            <w:noWrap w:val="0"/>
            <w:vAlign w:val="center"/>
          </w:tcPr>
          <w:p w14:paraId="4E539C68">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1410</w:t>
            </w:r>
          </w:p>
        </w:tc>
      </w:tr>
      <w:tr w14:paraId="19D68109">
        <w:trPr>
          <w:trHeight w:val="23" w:hRule="atLeast"/>
        </w:trPr>
        <w:tc>
          <w:tcPr>
            <w:tcW w:w="1324" w:type="dxa"/>
            <w:tcBorders>
              <w:top w:val="nil"/>
              <w:left w:val="nil"/>
              <w:bottom w:val="nil"/>
              <w:right w:val="nil"/>
            </w:tcBorders>
            <w:noWrap w:val="0"/>
            <w:vAlign w:val="center"/>
          </w:tcPr>
          <w:p w14:paraId="5A37A6BD">
            <w:pPr>
              <w:jc w:val="both"/>
              <w:rPr>
                <w:rFonts w:hint="default" w:ascii="Times New Roman Regular" w:hAnsi="Times New Roman Regular" w:cs="Times New Roman Regular"/>
                <w:lang w:val="en-US" w:eastAsia="zh-CN"/>
              </w:rPr>
            </w:pPr>
          </w:p>
        </w:tc>
        <w:tc>
          <w:tcPr>
            <w:tcW w:w="2753" w:type="dxa"/>
            <w:tcBorders>
              <w:top w:val="nil"/>
              <w:left w:val="nil"/>
              <w:bottom w:val="nil"/>
              <w:right w:val="nil"/>
            </w:tcBorders>
            <w:noWrap w:val="0"/>
            <w:vAlign w:val="center"/>
          </w:tcPr>
          <w:p w14:paraId="5C2F689F">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Right precuneus, BA 7</w:t>
            </w:r>
          </w:p>
        </w:tc>
        <w:tc>
          <w:tcPr>
            <w:tcW w:w="585" w:type="dxa"/>
            <w:tcBorders>
              <w:top w:val="nil"/>
              <w:left w:val="nil"/>
              <w:bottom w:val="nil"/>
              <w:right w:val="nil"/>
            </w:tcBorders>
            <w:noWrap w:val="0"/>
            <w:vAlign w:val="center"/>
          </w:tcPr>
          <w:p w14:paraId="0612D10D">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4</w:t>
            </w:r>
          </w:p>
        </w:tc>
        <w:tc>
          <w:tcPr>
            <w:tcW w:w="597" w:type="dxa"/>
            <w:tcBorders>
              <w:top w:val="nil"/>
              <w:left w:val="nil"/>
              <w:bottom w:val="nil"/>
              <w:right w:val="nil"/>
            </w:tcBorders>
            <w:noWrap w:val="0"/>
            <w:vAlign w:val="center"/>
          </w:tcPr>
          <w:p w14:paraId="6C3D75DA">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-62</w:t>
            </w:r>
          </w:p>
        </w:tc>
        <w:tc>
          <w:tcPr>
            <w:tcW w:w="567" w:type="dxa"/>
            <w:tcBorders>
              <w:top w:val="nil"/>
              <w:left w:val="nil"/>
              <w:bottom w:val="nil"/>
              <w:right w:val="nil"/>
            </w:tcBorders>
            <w:noWrap w:val="0"/>
            <w:vAlign w:val="center"/>
          </w:tcPr>
          <w:p w14:paraId="3FCD7A56">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50</w:t>
            </w:r>
          </w:p>
        </w:tc>
        <w:tc>
          <w:tcPr>
            <w:tcW w:w="913" w:type="dxa"/>
            <w:tcBorders>
              <w:top w:val="nil"/>
              <w:left w:val="nil"/>
              <w:bottom w:val="nil"/>
              <w:right w:val="nil"/>
            </w:tcBorders>
            <w:noWrap w:val="0"/>
            <w:vAlign w:val="center"/>
          </w:tcPr>
          <w:p w14:paraId="5CB4A381">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2.333</w:t>
            </w:r>
          </w:p>
        </w:tc>
        <w:tc>
          <w:tcPr>
            <w:tcW w:w="1519" w:type="dxa"/>
            <w:tcBorders>
              <w:top w:val="nil"/>
              <w:left w:val="nil"/>
              <w:bottom w:val="nil"/>
              <w:right w:val="nil"/>
            </w:tcBorders>
            <w:noWrap w:val="0"/>
            <w:vAlign w:val="center"/>
          </w:tcPr>
          <w:p w14:paraId="5E1F2EF2">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0.009813964</w:t>
            </w:r>
          </w:p>
        </w:tc>
        <w:tc>
          <w:tcPr>
            <w:tcW w:w="867" w:type="dxa"/>
            <w:tcBorders>
              <w:top w:val="nil"/>
              <w:left w:val="nil"/>
              <w:bottom w:val="nil"/>
              <w:right w:val="nil"/>
            </w:tcBorders>
            <w:noWrap w:val="0"/>
            <w:vAlign w:val="center"/>
          </w:tcPr>
          <w:p w14:paraId="0D3E3AB8">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1032</w:t>
            </w:r>
          </w:p>
        </w:tc>
      </w:tr>
      <w:tr w14:paraId="398CB299">
        <w:trPr>
          <w:trHeight w:val="23" w:hRule="atLeast"/>
        </w:trPr>
        <w:tc>
          <w:tcPr>
            <w:tcW w:w="1324" w:type="dxa"/>
            <w:tcBorders>
              <w:top w:val="nil"/>
              <w:left w:val="nil"/>
              <w:bottom w:val="nil"/>
              <w:right w:val="nil"/>
            </w:tcBorders>
            <w:noWrap w:val="0"/>
            <w:vAlign w:val="center"/>
          </w:tcPr>
          <w:p w14:paraId="779EE526">
            <w:pPr>
              <w:jc w:val="both"/>
              <w:rPr>
                <w:rFonts w:hint="default" w:ascii="Times New Roman Regular" w:hAnsi="Times New Roman Regular" w:cs="Times New Roman Regular"/>
                <w:lang w:val="en-US" w:eastAsia="zh-CN"/>
              </w:rPr>
            </w:pPr>
          </w:p>
        </w:tc>
        <w:tc>
          <w:tcPr>
            <w:tcW w:w="2753" w:type="dxa"/>
            <w:tcBorders>
              <w:top w:val="nil"/>
              <w:left w:val="nil"/>
              <w:bottom w:val="nil"/>
              <w:right w:val="nil"/>
            </w:tcBorders>
            <w:noWrap w:val="0"/>
            <w:vAlign w:val="center"/>
          </w:tcPr>
          <w:p w14:paraId="63125538">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Right inferior parietal (excluding supramarginal and angular) gyri, BA 40</w:t>
            </w:r>
          </w:p>
        </w:tc>
        <w:tc>
          <w:tcPr>
            <w:tcW w:w="585" w:type="dxa"/>
            <w:tcBorders>
              <w:top w:val="nil"/>
              <w:left w:val="nil"/>
              <w:bottom w:val="nil"/>
              <w:right w:val="nil"/>
            </w:tcBorders>
            <w:noWrap w:val="0"/>
            <w:vAlign w:val="center"/>
          </w:tcPr>
          <w:p w14:paraId="4774C235">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40</w:t>
            </w:r>
          </w:p>
        </w:tc>
        <w:tc>
          <w:tcPr>
            <w:tcW w:w="597" w:type="dxa"/>
            <w:tcBorders>
              <w:top w:val="nil"/>
              <w:left w:val="nil"/>
              <w:bottom w:val="nil"/>
              <w:right w:val="nil"/>
            </w:tcBorders>
            <w:noWrap w:val="0"/>
            <w:vAlign w:val="center"/>
          </w:tcPr>
          <w:p w14:paraId="2F124B34">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-40</w:t>
            </w:r>
          </w:p>
        </w:tc>
        <w:tc>
          <w:tcPr>
            <w:tcW w:w="567" w:type="dxa"/>
            <w:tcBorders>
              <w:top w:val="nil"/>
              <w:left w:val="nil"/>
              <w:bottom w:val="nil"/>
              <w:right w:val="nil"/>
            </w:tcBorders>
            <w:noWrap w:val="0"/>
            <w:vAlign w:val="center"/>
          </w:tcPr>
          <w:p w14:paraId="50338DB8">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46</w:t>
            </w:r>
          </w:p>
        </w:tc>
        <w:tc>
          <w:tcPr>
            <w:tcW w:w="913" w:type="dxa"/>
            <w:tcBorders>
              <w:top w:val="nil"/>
              <w:left w:val="nil"/>
              <w:bottom w:val="nil"/>
              <w:right w:val="nil"/>
            </w:tcBorders>
            <w:noWrap w:val="0"/>
            <w:vAlign w:val="center"/>
          </w:tcPr>
          <w:p w14:paraId="567A5568">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2.418</w:t>
            </w:r>
          </w:p>
        </w:tc>
        <w:tc>
          <w:tcPr>
            <w:tcW w:w="1519" w:type="dxa"/>
            <w:tcBorders>
              <w:top w:val="nil"/>
              <w:left w:val="nil"/>
              <w:bottom w:val="nil"/>
              <w:right w:val="nil"/>
            </w:tcBorders>
            <w:noWrap w:val="0"/>
            <w:vAlign w:val="center"/>
          </w:tcPr>
          <w:p w14:paraId="7CB291F8">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0.007808685</w:t>
            </w:r>
          </w:p>
        </w:tc>
        <w:tc>
          <w:tcPr>
            <w:tcW w:w="867" w:type="dxa"/>
            <w:tcBorders>
              <w:top w:val="nil"/>
              <w:left w:val="nil"/>
              <w:bottom w:val="nil"/>
              <w:right w:val="nil"/>
            </w:tcBorders>
            <w:noWrap w:val="0"/>
            <w:vAlign w:val="center"/>
          </w:tcPr>
          <w:p w14:paraId="2A524421">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355</w:t>
            </w:r>
          </w:p>
        </w:tc>
      </w:tr>
      <w:tr w14:paraId="6C584ADD">
        <w:trPr>
          <w:trHeight w:val="23" w:hRule="atLeast"/>
        </w:trPr>
        <w:tc>
          <w:tcPr>
            <w:tcW w:w="1324" w:type="dxa"/>
            <w:tcBorders>
              <w:top w:val="nil"/>
              <w:left w:val="nil"/>
              <w:bottom w:val="nil"/>
              <w:right w:val="nil"/>
            </w:tcBorders>
            <w:noWrap w:val="0"/>
            <w:vAlign w:val="center"/>
          </w:tcPr>
          <w:p w14:paraId="253688C1">
            <w:pPr>
              <w:jc w:val="both"/>
              <w:rPr>
                <w:rFonts w:hint="default" w:ascii="Times New Roman Regular" w:hAnsi="Times New Roman Regular" w:cs="Times New Roman Regular"/>
                <w:lang w:val="en-US" w:eastAsia="zh-CN"/>
              </w:rPr>
            </w:pPr>
          </w:p>
        </w:tc>
        <w:tc>
          <w:tcPr>
            <w:tcW w:w="2753" w:type="dxa"/>
            <w:tcBorders>
              <w:top w:val="nil"/>
              <w:left w:val="nil"/>
              <w:bottom w:val="nil"/>
              <w:right w:val="nil"/>
            </w:tcBorders>
            <w:noWrap w:val="0"/>
            <w:vAlign w:val="center"/>
          </w:tcPr>
          <w:p w14:paraId="7E6083F4">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Left inferior parietal (excluding supramarginal and angular) gyri, BA 40</w:t>
            </w:r>
          </w:p>
        </w:tc>
        <w:tc>
          <w:tcPr>
            <w:tcW w:w="585" w:type="dxa"/>
            <w:tcBorders>
              <w:top w:val="nil"/>
              <w:left w:val="nil"/>
              <w:bottom w:val="nil"/>
              <w:right w:val="nil"/>
            </w:tcBorders>
            <w:noWrap w:val="0"/>
            <w:vAlign w:val="center"/>
          </w:tcPr>
          <w:p w14:paraId="0D0F679D">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-38</w:t>
            </w:r>
          </w:p>
        </w:tc>
        <w:tc>
          <w:tcPr>
            <w:tcW w:w="597" w:type="dxa"/>
            <w:tcBorders>
              <w:top w:val="nil"/>
              <w:left w:val="nil"/>
              <w:bottom w:val="nil"/>
              <w:right w:val="nil"/>
            </w:tcBorders>
            <w:noWrap w:val="0"/>
            <w:vAlign w:val="center"/>
          </w:tcPr>
          <w:p w14:paraId="23135116">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-44</w:t>
            </w:r>
          </w:p>
        </w:tc>
        <w:tc>
          <w:tcPr>
            <w:tcW w:w="567" w:type="dxa"/>
            <w:tcBorders>
              <w:top w:val="nil"/>
              <w:left w:val="nil"/>
              <w:bottom w:val="nil"/>
              <w:right w:val="nil"/>
            </w:tcBorders>
            <w:noWrap w:val="0"/>
            <w:vAlign w:val="center"/>
          </w:tcPr>
          <w:p w14:paraId="2195159A">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46</w:t>
            </w:r>
          </w:p>
        </w:tc>
        <w:tc>
          <w:tcPr>
            <w:tcW w:w="913" w:type="dxa"/>
            <w:tcBorders>
              <w:top w:val="nil"/>
              <w:left w:val="nil"/>
              <w:bottom w:val="nil"/>
              <w:right w:val="nil"/>
            </w:tcBorders>
            <w:noWrap w:val="0"/>
            <w:vAlign w:val="center"/>
          </w:tcPr>
          <w:p w14:paraId="0321D6AA">
            <w:pPr>
              <w:jc w:val="cente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2.738</w:t>
            </w:r>
          </w:p>
        </w:tc>
        <w:tc>
          <w:tcPr>
            <w:tcW w:w="1519" w:type="dxa"/>
            <w:tcBorders>
              <w:top w:val="nil"/>
              <w:left w:val="nil"/>
              <w:bottom w:val="nil"/>
              <w:right w:val="nil"/>
            </w:tcBorders>
            <w:noWrap w:val="0"/>
            <w:vAlign w:val="center"/>
          </w:tcPr>
          <w:p w14:paraId="08974B08">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0.003088593</w:t>
            </w:r>
          </w:p>
        </w:tc>
        <w:tc>
          <w:tcPr>
            <w:tcW w:w="867" w:type="dxa"/>
            <w:tcBorders>
              <w:top w:val="nil"/>
              <w:left w:val="nil"/>
              <w:bottom w:val="nil"/>
              <w:right w:val="nil"/>
            </w:tcBorders>
            <w:noWrap w:val="0"/>
            <w:vAlign w:val="center"/>
          </w:tcPr>
          <w:p w14:paraId="59EE3545">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313</w:t>
            </w:r>
          </w:p>
        </w:tc>
      </w:tr>
      <w:tr w14:paraId="77E58B51">
        <w:trPr>
          <w:trHeight w:val="23" w:hRule="atLeast"/>
        </w:trPr>
        <w:tc>
          <w:tcPr>
            <w:tcW w:w="1324" w:type="dxa"/>
            <w:tcBorders>
              <w:top w:val="nil"/>
              <w:left w:val="nil"/>
              <w:bottom w:val="nil"/>
              <w:right w:val="nil"/>
            </w:tcBorders>
            <w:noWrap w:val="0"/>
            <w:vAlign w:val="center"/>
          </w:tcPr>
          <w:p w14:paraId="5AC01506">
            <w:pPr>
              <w:jc w:val="both"/>
              <w:rPr>
                <w:rFonts w:hint="default" w:ascii="Times New Roman Regular" w:hAnsi="Times New Roman Regular" w:cs="Times New Roman Regular"/>
                <w:lang w:val="en-US" w:eastAsia="zh-CN"/>
              </w:rPr>
            </w:pPr>
          </w:p>
        </w:tc>
        <w:tc>
          <w:tcPr>
            <w:tcW w:w="2753" w:type="dxa"/>
            <w:tcBorders>
              <w:top w:val="nil"/>
              <w:left w:val="nil"/>
              <w:bottom w:val="nil"/>
              <w:right w:val="nil"/>
            </w:tcBorders>
            <w:noWrap w:val="0"/>
            <w:vAlign w:val="center"/>
          </w:tcPr>
          <w:p w14:paraId="14B961DF">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Right precentral gyrus, BA 6</w:t>
            </w:r>
          </w:p>
        </w:tc>
        <w:tc>
          <w:tcPr>
            <w:tcW w:w="585" w:type="dxa"/>
            <w:tcBorders>
              <w:top w:val="nil"/>
              <w:left w:val="nil"/>
              <w:bottom w:val="nil"/>
              <w:right w:val="nil"/>
            </w:tcBorders>
            <w:noWrap w:val="0"/>
            <w:vAlign w:val="center"/>
          </w:tcPr>
          <w:p w14:paraId="5B9F33D4">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36</w:t>
            </w:r>
          </w:p>
        </w:tc>
        <w:tc>
          <w:tcPr>
            <w:tcW w:w="597" w:type="dxa"/>
            <w:tcBorders>
              <w:top w:val="nil"/>
              <w:left w:val="nil"/>
              <w:bottom w:val="nil"/>
              <w:right w:val="nil"/>
            </w:tcBorders>
            <w:noWrap w:val="0"/>
            <w:vAlign w:val="center"/>
          </w:tcPr>
          <w:p w14:paraId="6E7D6E72">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2</w:t>
            </w:r>
          </w:p>
        </w:tc>
        <w:tc>
          <w:tcPr>
            <w:tcW w:w="567" w:type="dxa"/>
            <w:tcBorders>
              <w:top w:val="nil"/>
              <w:left w:val="nil"/>
              <w:bottom w:val="nil"/>
              <w:right w:val="nil"/>
            </w:tcBorders>
            <w:noWrap w:val="0"/>
            <w:vAlign w:val="center"/>
          </w:tcPr>
          <w:p w14:paraId="1B6234D4">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50</w:t>
            </w:r>
          </w:p>
        </w:tc>
        <w:tc>
          <w:tcPr>
            <w:tcW w:w="913" w:type="dxa"/>
            <w:tcBorders>
              <w:top w:val="nil"/>
              <w:left w:val="nil"/>
              <w:bottom w:val="nil"/>
              <w:right w:val="nil"/>
            </w:tcBorders>
            <w:noWrap w:val="0"/>
            <w:vAlign w:val="center"/>
          </w:tcPr>
          <w:p w14:paraId="5DE67B6A">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2.342</w:t>
            </w:r>
          </w:p>
        </w:tc>
        <w:tc>
          <w:tcPr>
            <w:tcW w:w="1519" w:type="dxa"/>
            <w:tcBorders>
              <w:top w:val="nil"/>
              <w:left w:val="nil"/>
              <w:bottom w:val="nil"/>
              <w:right w:val="nil"/>
            </w:tcBorders>
            <w:noWrap w:val="0"/>
            <w:vAlign w:val="center"/>
          </w:tcPr>
          <w:p w14:paraId="64F621AB">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0.009588420</w:t>
            </w:r>
          </w:p>
        </w:tc>
        <w:tc>
          <w:tcPr>
            <w:tcW w:w="867" w:type="dxa"/>
            <w:tcBorders>
              <w:top w:val="nil"/>
              <w:left w:val="nil"/>
              <w:bottom w:val="nil"/>
              <w:right w:val="nil"/>
            </w:tcBorders>
            <w:noWrap w:val="0"/>
            <w:vAlign w:val="center"/>
          </w:tcPr>
          <w:p w14:paraId="75865B59">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287</w:t>
            </w:r>
          </w:p>
        </w:tc>
      </w:tr>
      <w:tr w14:paraId="7E69CA56">
        <w:trPr>
          <w:trHeight w:val="23" w:hRule="atLeast"/>
        </w:trPr>
        <w:tc>
          <w:tcPr>
            <w:tcW w:w="1324" w:type="dxa"/>
            <w:tcBorders>
              <w:top w:val="nil"/>
              <w:left w:val="nil"/>
              <w:bottom w:val="nil"/>
              <w:right w:val="nil"/>
            </w:tcBorders>
            <w:noWrap w:val="0"/>
            <w:vAlign w:val="center"/>
          </w:tcPr>
          <w:p w14:paraId="245A59FD">
            <w:pPr>
              <w:jc w:val="both"/>
              <w:rPr>
                <w:rFonts w:hint="default" w:ascii="Times New Roman Regular" w:hAnsi="Times New Roman Regular" w:cs="Times New Roman Regular"/>
                <w:lang w:val="en-US" w:eastAsia="zh-CN"/>
              </w:rPr>
            </w:pPr>
          </w:p>
        </w:tc>
        <w:tc>
          <w:tcPr>
            <w:tcW w:w="2753" w:type="dxa"/>
            <w:tcBorders>
              <w:top w:val="nil"/>
              <w:left w:val="nil"/>
              <w:bottom w:val="nil"/>
              <w:right w:val="nil"/>
            </w:tcBorders>
            <w:noWrap w:val="0"/>
            <w:vAlign w:val="center"/>
          </w:tcPr>
          <w:p w14:paraId="366090A3">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Right middle occipital gyrus, BA 18</w:t>
            </w:r>
          </w:p>
        </w:tc>
        <w:tc>
          <w:tcPr>
            <w:tcW w:w="585" w:type="dxa"/>
            <w:tcBorders>
              <w:top w:val="nil"/>
              <w:left w:val="nil"/>
              <w:bottom w:val="nil"/>
              <w:right w:val="nil"/>
            </w:tcBorders>
            <w:noWrap w:val="0"/>
            <w:vAlign w:val="center"/>
          </w:tcPr>
          <w:p w14:paraId="6A8CDEDA">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32</w:t>
            </w:r>
          </w:p>
        </w:tc>
        <w:tc>
          <w:tcPr>
            <w:tcW w:w="597" w:type="dxa"/>
            <w:tcBorders>
              <w:top w:val="nil"/>
              <w:left w:val="nil"/>
              <w:bottom w:val="nil"/>
              <w:right w:val="nil"/>
            </w:tcBorders>
            <w:noWrap w:val="0"/>
            <w:vAlign w:val="center"/>
          </w:tcPr>
          <w:p w14:paraId="1F387271">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-84</w:t>
            </w:r>
          </w:p>
        </w:tc>
        <w:tc>
          <w:tcPr>
            <w:tcW w:w="567" w:type="dxa"/>
            <w:tcBorders>
              <w:top w:val="nil"/>
              <w:left w:val="nil"/>
              <w:bottom w:val="nil"/>
              <w:right w:val="nil"/>
            </w:tcBorders>
            <w:noWrap w:val="0"/>
            <w:vAlign w:val="center"/>
          </w:tcPr>
          <w:p w14:paraId="11AB520D">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8</w:t>
            </w:r>
          </w:p>
        </w:tc>
        <w:tc>
          <w:tcPr>
            <w:tcW w:w="913" w:type="dxa"/>
            <w:tcBorders>
              <w:top w:val="nil"/>
              <w:left w:val="nil"/>
              <w:bottom w:val="nil"/>
              <w:right w:val="nil"/>
            </w:tcBorders>
            <w:noWrap w:val="0"/>
            <w:vAlign w:val="center"/>
          </w:tcPr>
          <w:p w14:paraId="535A9020">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2.304</w:t>
            </w:r>
          </w:p>
        </w:tc>
        <w:tc>
          <w:tcPr>
            <w:tcW w:w="1519" w:type="dxa"/>
            <w:tcBorders>
              <w:top w:val="nil"/>
              <w:left w:val="nil"/>
              <w:bottom w:val="nil"/>
              <w:right w:val="nil"/>
            </w:tcBorders>
            <w:noWrap w:val="0"/>
            <w:vAlign w:val="center"/>
          </w:tcPr>
          <w:p w14:paraId="04244C3D">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0.010623574</w:t>
            </w:r>
          </w:p>
        </w:tc>
        <w:tc>
          <w:tcPr>
            <w:tcW w:w="867" w:type="dxa"/>
            <w:tcBorders>
              <w:top w:val="nil"/>
              <w:left w:val="nil"/>
              <w:bottom w:val="nil"/>
              <w:right w:val="nil"/>
            </w:tcBorders>
            <w:noWrap w:val="0"/>
            <w:vAlign w:val="center"/>
          </w:tcPr>
          <w:p w14:paraId="6445A2F3">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262</w:t>
            </w:r>
          </w:p>
        </w:tc>
      </w:tr>
      <w:tr w14:paraId="673302BF">
        <w:trPr>
          <w:trHeight w:val="23" w:hRule="atLeast"/>
        </w:trPr>
        <w:tc>
          <w:tcPr>
            <w:tcW w:w="1324" w:type="dxa"/>
            <w:tcBorders>
              <w:top w:val="nil"/>
              <w:left w:val="nil"/>
              <w:bottom w:val="nil"/>
              <w:right w:val="nil"/>
            </w:tcBorders>
            <w:noWrap w:val="0"/>
            <w:vAlign w:val="center"/>
          </w:tcPr>
          <w:p w14:paraId="4F812423">
            <w:pPr>
              <w:jc w:val="both"/>
              <w:rPr>
                <w:rFonts w:hint="default" w:ascii="Times New Roman Regular" w:hAnsi="Times New Roman Regular" w:cs="Times New Roman Regular"/>
                <w:lang w:val="en-US" w:eastAsia="zh-CN"/>
              </w:rPr>
            </w:pPr>
          </w:p>
        </w:tc>
        <w:tc>
          <w:tcPr>
            <w:tcW w:w="2753" w:type="dxa"/>
            <w:tcBorders>
              <w:top w:val="nil"/>
              <w:left w:val="nil"/>
              <w:bottom w:val="nil"/>
              <w:right w:val="nil"/>
            </w:tcBorders>
            <w:noWrap w:val="0"/>
            <w:vAlign w:val="center"/>
          </w:tcPr>
          <w:p w14:paraId="421CA7BA">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Left fusiform gyrus, BA 37</w:t>
            </w:r>
          </w:p>
        </w:tc>
        <w:tc>
          <w:tcPr>
            <w:tcW w:w="585" w:type="dxa"/>
            <w:tcBorders>
              <w:top w:val="nil"/>
              <w:left w:val="nil"/>
              <w:bottom w:val="nil"/>
              <w:right w:val="nil"/>
            </w:tcBorders>
            <w:noWrap w:val="0"/>
            <w:vAlign w:val="center"/>
          </w:tcPr>
          <w:p w14:paraId="1DF0A6EA">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-46</w:t>
            </w:r>
          </w:p>
        </w:tc>
        <w:tc>
          <w:tcPr>
            <w:tcW w:w="597" w:type="dxa"/>
            <w:tcBorders>
              <w:top w:val="nil"/>
              <w:left w:val="nil"/>
              <w:bottom w:val="nil"/>
              <w:right w:val="nil"/>
            </w:tcBorders>
            <w:noWrap w:val="0"/>
            <w:vAlign w:val="center"/>
          </w:tcPr>
          <w:p w14:paraId="7774DD65">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-60</w:t>
            </w:r>
          </w:p>
        </w:tc>
        <w:tc>
          <w:tcPr>
            <w:tcW w:w="567" w:type="dxa"/>
            <w:tcBorders>
              <w:top w:val="nil"/>
              <w:left w:val="nil"/>
              <w:bottom w:val="nil"/>
              <w:right w:val="nil"/>
            </w:tcBorders>
            <w:noWrap w:val="0"/>
            <w:vAlign w:val="center"/>
          </w:tcPr>
          <w:p w14:paraId="14DDF8D2">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-18</w:t>
            </w:r>
          </w:p>
        </w:tc>
        <w:tc>
          <w:tcPr>
            <w:tcW w:w="913" w:type="dxa"/>
            <w:tcBorders>
              <w:top w:val="nil"/>
              <w:left w:val="nil"/>
              <w:bottom w:val="nil"/>
              <w:right w:val="nil"/>
            </w:tcBorders>
            <w:noWrap w:val="0"/>
            <w:vAlign w:val="center"/>
          </w:tcPr>
          <w:p w14:paraId="73F84C1F">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2.045</w:t>
            </w:r>
          </w:p>
        </w:tc>
        <w:tc>
          <w:tcPr>
            <w:tcW w:w="1519" w:type="dxa"/>
            <w:tcBorders>
              <w:top w:val="nil"/>
              <w:left w:val="nil"/>
              <w:bottom w:val="nil"/>
              <w:right w:val="nil"/>
            </w:tcBorders>
            <w:noWrap w:val="0"/>
            <w:vAlign w:val="center"/>
          </w:tcPr>
          <w:p w14:paraId="4F67EB21">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0.020423889</w:t>
            </w:r>
          </w:p>
        </w:tc>
        <w:tc>
          <w:tcPr>
            <w:tcW w:w="867" w:type="dxa"/>
            <w:tcBorders>
              <w:top w:val="nil"/>
              <w:left w:val="nil"/>
              <w:bottom w:val="nil"/>
              <w:right w:val="nil"/>
            </w:tcBorders>
            <w:noWrap w:val="0"/>
            <w:vAlign w:val="center"/>
          </w:tcPr>
          <w:p w14:paraId="2E878548">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199</w:t>
            </w:r>
          </w:p>
        </w:tc>
      </w:tr>
      <w:tr w14:paraId="2A03F806">
        <w:trPr>
          <w:trHeight w:val="23" w:hRule="atLeast"/>
        </w:trPr>
        <w:tc>
          <w:tcPr>
            <w:tcW w:w="1324" w:type="dxa"/>
            <w:tcBorders>
              <w:top w:val="nil"/>
              <w:left w:val="nil"/>
              <w:bottom w:val="nil"/>
              <w:right w:val="nil"/>
            </w:tcBorders>
            <w:noWrap w:val="0"/>
            <w:vAlign w:val="center"/>
          </w:tcPr>
          <w:p w14:paraId="3DB8004D">
            <w:pPr>
              <w:jc w:val="both"/>
              <w:rPr>
                <w:rFonts w:hint="default" w:ascii="Times New Roman Regular" w:hAnsi="Times New Roman Regular" w:cs="Times New Roman Regular"/>
                <w:lang w:val="en-US" w:eastAsia="zh-CN"/>
              </w:rPr>
            </w:pPr>
          </w:p>
        </w:tc>
        <w:tc>
          <w:tcPr>
            <w:tcW w:w="2753" w:type="dxa"/>
            <w:tcBorders>
              <w:top w:val="nil"/>
              <w:left w:val="nil"/>
              <w:bottom w:val="nil"/>
              <w:right w:val="nil"/>
            </w:tcBorders>
            <w:noWrap w:val="0"/>
            <w:vAlign w:val="center"/>
          </w:tcPr>
          <w:p w14:paraId="04D0190B">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Right cerebellum, hemispheric lobule VI, BA 37</w:t>
            </w:r>
          </w:p>
        </w:tc>
        <w:tc>
          <w:tcPr>
            <w:tcW w:w="585" w:type="dxa"/>
            <w:tcBorders>
              <w:top w:val="nil"/>
              <w:left w:val="nil"/>
              <w:bottom w:val="nil"/>
              <w:right w:val="nil"/>
            </w:tcBorders>
            <w:noWrap w:val="0"/>
            <w:vAlign w:val="center"/>
          </w:tcPr>
          <w:p w14:paraId="1145EE73">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26</w:t>
            </w:r>
          </w:p>
        </w:tc>
        <w:tc>
          <w:tcPr>
            <w:tcW w:w="597" w:type="dxa"/>
            <w:tcBorders>
              <w:top w:val="nil"/>
              <w:left w:val="nil"/>
              <w:bottom w:val="nil"/>
              <w:right w:val="nil"/>
            </w:tcBorders>
            <w:noWrap w:val="0"/>
            <w:vAlign w:val="center"/>
          </w:tcPr>
          <w:p w14:paraId="56179AFD">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-58</w:t>
            </w:r>
          </w:p>
        </w:tc>
        <w:tc>
          <w:tcPr>
            <w:tcW w:w="567" w:type="dxa"/>
            <w:tcBorders>
              <w:top w:val="nil"/>
              <w:left w:val="nil"/>
              <w:bottom w:val="nil"/>
              <w:right w:val="nil"/>
            </w:tcBorders>
            <w:noWrap w:val="0"/>
            <w:vAlign w:val="center"/>
          </w:tcPr>
          <w:p w14:paraId="35E31505">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-26</w:t>
            </w:r>
          </w:p>
        </w:tc>
        <w:tc>
          <w:tcPr>
            <w:tcW w:w="913" w:type="dxa"/>
            <w:tcBorders>
              <w:top w:val="nil"/>
              <w:left w:val="nil"/>
              <w:bottom w:val="nil"/>
              <w:right w:val="nil"/>
            </w:tcBorders>
            <w:noWrap w:val="0"/>
            <w:vAlign w:val="center"/>
          </w:tcPr>
          <w:p w14:paraId="4C8DA3E9">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1.898</w:t>
            </w:r>
          </w:p>
        </w:tc>
        <w:tc>
          <w:tcPr>
            <w:tcW w:w="1519" w:type="dxa"/>
            <w:tcBorders>
              <w:top w:val="nil"/>
              <w:left w:val="nil"/>
              <w:bottom w:val="nil"/>
              <w:right w:val="nil"/>
            </w:tcBorders>
            <w:noWrap w:val="0"/>
            <w:vAlign w:val="center"/>
          </w:tcPr>
          <w:p w14:paraId="6097FACE">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0.028822184</w:t>
            </w:r>
          </w:p>
        </w:tc>
        <w:tc>
          <w:tcPr>
            <w:tcW w:w="867" w:type="dxa"/>
            <w:tcBorders>
              <w:top w:val="nil"/>
              <w:left w:val="nil"/>
              <w:bottom w:val="nil"/>
              <w:right w:val="nil"/>
            </w:tcBorders>
            <w:noWrap w:val="0"/>
            <w:vAlign w:val="center"/>
          </w:tcPr>
          <w:p w14:paraId="3F601BD7">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156</w:t>
            </w:r>
          </w:p>
        </w:tc>
      </w:tr>
      <w:tr w14:paraId="2D532CE6">
        <w:trPr>
          <w:trHeight w:val="23" w:hRule="atLeast"/>
        </w:trPr>
        <w:tc>
          <w:tcPr>
            <w:tcW w:w="1324" w:type="dxa"/>
            <w:tcBorders>
              <w:top w:val="nil"/>
              <w:left w:val="nil"/>
              <w:bottom w:val="nil"/>
              <w:right w:val="nil"/>
            </w:tcBorders>
            <w:noWrap w:val="0"/>
            <w:vAlign w:val="center"/>
          </w:tcPr>
          <w:p w14:paraId="028DDD5E">
            <w:pPr>
              <w:jc w:val="both"/>
              <w:rPr>
                <w:rFonts w:hint="default" w:ascii="Times New Roman Regular" w:hAnsi="Times New Roman Regular" w:cs="Times New Roman Regular"/>
                <w:lang w:val="en-US" w:eastAsia="zh-CN"/>
              </w:rPr>
            </w:pPr>
          </w:p>
        </w:tc>
        <w:tc>
          <w:tcPr>
            <w:tcW w:w="2753" w:type="dxa"/>
            <w:tcBorders>
              <w:top w:val="nil"/>
              <w:left w:val="nil"/>
              <w:bottom w:val="nil"/>
              <w:right w:val="nil"/>
            </w:tcBorders>
            <w:noWrap w:val="0"/>
            <w:vAlign w:val="center"/>
          </w:tcPr>
          <w:p w14:paraId="5B1C2BE7">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Right inferior occipital gyrus, BA 18</w:t>
            </w:r>
          </w:p>
        </w:tc>
        <w:tc>
          <w:tcPr>
            <w:tcW w:w="585" w:type="dxa"/>
            <w:tcBorders>
              <w:top w:val="nil"/>
              <w:left w:val="nil"/>
              <w:bottom w:val="nil"/>
              <w:right w:val="nil"/>
            </w:tcBorders>
            <w:noWrap w:val="0"/>
            <w:vAlign w:val="center"/>
          </w:tcPr>
          <w:p w14:paraId="414CEA91">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26</w:t>
            </w:r>
          </w:p>
        </w:tc>
        <w:tc>
          <w:tcPr>
            <w:tcW w:w="597" w:type="dxa"/>
            <w:tcBorders>
              <w:top w:val="nil"/>
              <w:left w:val="nil"/>
              <w:bottom w:val="nil"/>
              <w:right w:val="nil"/>
            </w:tcBorders>
            <w:noWrap w:val="0"/>
            <w:vAlign w:val="center"/>
          </w:tcPr>
          <w:p w14:paraId="6FE65B6D">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-94</w:t>
            </w:r>
          </w:p>
        </w:tc>
        <w:tc>
          <w:tcPr>
            <w:tcW w:w="567" w:type="dxa"/>
            <w:tcBorders>
              <w:top w:val="nil"/>
              <w:left w:val="nil"/>
              <w:bottom w:val="nil"/>
              <w:right w:val="nil"/>
            </w:tcBorders>
            <w:noWrap w:val="0"/>
            <w:vAlign w:val="center"/>
          </w:tcPr>
          <w:p w14:paraId="7D223E30">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-6</w:t>
            </w:r>
          </w:p>
        </w:tc>
        <w:tc>
          <w:tcPr>
            <w:tcW w:w="913" w:type="dxa"/>
            <w:tcBorders>
              <w:top w:val="nil"/>
              <w:left w:val="nil"/>
              <w:bottom w:val="nil"/>
              <w:right w:val="nil"/>
            </w:tcBorders>
            <w:noWrap w:val="0"/>
            <w:vAlign w:val="center"/>
          </w:tcPr>
          <w:p w14:paraId="5CA1F0B0">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1.792</w:t>
            </w:r>
          </w:p>
        </w:tc>
        <w:tc>
          <w:tcPr>
            <w:tcW w:w="1519" w:type="dxa"/>
            <w:tcBorders>
              <w:top w:val="nil"/>
              <w:left w:val="nil"/>
              <w:bottom w:val="nil"/>
              <w:right w:val="nil"/>
            </w:tcBorders>
            <w:noWrap w:val="0"/>
            <w:vAlign w:val="center"/>
          </w:tcPr>
          <w:p w14:paraId="2D176DCA">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0.036554039</w:t>
            </w:r>
          </w:p>
        </w:tc>
        <w:tc>
          <w:tcPr>
            <w:tcW w:w="867" w:type="dxa"/>
            <w:tcBorders>
              <w:top w:val="nil"/>
              <w:left w:val="nil"/>
              <w:bottom w:val="nil"/>
              <w:right w:val="nil"/>
            </w:tcBorders>
            <w:noWrap w:val="0"/>
            <w:vAlign w:val="center"/>
          </w:tcPr>
          <w:p w14:paraId="483E3CE2">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77</w:t>
            </w:r>
          </w:p>
        </w:tc>
      </w:tr>
      <w:tr w14:paraId="3BE9FB00">
        <w:trPr>
          <w:trHeight w:val="23" w:hRule="atLeast"/>
        </w:trPr>
        <w:tc>
          <w:tcPr>
            <w:tcW w:w="1324" w:type="dxa"/>
            <w:tcBorders>
              <w:top w:val="nil"/>
              <w:left w:val="nil"/>
              <w:bottom w:val="nil"/>
              <w:right w:val="nil"/>
            </w:tcBorders>
            <w:noWrap w:val="0"/>
            <w:vAlign w:val="center"/>
          </w:tcPr>
          <w:p w14:paraId="5040E134">
            <w:pPr>
              <w:jc w:val="both"/>
              <w:rPr>
                <w:rFonts w:hint="default" w:ascii="Times New Roman Regular" w:hAnsi="Times New Roman Regular" w:cs="Times New Roman Regular"/>
                <w:lang w:val="en-US" w:eastAsia="zh-CN"/>
              </w:rPr>
            </w:pPr>
          </w:p>
        </w:tc>
        <w:tc>
          <w:tcPr>
            <w:tcW w:w="2753" w:type="dxa"/>
            <w:tcBorders>
              <w:top w:val="nil"/>
              <w:left w:val="nil"/>
              <w:bottom w:val="nil"/>
              <w:right w:val="nil"/>
            </w:tcBorders>
            <w:noWrap w:val="0"/>
            <w:vAlign w:val="center"/>
          </w:tcPr>
          <w:p w14:paraId="4DC05850">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Left inferior occipital gyrus, BA 19</w:t>
            </w:r>
          </w:p>
        </w:tc>
        <w:tc>
          <w:tcPr>
            <w:tcW w:w="585" w:type="dxa"/>
            <w:tcBorders>
              <w:top w:val="nil"/>
              <w:left w:val="nil"/>
              <w:bottom w:val="nil"/>
              <w:right w:val="nil"/>
            </w:tcBorders>
            <w:noWrap w:val="0"/>
            <w:vAlign w:val="center"/>
          </w:tcPr>
          <w:p w14:paraId="2A3A0DF0">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-38</w:t>
            </w:r>
          </w:p>
        </w:tc>
        <w:tc>
          <w:tcPr>
            <w:tcW w:w="597" w:type="dxa"/>
            <w:tcBorders>
              <w:top w:val="nil"/>
              <w:left w:val="nil"/>
              <w:bottom w:val="nil"/>
              <w:right w:val="nil"/>
            </w:tcBorders>
            <w:noWrap w:val="0"/>
            <w:vAlign w:val="center"/>
          </w:tcPr>
          <w:p w14:paraId="0A534650">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-86</w:t>
            </w:r>
          </w:p>
        </w:tc>
        <w:tc>
          <w:tcPr>
            <w:tcW w:w="567" w:type="dxa"/>
            <w:tcBorders>
              <w:top w:val="nil"/>
              <w:left w:val="nil"/>
              <w:bottom w:val="nil"/>
              <w:right w:val="nil"/>
            </w:tcBorders>
            <w:noWrap w:val="0"/>
            <w:vAlign w:val="center"/>
          </w:tcPr>
          <w:p w14:paraId="0D85E2ED">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-6</w:t>
            </w:r>
          </w:p>
        </w:tc>
        <w:tc>
          <w:tcPr>
            <w:tcW w:w="913" w:type="dxa"/>
            <w:tcBorders>
              <w:top w:val="nil"/>
              <w:left w:val="nil"/>
              <w:bottom w:val="nil"/>
              <w:right w:val="nil"/>
            </w:tcBorders>
            <w:noWrap w:val="0"/>
            <w:vAlign w:val="center"/>
          </w:tcPr>
          <w:p w14:paraId="7C7F2DD2">
            <w:pPr>
              <w:jc w:val="cente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1.868</w:t>
            </w:r>
          </w:p>
        </w:tc>
        <w:tc>
          <w:tcPr>
            <w:tcW w:w="1519" w:type="dxa"/>
            <w:tcBorders>
              <w:top w:val="nil"/>
              <w:left w:val="nil"/>
              <w:bottom w:val="nil"/>
              <w:right w:val="nil"/>
            </w:tcBorders>
            <w:noWrap w:val="0"/>
            <w:vAlign w:val="center"/>
          </w:tcPr>
          <w:p w14:paraId="4BA7C52F">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0.030879617</w:t>
            </w:r>
          </w:p>
        </w:tc>
        <w:tc>
          <w:tcPr>
            <w:tcW w:w="867" w:type="dxa"/>
            <w:tcBorders>
              <w:top w:val="nil"/>
              <w:left w:val="nil"/>
              <w:bottom w:val="nil"/>
              <w:right w:val="nil"/>
            </w:tcBorders>
            <w:noWrap w:val="0"/>
            <w:vAlign w:val="center"/>
          </w:tcPr>
          <w:p w14:paraId="7F5304DA">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56</w:t>
            </w:r>
          </w:p>
        </w:tc>
      </w:tr>
      <w:tr w14:paraId="14F97EF3">
        <w:trPr>
          <w:trHeight w:val="23" w:hRule="atLeast"/>
        </w:trPr>
        <w:tc>
          <w:tcPr>
            <w:tcW w:w="1324" w:type="dxa"/>
            <w:tcBorders>
              <w:top w:val="nil"/>
              <w:left w:val="nil"/>
              <w:bottom w:val="nil"/>
              <w:right w:val="nil"/>
            </w:tcBorders>
            <w:noWrap w:val="0"/>
            <w:vAlign w:val="center"/>
          </w:tcPr>
          <w:p w14:paraId="18737473">
            <w:pPr>
              <w:jc w:val="both"/>
              <w:rPr>
                <w:rFonts w:hint="default" w:ascii="Times New Roman Regular" w:hAnsi="Times New Roman Regular" w:cs="Times New Roman Regular"/>
                <w:lang w:val="en-US" w:eastAsia="zh-CN"/>
              </w:rPr>
            </w:pPr>
          </w:p>
        </w:tc>
        <w:tc>
          <w:tcPr>
            <w:tcW w:w="2753" w:type="dxa"/>
            <w:tcBorders>
              <w:top w:val="nil"/>
              <w:left w:val="nil"/>
              <w:bottom w:val="nil"/>
              <w:right w:val="nil"/>
            </w:tcBorders>
            <w:noWrap w:val="0"/>
            <w:vAlign w:val="center"/>
          </w:tcPr>
          <w:p w14:paraId="5035B084">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Left postcentral gyrus, BA 1</w:t>
            </w:r>
          </w:p>
        </w:tc>
        <w:tc>
          <w:tcPr>
            <w:tcW w:w="585" w:type="dxa"/>
            <w:tcBorders>
              <w:top w:val="nil"/>
              <w:left w:val="nil"/>
              <w:bottom w:val="nil"/>
              <w:right w:val="nil"/>
            </w:tcBorders>
            <w:noWrap w:val="0"/>
            <w:vAlign w:val="center"/>
          </w:tcPr>
          <w:p w14:paraId="6A8B6367">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-52</w:t>
            </w:r>
          </w:p>
        </w:tc>
        <w:tc>
          <w:tcPr>
            <w:tcW w:w="597" w:type="dxa"/>
            <w:tcBorders>
              <w:top w:val="nil"/>
              <w:left w:val="nil"/>
              <w:bottom w:val="nil"/>
              <w:right w:val="nil"/>
            </w:tcBorders>
            <w:noWrap w:val="0"/>
            <w:vAlign w:val="center"/>
          </w:tcPr>
          <w:p w14:paraId="702BB3E8">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-30</w:t>
            </w:r>
          </w:p>
        </w:tc>
        <w:tc>
          <w:tcPr>
            <w:tcW w:w="567" w:type="dxa"/>
            <w:tcBorders>
              <w:top w:val="nil"/>
              <w:left w:val="nil"/>
              <w:bottom w:val="nil"/>
              <w:right w:val="nil"/>
            </w:tcBorders>
            <w:noWrap w:val="0"/>
            <w:vAlign w:val="center"/>
          </w:tcPr>
          <w:p w14:paraId="18F47A75">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56</w:t>
            </w:r>
          </w:p>
        </w:tc>
        <w:tc>
          <w:tcPr>
            <w:tcW w:w="913" w:type="dxa"/>
            <w:tcBorders>
              <w:top w:val="nil"/>
              <w:left w:val="nil"/>
              <w:bottom w:val="nil"/>
              <w:right w:val="nil"/>
            </w:tcBorders>
            <w:noWrap w:val="0"/>
            <w:vAlign w:val="center"/>
          </w:tcPr>
          <w:p w14:paraId="2FCB14B7">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1.931</w:t>
            </w:r>
          </w:p>
        </w:tc>
        <w:tc>
          <w:tcPr>
            <w:tcW w:w="1519" w:type="dxa"/>
            <w:tcBorders>
              <w:top w:val="nil"/>
              <w:left w:val="nil"/>
              <w:bottom w:val="nil"/>
              <w:right w:val="nil"/>
            </w:tcBorders>
            <w:noWrap w:val="0"/>
            <w:vAlign w:val="center"/>
          </w:tcPr>
          <w:p w14:paraId="74F7167F">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0.026718140</w:t>
            </w:r>
          </w:p>
        </w:tc>
        <w:tc>
          <w:tcPr>
            <w:tcW w:w="867" w:type="dxa"/>
            <w:tcBorders>
              <w:top w:val="nil"/>
              <w:left w:val="nil"/>
              <w:bottom w:val="nil"/>
              <w:right w:val="nil"/>
            </w:tcBorders>
            <w:noWrap w:val="0"/>
            <w:vAlign w:val="center"/>
          </w:tcPr>
          <w:p w14:paraId="64430208">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50</w:t>
            </w:r>
          </w:p>
        </w:tc>
      </w:tr>
      <w:tr w14:paraId="01E2E55A">
        <w:trPr>
          <w:trHeight w:val="23" w:hRule="atLeast"/>
        </w:trPr>
        <w:tc>
          <w:tcPr>
            <w:tcW w:w="1324" w:type="dxa"/>
            <w:tcBorders>
              <w:top w:val="nil"/>
              <w:left w:val="nil"/>
              <w:bottom w:val="single" w:color="auto" w:sz="4" w:space="0"/>
              <w:right w:val="nil"/>
            </w:tcBorders>
            <w:noWrap w:val="0"/>
            <w:vAlign w:val="center"/>
          </w:tcPr>
          <w:p w14:paraId="68A8CCFE">
            <w:pPr>
              <w:jc w:val="both"/>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HCs &gt; MDD</w:t>
            </w:r>
          </w:p>
        </w:tc>
        <w:tc>
          <w:tcPr>
            <w:tcW w:w="7801" w:type="dxa"/>
            <w:gridSpan w:val="7"/>
            <w:tcBorders>
              <w:top w:val="nil"/>
              <w:left w:val="nil"/>
              <w:bottom w:val="single" w:color="auto" w:sz="4" w:space="0"/>
              <w:right w:val="nil"/>
            </w:tcBorders>
            <w:noWrap w:val="0"/>
            <w:vAlign w:val="center"/>
          </w:tcPr>
          <w:p w14:paraId="53A75DFE">
            <w:pPr>
              <w:jc w:val="cente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t>
            </w:r>
          </w:p>
        </w:tc>
      </w:tr>
    </w:tbl>
    <w:p w14:paraId="37CB993B">
      <w:pPr>
        <w:jc w:val="both"/>
        <w:rPr>
          <w:rFonts w:hint="eastAsia"/>
          <w:b/>
          <w:bCs/>
          <w:lang w:val="en-US" w:eastAsia="zh-CN"/>
        </w:rPr>
      </w:pPr>
    </w:p>
    <w:p w14:paraId="076DFEBD">
      <w:pPr>
        <w:rPr>
          <w:rFonts w:hint="eastAsia"/>
          <w:lang w:val="en-US" w:eastAsia="zh-CN"/>
        </w:rPr>
      </w:pPr>
      <w:r>
        <w:rPr>
          <w:rFonts w:hint="eastAsia"/>
          <w:lang w:val="en-US" w:eastAsia="zh-CN"/>
        </w:rPr>
        <w:br w:type="page"/>
      </w:r>
    </w:p>
    <w:p w14:paraId="281368BE">
      <w:pPr>
        <w:jc w:val="both"/>
        <w:rPr>
          <w:rFonts w:hint="eastAsia"/>
          <w:b/>
          <w:bCs/>
          <w:lang w:val="en-US" w:eastAsia="zh-CN"/>
        </w:rPr>
      </w:pPr>
      <w:r>
        <w:rPr>
          <w:rFonts w:hint="eastAsia"/>
          <w:b/>
          <w:bCs/>
          <w:lang w:val="en-US" w:eastAsia="zh-CN"/>
        </w:rPr>
        <w:t>2.2 Reward domain</w:t>
      </w:r>
    </w:p>
    <w:p w14:paraId="107220A4">
      <w:pPr>
        <w:jc w:val="both"/>
        <w:rPr>
          <w:rFonts w:hint="eastAsia"/>
          <w:lang w:val="en-US" w:eastAsia="zh-CN"/>
        </w:rPr>
      </w:pPr>
      <w:r>
        <w:rPr>
          <w:rFonts w:hint="eastAsia"/>
          <w:lang w:val="en-US" w:eastAsia="zh-CN"/>
        </w:rPr>
        <w:t>Under the exploratory uncorrected threshold, several clusters with greater activation in MDD compared with healthy controls were observed in key reward-related regions, including: left lenticular nucleus (putamen), right striatum, left hippocampus, and right anterior thalamic projections (see Table S2). No clusters were detected for the contrast HC</w:t>
      </w:r>
      <w:r>
        <w:rPr>
          <w:rFonts w:hint="default"/>
          <w:lang w:val="en-US" w:eastAsia="zh-CN"/>
        </w:rPr>
        <w:t>s</w:t>
      </w:r>
      <w:r>
        <w:rPr>
          <w:rFonts w:hint="eastAsia"/>
          <w:lang w:val="en-US" w:eastAsia="zh-CN"/>
        </w:rPr>
        <w:t xml:space="preserve"> &gt; MDD under this threshold.</w:t>
      </w:r>
    </w:p>
    <w:p w14:paraId="78A77353">
      <w:pPr>
        <w:rPr>
          <w:rFonts w:hint="eastAsia"/>
          <w:lang w:val="en-US" w:eastAsia="zh-CN"/>
        </w:rPr>
      </w:pPr>
      <w:r>
        <w:rPr>
          <w:rFonts w:hint="eastAsia"/>
          <w:lang w:val="en-US" w:eastAsia="zh-CN"/>
        </w:rPr>
        <w:br w:type="page"/>
      </w:r>
    </w:p>
    <w:p w14:paraId="4B34A8AE">
      <w:pPr>
        <w:jc w:val="both"/>
        <w:rPr>
          <w:rFonts w:hint="eastAsia"/>
          <w:b/>
          <w:bCs/>
          <w:lang w:val="en-US" w:eastAsia="zh-CN"/>
        </w:rPr>
      </w:pPr>
      <w:r>
        <w:rPr>
          <w:rFonts w:hint="eastAsia"/>
          <w:b/>
          <w:bCs/>
          <w:lang w:val="en-US" w:eastAsia="zh-CN"/>
        </w:rPr>
        <w:t>Table S2  Exploratory uncorrected AES-SDM results for the reward domain (p &lt; 0.05, k ≥ 50 voxels)</w:t>
      </w:r>
    </w:p>
    <w:tbl>
      <w:tblPr>
        <w:tblStyle w:val="4"/>
        <w:tblW w:w="5319" w:type="pct"/>
        <w:tblInd w:w="0" w:type="dxa"/>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85"/>
        <w:gridCol w:w="585"/>
        <w:gridCol w:w="589"/>
        <w:gridCol w:w="583"/>
        <w:gridCol w:w="905"/>
        <w:gridCol w:w="1468"/>
        <w:gridCol w:w="859"/>
      </w:tblGrid>
      <w:tr w14:paraId="6C1AE4FC">
        <w:trPr>
          <w:trHeight w:val="23" w:hRule="atLeast"/>
        </w:trPr>
        <w:tc>
          <w:tcPr>
            <w:tcW w:w="1392" w:type="dxa"/>
            <w:vMerge w:val="restart"/>
            <w:tcBorders>
              <w:top w:val="single" w:color="auto" w:sz="12" w:space="0"/>
              <w:left w:val="nil"/>
              <w:bottom w:val="single" w:color="auto" w:sz="4" w:space="0"/>
              <w:right w:val="nil"/>
            </w:tcBorders>
            <w:noWrap w:val="0"/>
            <w:vAlign w:val="center"/>
          </w:tcPr>
          <w:p w14:paraId="5B554A13">
            <w:pPr>
              <w:jc w:val="both"/>
              <w:rPr>
                <w:rFonts w:hint="eastAsia"/>
                <w:lang w:val="en-US" w:eastAsia="zh-CN"/>
              </w:rPr>
            </w:pPr>
            <w:r>
              <w:rPr>
                <w:rFonts w:hint="eastAsia"/>
                <w:lang w:val="en-US" w:eastAsia="zh-CN"/>
              </w:rPr>
              <w:t>Research methods</w:t>
            </w:r>
          </w:p>
        </w:tc>
        <w:tc>
          <w:tcPr>
            <w:tcW w:w="2685" w:type="dxa"/>
            <w:vMerge w:val="restart"/>
            <w:tcBorders>
              <w:top w:val="single" w:color="auto" w:sz="12" w:space="0"/>
              <w:left w:val="nil"/>
              <w:bottom w:val="single" w:color="auto" w:sz="4" w:space="0"/>
              <w:right w:val="nil"/>
            </w:tcBorders>
            <w:noWrap w:val="0"/>
            <w:vAlign w:val="center"/>
          </w:tcPr>
          <w:p w14:paraId="40AA2B50">
            <w:pPr>
              <w:jc w:val="both"/>
              <w:rPr>
                <w:rFonts w:hint="eastAsia"/>
                <w:lang w:val="en-US" w:eastAsia="zh-CN"/>
              </w:rPr>
            </w:pPr>
            <w:r>
              <w:rPr>
                <w:rFonts w:hint="eastAsia"/>
                <w:lang w:val="en-US" w:eastAsia="zh-CN"/>
              </w:rPr>
              <w:t>Anatomical label</w:t>
            </w:r>
          </w:p>
        </w:tc>
        <w:tc>
          <w:tcPr>
            <w:tcW w:w="1757" w:type="dxa"/>
            <w:gridSpan w:val="3"/>
            <w:tcBorders>
              <w:top w:val="single" w:color="auto" w:sz="12" w:space="0"/>
              <w:left w:val="nil"/>
              <w:bottom w:val="nil"/>
              <w:right w:val="nil"/>
            </w:tcBorders>
            <w:noWrap w:val="0"/>
            <w:vAlign w:val="center"/>
          </w:tcPr>
          <w:p w14:paraId="786CAE70">
            <w:pPr>
              <w:jc w:val="both"/>
              <w:rPr>
                <w:rFonts w:hint="eastAsia"/>
                <w:lang w:val="en-US" w:eastAsia="zh-CN"/>
              </w:rPr>
            </w:pPr>
            <w:r>
              <w:rPr>
                <w:rFonts w:hint="eastAsia"/>
                <w:lang w:val="en-US" w:eastAsia="zh-CN"/>
              </w:rPr>
              <w:t>Peak MNI coordinate</w:t>
            </w:r>
          </w:p>
        </w:tc>
        <w:tc>
          <w:tcPr>
            <w:tcW w:w="905" w:type="dxa"/>
            <w:vMerge w:val="restart"/>
            <w:tcBorders>
              <w:top w:val="single" w:color="auto" w:sz="12" w:space="0"/>
              <w:left w:val="nil"/>
              <w:right w:val="nil"/>
            </w:tcBorders>
            <w:noWrap w:val="0"/>
            <w:vAlign w:val="center"/>
          </w:tcPr>
          <w:p w14:paraId="2245797A">
            <w:pPr>
              <w:jc w:val="both"/>
              <w:rPr>
                <w:rFonts w:hint="eastAsia"/>
                <w:lang w:val="en-US" w:eastAsia="zh-CN"/>
              </w:rPr>
            </w:pPr>
            <w:r>
              <w:rPr>
                <w:rFonts w:hint="eastAsia"/>
                <w:lang w:val="en-US" w:eastAsia="zh-CN"/>
              </w:rPr>
              <w:t>SDM-Z</w:t>
            </w:r>
          </w:p>
        </w:tc>
        <w:tc>
          <w:tcPr>
            <w:tcW w:w="1468" w:type="dxa"/>
            <w:vMerge w:val="restart"/>
            <w:tcBorders>
              <w:top w:val="single" w:color="auto" w:sz="12" w:space="0"/>
              <w:left w:val="nil"/>
              <w:right w:val="nil"/>
            </w:tcBorders>
            <w:noWrap w:val="0"/>
            <w:vAlign w:val="center"/>
          </w:tcPr>
          <w:p w14:paraId="29F2B376">
            <w:pPr>
              <w:jc w:val="both"/>
              <w:rPr>
                <w:rFonts w:hint="eastAsia"/>
                <w:lang w:val="en-US" w:eastAsia="zh-CN"/>
              </w:rPr>
            </w:pPr>
            <w:r>
              <w:rPr>
                <w:rFonts w:hint="eastAsia"/>
                <w:lang w:val="en-US" w:eastAsia="zh-CN"/>
              </w:rPr>
              <w:t>p value</w:t>
            </w:r>
          </w:p>
        </w:tc>
        <w:tc>
          <w:tcPr>
            <w:tcW w:w="859" w:type="dxa"/>
            <w:vMerge w:val="restart"/>
            <w:tcBorders>
              <w:top w:val="single" w:color="auto" w:sz="12" w:space="0"/>
              <w:left w:val="nil"/>
              <w:right w:val="nil"/>
            </w:tcBorders>
            <w:noWrap w:val="0"/>
            <w:vAlign w:val="center"/>
          </w:tcPr>
          <w:p w14:paraId="7C1085CE">
            <w:pPr>
              <w:jc w:val="both"/>
              <w:rPr>
                <w:rFonts w:hint="eastAsia"/>
                <w:lang w:val="en-US" w:eastAsia="zh-CN"/>
              </w:rPr>
            </w:pPr>
            <w:r>
              <w:rPr>
                <w:rFonts w:hint="eastAsia"/>
                <w:lang w:val="en-US" w:eastAsia="zh-CN"/>
              </w:rPr>
              <w:t>Voxels</w:t>
            </w:r>
          </w:p>
        </w:tc>
      </w:tr>
      <w:tr w14:paraId="523D2E70">
        <w:trPr>
          <w:trHeight w:val="23" w:hRule="atLeast"/>
        </w:trPr>
        <w:tc>
          <w:tcPr>
            <w:tcW w:w="1392" w:type="dxa"/>
            <w:vMerge w:val="continue"/>
            <w:tcBorders>
              <w:top w:val="single" w:color="auto" w:sz="4" w:space="0"/>
              <w:left w:val="nil"/>
              <w:bottom w:val="single" w:color="auto" w:sz="4" w:space="0"/>
              <w:right w:val="nil"/>
            </w:tcBorders>
            <w:noWrap w:val="0"/>
            <w:vAlign w:val="center"/>
          </w:tcPr>
          <w:p w14:paraId="16F9ECE9">
            <w:pPr>
              <w:jc w:val="both"/>
              <w:rPr>
                <w:rFonts w:hint="eastAsia"/>
                <w:lang w:val="en-US" w:eastAsia="zh-CN"/>
              </w:rPr>
            </w:pPr>
          </w:p>
        </w:tc>
        <w:tc>
          <w:tcPr>
            <w:tcW w:w="2685" w:type="dxa"/>
            <w:vMerge w:val="continue"/>
            <w:tcBorders>
              <w:top w:val="single" w:color="auto" w:sz="4" w:space="0"/>
              <w:left w:val="nil"/>
              <w:bottom w:val="single" w:color="auto" w:sz="4" w:space="0"/>
              <w:right w:val="nil"/>
            </w:tcBorders>
            <w:noWrap w:val="0"/>
            <w:vAlign w:val="center"/>
          </w:tcPr>
          <w:p w14:paraId="468D3684">
            <w:pPr>
              <w:jc w:val="both"/>
              <w:rPr>
                <w:rFonts w:hint="eastAsia"/>
                <w:lang w:val="en-US" w:eastAsia="zh-CN"/>
              </w:rPr>
            </w:pPr>
          </w:p>
        </w:tc>
        <w:tc>
          <w:tcPr>
            <w:tcW w:w="1757" w:type="dxa"/>
            <w:gridSpan w:val="3"/>
            <w:tcBorders>
              <w:top w:val="nil"/>
              <w:left w:val="nil"/>
              <w:bottom w:val="single" w:color="auto" w:sz="6" w:space="0"/>
              <w:right w:val="nil"/>
            </w:tcBorders>
            <w:noWrap w:val="0"/>
            <w:vAlign w:val="center"/>
          </w:tcPr>
          <w:p w14:paraId="408D8541">
            <w:pPr>
              <w:jc w:val="both"/>
              <w:rPr>
                <w:rFonts w:hint="eastAsia"/>
                <w:lang w:val="en-US" w:eastAsia="zh-CN"/>
              </w:rPr>
            </w:pPr>
            <w:r>
              <w:rPr>
                <w:rFonts w:hint="eastAsia"/>
                <w:lang w:val="en-US" w:eastAsia="zh-CN"/>
              </w:rPr>
              <w:t>X    Y    Z</w:t>
            </w:r>
          </w:p>
        </w:tc>
        <w:tc>
          <w:tcPr>
            <w:tcW w:w="905" w:type="dxa"/>
            <w:vMerge w:val="continue"/>
            <w:tcBorders>
              <w:left w:val="nil"/>
              <w:bottom w:val="single" w:color="auto" w:sz="6" w:space="0"/>
              <w:right w:val="nil"/>
            </w:tcBorders>
            <w:noWrap w:val="0"/>
            <w:vAlign w:val="center"/>
          </w:tcPr>
          <w:p w14:paraId="76AFFDE6">
            <w:pPr>
              <w:jc w:val="both"/>
              <w:rPr>
                <w:rFonts w:hint="eastAsia"/>
                <w:lang w:val="en-US" w:eastAsia="zh-CN"/>
              </w:rPr>
            </w:pPr>
          </w:p>
        </w:tc>
        <w:tc>
          <w:tcPr>
            <w:tcW w:w="1468" w:type="dxa"/>
            <w:vMerge w:val="continue"/>
            <w:tcBorders>
              <w:left w:val="nil"/>
              <w:bottom w:val="single" w:color="auto" w:sz="6" w:space="0"/>
              <w:right w:val="nil"/>
            </w:tcBorders>
            <w:noWrap w:val="0"/>
            <w:vAlign w:val="center"/>
          </w:tcPr>
          <w:p w14:paraId="119828D6">
            <w:pPr>
              <w:jc w:val="both"/>
              <w:rPr>
                <w:rFonts w:hint="eastAsia"/>
                <w:lang w:val="en-US" w:eastAsia="zh-CN"/>
              </w:rPr>
            </w:pPr>
          </w:p>
        </w:tc>
        <w:tc>
          <w:tcPr>
            <w:tcW w:w="859" w:type="dxa"/>
            <w:vMerge w:val="continue"/>
            <w:tcBorders>
              <w:left w:val="nil"/>
              <w:bottom w:val="single" w:color="auto" w:sz="6" w:space="0"/>
              <w:right w:val="nil"/>
            </w:tcBorders>
            <w:noWrap w:val="0"/>
            <w:vAlign w:val="center"/>
          </w:tcPr>
          <w:p w14:paraId="3C0A887E">
            <w:pPr>
              <w:jc w:val="both"/>
              <w:rPr>
                <w:rFonts w:hint="eastAsia"/>
                <w:lang w:val="en-US" w:eastAsia="zh-CN"/>
              </w:rPr>
            </w:pPr>
          </w:p>
        </w:tc>
      </w:tr>
      <w:tr w14:paraId="18827F96">
        <w:trPr>
          <w:trHeight w:val="23" w:hRule="atLeast"/>
        </w:trPr>
        <w:tc>
          <w:tcPr>
            <w:tcW w:w="1392" w:type="dxa"/>
            <w:tcBorders>
              <w:top w:val="nil"/>
              <w:left w:val="nil"/>
              <w:bottom w:val="nil"/>
              <w:right w:val="nil"/>
            </w:tcBorders>
            <w:noWrap w:val="0"/>
            <w:vAlign w:val="center"/>
          </w:tcPr>
          <w:p w14:paraId="1D3BF0DC">
            <w:pPr>
              <w:jc w:val="both"/>
              <w:rPr>
                <w:rFonts w:hint="default"/>
                <w:lang w:val="en-US" w:eastAsia="zh-CN"/>
              </w:rPr>
            </w:pPr>
            <w:r>
              <w:rPr>
                <w:rFonts w:hint="eastAsia"/>
                <w:lang w:val="en-US" w:eastAsia="zh-CN"/>
              </w:rPr>
              <w:t>MDD &gt; HC</w:t>
            </w:r>
            <w:r>
              <w:rPr>
                <w:rFonts w:hint="default"/>
                <w:lang w:val="en-US" w:eastAsia="zh-CN"/>
              </w:rPr>
              <w:t>s</w:t>
            </w:r>
          </w:p>
        </w:tc>
        <w:tc>
          <w:tcPr>
            <w:tcW w:w="7674" w:type="dxa"/>
            <w:gridSpan w:val="7"/>
            <w:tcBorders>
              <w:top w:val="nil"/>
              <w:left w:val="nil"/>
              <w:bottom w:val="nil"/>
              <w:right w:val="nil"/>
            </w:tcBorders>
            <w:noWrap w:val="0"/>
            <w:vAlign w:val="center"/>
          </w:tcPr>
          <w:p w14:paraId="4C18DA87">
            <w:pPr>
              <w:jc w:val="both"/>
              <w:rPr>
                <w:rFonts w:hint="eastAsia"/>
                <w:lang w:val="en-US" w:eastAsia="zh-CN"/>
              </w:rPr>
            </w:pPr>
          </w:p>
        </w:tc>
      </w:tr>
      <w:tr w14:paraId="3560B981">
        <w:trPr>
          <w:trHeight w:val="249" w:hRule="atLeast"/>
        </w:trPr>
        <w:tc>
          <w:tcPr>
            <w:tcW w:w="1392" w:type="dxa"/>
            <w:tcBorders>
              <w:top w:val="nil"/>
              <w:left w:val="nil"/>
              <w:bottom w:val="nil"/>
              <w:right w:val="nil"/>
            </w:tcBorders>
            <w:noWrap w:val="0"/>
            <w:vAlign w:val="center"/>
          </w:tcPr>
          <w:p w14:paraId="000C329D">
            <w:pPr>
              <w:jc w:val="both"/>
              <w:rPr>
                <w:rFonts w:hint="eastAsia"/>
                <w:lang w:val="en-US" w:eastAsia="zh-CN"/>
              </w:rPr>
            </w:pPr>
          </w:p>
        </w:tc>
        <w:tc>
          <w:tcPr>
            <w:tcW w:w="2685" w:type="dxa"/>
            <w:tcBorders>
              <w:top w:val="nil"/>
              <w:left w:val="nil"/>
              <w:bottom w:val="nil"/>
              <w:right w:val="nil"/>
            </w:tcBorders>
            <w:noWrap w:val="0"/>
            <w:vAlign w:val="center"/>
          </w:tcPr>
          <w:p w14:paraId="07823D2F">
            <w:pPr>
              <w:jc w:val="both"/>
              <w:rPr>
                <w:rFonts w:hint="eastAsia"/>
                <w:lang w:val="en-US" w:eastAsia="zh-CN"/>
              </w:rPr>
            </w:pPr>
            <w:r>
              <w:rPr>
                <w:rFonts w:hint="eastAsia"/>
                <w:lang w:val="en-US" w:eastAsia="zh-CN"/>
              </w:rPr>
              <w:t>Left lenticular nucleus, putamen</w:t>
            </w:r>
          </w:p>
        </w:tc>
        <w:tc>
          <w:tcPr>
            <w:tcW w:w="585" w:type="dxa"/>
            <w:tcBorders>
              <w:top w:val="nil"/>
              <w:left w:val="nil"/>
              <w:bottom w:val="nil"/>
              <w:right w:val="nil"/>
            </w:tcBorders>
            <w:noWrap w:val="0"/>
            <w:vAlign w:val="center"/>
          </w:tcPr>
          <w:p w14:paraId="40637AFD">
            <w:pPr>
              <w:jc w:val="both"/>
              <w:rPr>
                <w:rFonts w:hint="default"/>
                <w:lang w:val="en-US" w:eastAsia="zh-CN"/>
              </w:rPr>
            </w:pPr>
            <w:r>
              <w:rPr>
                <w:rFonts w:hint="eastAsia"/>
                <w:lang w:val="en-US" w:eastAsia="zh-CN"/>
              </w:rPr>
              <w:t>-28</w:t>
            </w:r>
          </w:p>
        </w:tc>
        <w:tc>
          <w:tcPr>
            <w:tcW w:w="589" w:type="dxa"/>
            <w:tcBorders>
              <w:top w:val="nil"/>
              <w:left w:val="nil"/>
              <w:bottom w:val="nil"/>
              <w:right w:val="nil"/>
            </w:tcBorders>
            <w:noWrap w:val="0"/>
            <w:vAlign w:val="center"/>
          </w:tcPr>
          <w:p w14:paraId="05803890">
            <w:pPr>
              <w:jc w:val="both"/>
              <w:rPr>
                <w:rFonts w:hint="default"/>
                <w:lang w:val="en-US" w:eastAsia="zh-CN"/>
              </w:rPr>
            </w:pPr>
            <w:r>
              <w:rPr>
                <w:rFonts w:hint="eastAsia"/>
                <w:lang w:val="en-US" w:eastAsia="zh-CN"/>
              </w:rPr>
              <w:t>-2</w:t>
            </w:r>
          </w:p>
        </w:tc>
        <w:tc>
          <w:tcPr>
            <w:tcW w:w="583" w:type="dxa"/>
            <w:tcBorders>
              <w:top w:val="nil"/>
              <w:left w:val="nil"/>
              <w:bottom w:val="nil"/>
              <w:right w:val="nil"/>
            </w:tcBorders>
            <w:noWrap w:val="0"/>
            <w:vAlign w:val="center"/>
          </w:tcPr>
          <w:p w14:paraId="373DA386">
            <w:pPr>
              <w:jc w:val="both"/>
              <w:rPr>
                <w:rFonts w:hint="default"/>
                <w:lang w:val="en-US" w:eastAsia="zh-CN"/>
              </w:rPr>
            </w:pPr>
            <w:r>
              <w:rPr>
                <w:rFonts w:hint="eastAsia"/>
                <w:lang w:val="en-US" w:eastAsia="zh-CN"/>
              </w:rPr>
              <w:t>0</w:t>
            </w:r>
          </w:p>
        </w:tc>
        <w:tc>
          <w:tcPr>
            <w:tcW w:w="905" w:type="dxa"/>
            <w:tcBorders>
              <w:top w:val="nil"/>
              <w:left w:val="nil"/>
              <w:bottom w:val="nil"/>
              <w:right w:val="nil"/>
            </w:tcBorders>
            <w:noWrap w:val="0"/>
            <w:vAlign w:val="center"/>
          </w:tcPr>
          <w:p w14:paraId="57E27D26">
            <w:pPr>
              <w:jc w:val="both"/>
              <w:rPr>
                <w:rFonts w:hint="eastAsia"/>
                <w:lang w:val="en-US" w:eastAsia="zh-CN"/>
              </w:rPr>
            </w:pPr>
            <w:r>
              <w:rPr>
                <w:rFonts w:hint="eastAsia"/>
                <w:lang w:val="en-US" w:eastAsia="zh-CN"/>
              </w:rPr>
              <w:t>3.479</w:t>
            </w:r>
          </w:p>
        </w:tc>
        <w:tc>
          <w:tcPr>
            <w:tcW w:w="1468" w:type="dxa"/>
            <w:tcBorders>
              <w:top w:val="nil"/>
              <w:left w:val="nil"/>
              <w:bottom w:val="nil"/>
              <w:right w:val="nil"/>
            </w:tcBorders>
            <w:noWrap w:val="0"/>
            <w:vAlign w:val="center"/>
          </w:tcPr>
          <w:p w14:paraId="00D85ED2">
            <w:pPr>
              <w:jc w:val="both"/>
              <w:rPr>
                <w:rFonts w:hint="eastAsia"/>
                <w:lang w:val="en-US" w:eastAsia="zh-CN"/>
              </w:rPr>
            </w:pPr>
            <w:r>
              <w:rPr>
                <w:rFonts w:hint="eastAsia"/>
                <w:lang w:val="en-US" w:eastAsia="zh-CN"/>
              </w:rPr>
              <w:t>0.000252008</w:t>
            </w:r>
          </w:p>
        </w:tc>
        <w:tc>
          <w:tcPr>
            <w:tcW w:w="859" w:type="dxa"/>
            <w:tcBorders>
              <w:top w:val="nil"/>
              <w:left w:val="nil"/>
              <w:bottom w:val="nil"/>
              <w:right w:val="nil"/>
            </w:tcBorders>
            <w:noWrap w:val="0"/>
            <w:vAlign w:val="center"/>
          </w:tcPr>
          <w:p w14:paraId="1F3C85A1">
            <w:pPr>
              <w:jc w:val="both"/>
              <w:rPr>
                <w:rFonts w:hint="eastAsia"/>
                <w:lang w:val="en-US" w:eastAsia="zh-CN"/>
              </w:rPr>
            </w:pPr>
            <w:r>
              <w:rPr>
                <w:rFonts w:hint="eastAsia"/>
                <w:lang w:val="en-US" w:eastAsia="zh-CN"/>
              </w:rPr>
              <w:t>3609</w:t>
            </w:r>
          </w:p>
        </w:tc>
      </w:tr>
      <w:tr w14:paraId="77593FDE">
        <w:trPr>
          <w:trHeight w:val="23" w:hRule="atLeast"/>
        </w:trPr>
        <w:tc>
          <w:tcPr>
            <w:tcW w:w="1392" w:type="dxa"/>
            <w:tcBorders>
              <w:top w:val="nil"/>
              <w:left w:val="nil"/>
              <w:bottom w:val="nil"/>
              <w:right w:val="nil"/>
            </w:tcBorders>
            <w:noWrap w:val="0"/>
            <w:vAlign w:val="center"/>
          </w:tcPr>
          <w:p w14:paraId="13BB99C1">
            <w:pPr>
              <w:jc w:val="both"/>
              <w:rPr>
                <w:rFonts w:hint="eastAsia"/>
                <w:lang w:val="en-US" w:eastAsia="zh-CN"/>
              </w:rPr>
            </w:pPr>
          </w:p>
        </w:tc>
        <w:tc>
          <w:tcPr>
            <w:tcW w:w="2685" w:type="dxa"/>
            <w:tcBorders>
              <w:top w:val="nil"/>
              <w:left w:val="nil"/>
              <w:bottom w:val="nil"/>
              <w:right w:val="nil"/>
            </w:tcBorders>
            <w:noWrap w:val="0"/>
            <w:vAlign w:val="center"/>
          </w:tcPr>
          <w:p w14:paraId="3CD227D0">
            <w:pPr>
              <w:jc w:val="both"/>
              <w:rPr>
                <w:rFonts w:hint="eastAsia"/>
                <w:lang w:val="en-US" w:eastAsia="zh-CN"/>
              </w:rPr>
            </w:pPr>
            <w:r>
              <w:rPr>
                <w:rFonts w:hint="eastAsia"/>
                <w:lang w:val="en-US" w:eastAsia="zh-CN"/>
              </w:rPr>
              <w:t>Right striatum</w:t>
            </w:r>
          </w:p>
        </w:tc>
        <w:tc>
          <w:tcPr>
            <w:tcW w:w="585" w:type="dxa"/>
            <w:tcBorders>
              <w:top w:val="nil"/>
              <w:left w:val="nil"/>
              <w:bottom w:val="nil"/>
              <w:right w:val="nil"/>
            </w:tcBorders>
            <w:noWrap w:val="0"/>
            <w:vAlign w:val="center"/>
          </w:tcPr>
          <w:p w14:paraId="253E66AC">
            <w:pPr>
              <w:jc w:val="both"/>
              <w:rPr>
                <w:rFonts w:hint="default"/>
                <w:lang w:val="en-US" w:eastAsia="zh-CN"/>
              </w:rPr>
            </w:pPr>
            <w:r>
              <w:rPr>
                <w:rFonts w:hint="eastAsia"/>
                <w:lang w:val="en-US" w:eastAsia="zh-CN"/>
              </w:rPr>
              <w:t>20</w:t>
            </w:r>
          </w:p>
        </w:tc>
        <w:tc>
          <w:tcPr>
            <w:tcW w:w="589" w:type="dxa"/>
            <w:tcBorders>
              <w:top w:val="nil"/>
              <w:left w:val="nil"/>
              <w:bottom w:val="nil"/>
              <w:right w:val="nil"/>
            </w:tcBorders>
            <w:noWrap w:val="0"/>
            <w:vAlign w:val="center"/>
          </w:tcPr>
          <w:p w14:paraId="7EBACB1F">
            <w:pPr>
              <w:jc w:val="both"/>
              <w:rPr>
                <w:rFonts w:hint="default"/>
                <w:lang w:val="en-US" w:eastAsia="zh-CN"/>
              </w:rPr>
            </w:pPr>
            <w:r>
              <w:rPr>
                <w:rFonts w:hint="eastAsia"/>
                <w:lang w:val="en-US" w:eastAsia="zh-CN"/>
              </w:rPr>
              <w:t>-2</w:t>
            </w:r>
          </w:p>
        </w:tc>
        <w:tc>
          <w:tcPr>
            <w:tcW w:w="583" w:type="dxa"/>
            <w:tcBorders>
              <w:top w:val="nil"/>
              <w:left w:val="nil"/>
              <w:bottom w:val="nil"/>
              <w:right w:val="nil"/>
            </w:tcBorders>
            <w:noWrap w:val="0"/>
            <w:vAlign w:val="center"/>
          </w:tcPr>
          <w:p w14:paraId="3AF93A7C">
            <w:pPr>
              <w:jc w:val="both"/>
              <w:rPr>
                <w:rFonts w:hint="default"/>
                <w:lang w:val="en-US" w:eastAsia="zh-CN"/>
              </w:rPr>
            </w:pPr>
            <w:r>
              <w:rPr>
                <w:rFonts w:hint="eastAsia"/>
                <w:lang w:val="en-US" w:eastAsia="zh-CN"/>
              </w:rPr>
              <w:t>-6</w:t>
            </w:r>
          </w:p>
        </w:tc>
        <w:tc>
          <w:tcPr>
            <w:tcW w:w="905" w:type="dxa"/>
            <w:tcBorders>
              <w:top w:val="nil"/>
              <w:left w:val="nil"/>
              <w:bottom w:val="nil"/>
              <w:right w:val="nil"/>
            </w:tcBorders>
            <w:noWrap w:val="0"/>
            <w:vAlign w:val="center"/>
          </w:tcPr>
          <w:p w14:paraId="35D32D96">
            <w:pPr>
              <w:jc w:val="both"/>
              <w:rPr>
                <w:rFonts w:hint="eastAsia"/>
                <w:lang w:val="en-US" w:eastAsia="zh-CN"/>
              </w:rPr>
            </w:pPr>
            <w:r>
              <w:rPr>
                <w:rFonts w:hint="eastAsia"/>
                <w:lang w:val="en-US" w:eastAsia="zh-CN"/>
              </w:rPr>
              <w:t>3.863</w:t>
            </w:r>
          </w:p>
        </w:tc>
        <w:tc>
          <w:tcPr>
            <w:tcW w:w="1468" w:type="dxa"/>
            <w:tcBorders>
              <w:top w:val="nil"/>
              <w:left w:val="nil"/>
              <w:bottom w:val="nil"/>
              <w:right w:val="nil"/>
            </w:tcBorders>
            <w:noWrap w:val="0"/>
            <w:vAlign w:val="center"/>
          </w:tcPr>
          <w:p w14:paraId="2A80EA7E">
            <w:pPr>
              <w:jc w:val="both"/>
              <w:rPr>
                <w:rFonts w:hint="eastAsia"/>
                <w:lang w:val="en-US" w:eastAsia="zh-CN"/>
              </w:rPr>
            </w:pPr>
            <w:r>
              <w:rPr>
                <w:rFonts w:hint="eastAsia"/>
                <w:lang w:val="en-US" w:eastAsia="zh-CN"/>
              </w:rPr>
              <w:t>0.000056088</w:t>
            </w:r>
          </w:p>
        </w:tc>
        <w:tc>
          <w:tcPr>
            <w:tcW w:w="859" w:type="dxa"/>
            <w:tcBorders>
              <w:top w:val="nil"/>
              <w:left w:val="nil"/>
              <w:bottom w:val="nil"/>
              <w:right w:val="nil"/>
            </w:tcBorders>
            <w:noWrap w:val="0"/>
            <w:vAlign w:val="center"/>
          </w:tcPr>
          <w:p w14:paraId="69390784">
            <w:pPr>
              <w:jc w:val="both"/>
              <w:rPr>
                <w:rFonts w:hint="eastAsia"/>
                <w:lang w:val="en-US" w:eastAsia="zh-CN"/>
              </w:rPr>
            </w:pPr>
            <w:r>
              <w:rPr>
                <w:rFonts w:hint="eastAsia"/>
                <w:lang w:val="en-US" w:eastAsia="zh-CN"/>
              </w:rPr>
              <w:t>3727</w:t>
            </w:r>
          </w:p>
        </w:tc>
      </w:tr>
      <w:tr w14:paraId="7D57DDC7">
        <w:trPr>
          <w:trHeight w:val="23" w:hRule="atLeast"/>
        </w:trPr>
        <w:tc>
          <w:tcPr>
            <w:tcW w:w="1392" w:type="dxa"/>
            <w:tcBorders>
              <w:top w:val="nil"/>
              <w:left w:val="nil"/>
              <w:bottom w:val="nil"/>
              <w:right w:val="nil"/>
            </w:tcBorders>
            <w:noWrap w:val="0"/>
            <w:vAlign w:val="center"/>
          </w:tcPr>
          <w:p w14:paraId="197640FB">
            <w:pPr>
              <w:jc w:val="both"/>
              <w:rPr>
                <w:rFonts w:hint="eastAsia"/>
                <w:lang w:val="en-US" w:eastAsia="zh-CN"/>
              </w:rPr>
            </w:pPr>
          </w:p>
        </w:tc>
        <w:tc>
          <w:tcPr>
            <w:tcW w:w="2685" w:type="dxa"/>
            <w:tcBorders>
              <w:top w:val="nil"/>
              <w:left w:val="nil"/>
              <w:bottom w:val="nil"/>
              <w:right w:val="nil"/>
            </w:tcBorders>
            <w:noWrap w:val="0"/>
            <w:vAlign w:val="center"/>
          </w:tcPr>
          <w:p w14:paraId="20A8DE07">
            <w:pPr>
              <w:jc w:val="both"/>
              <w:rPr>
                <w:rFonts w:hint="eastAsia"/>
                <w:lang w:val="en-US" w:eastAsia="zh-CN"/>
              </w:rPr>
            </w:pPr>
            <w:r>
              <w:rPr>
                <w:rFonts w:hint="eastAsia"/>
                <w:lang w:val="en-US" w:eastAsia="zh-CN"/>
              </w:rPr>
              <w:t>Left hippocampus, BA 20</w:t>
            </w:r>
          </w:p>
        </w:tc>
        <w:tc>
          <w:tcPr>
            <w:tcW w:w="585" w:type="dxa"/>
            <w:tcBorders>
              <w:top w:val="nil"/>
              <w:left w:val="nil"/>
              <w:bottom w:val="nil"/>
              <w:right w:val="nil"/>
            </w:tcBorders>
            <w:noWrap w:val="0"/>
            <w:vAlign w:val="center"/>
          </w:tcPr>
          <w:p w14:paraId="4F38CFC2">
            <w:pPr>
              <w:jc w:val="both"/>
              <w:rPr>
                <w:rFonts w:hint="default"/>
                <w:lang w:val="en-US" w:eastAsia="zh-CN"/>
              </w:rPr>
            </w:pPr>
            <w:r>
              <w:rPr>
                <w:rFonts w:hint="eastAsia"/>
                <w:lang w:val="en-US" w:eastAsia="zh-CN"/>
              </w:rPr>
              <w:t>-24</w:t>
            </w:r>
          </w:p>
        </w:tc>
        <w:tc>
          <w:tcPr>
            <w:tcW w:w="589" w:type="dxa"/>
            <w:tcBorders>
              <w:top w:val="nil"/>
              <w:left w:val="nil"/>
              <w:bottom w:val="nil"/>
              <w:right w:val="nil"/>
            </w:tcBorders>
            <w:noWrap w:val="0"/>
            <w:vAlign w:val="center"/>
          </w:tcPr>
          <w:p w14:paraId="40059B81">
            <w:pPr>
              <w:jc w:val="both"/>
              <w:rPr>
                <w:rFonts w:hint="default"/>
                <w:lang w:val="en-US" w:eastAsia="zh-CN"/>
              </w:rPr>
            </w:pPr>
            <w:r>
              <w:rPr>
                <w:rFonts w:hint="eastAsia"/>
                <w:lang w:val="en-US" w:eastAsia="zh-CN"/>
              </w:rPr>
              <w:t>-20</w:t>
            </w:r>
          </w:p>
        </w:tc>
        <w:tc>
          <w:tcPr>
            <w:tcW w:w="583" w:type="dxa"/>
            <w:tcBorders>
              <w:top w:val="nil"/>
              <w:left w:val="nil"/>
              <w:bottom w:val="nil"/>
              <w:right w:val="nil"/>
            </w:tcBorders>
            <w:noWrap w:val="0"/>
            <w:vAlign w:val="center"/>
          </w:tcPr>
          <w:p w14:paraId="5D0ABEE2">
            <w:pPr>
              <w:jc w:val="both"/>
              <w:rPr>
                <w:rFonts w:hint="default"/>
                <w:lang w:val="en-US" w:eastAsia="zh-CN"/>
              </w:rPr>
            </w:pPr>
            <w:r>
              <w:rPr>
                <w:rFonts w:hint="eastAsia"/>
                <w:lang w:val="en-US" w:eastAsia="zh-CN"/>
              </w:rPr>
              <w:t>-16</w:t>
            </w:r>
          </w:p>
        </w:tc>
        <w:tc>
          <w:tcPr>
            <w:tcW w:w="905" w:type="dxa"/>
            <w:tcBorders>
              <w:top w:val="nil"/>
              <w:left w:val="nil"/>
              <w:bottom w:val="nil"/>
              <w:right w:val="nil"/>
            </w:tcBorders>
            <w:noWrap w:val="0"/>
            <w:vAlign w:val="center"/>
          </w:tcPr>
          <w:p w14:paraId="62FAC884">
            <w:pPr>
              <w:jc w:val="both"/>
              <w:rPr>
                <w:rFonts w:hint="eastAsia"/>
                <w:lang w:val="en-US" w:eastAsia="zh-CN"/>
              </w:rPr>
            </w:pPr>
            <w:r>
              <w:rPr>
                <w:rFonts w:hint="eastAsia"/>
                <w:lang w:val="en-US" w:eastAsia="zh-CN"/>
              </w:rPr>
              <w:t>2.249</w:t>
            </w:r>
          </w:p>
        </w:tc>
        <w:tc>
          <w:tcPr>
            <w:tcW w:w="1468" w:type="dxa"/>
            <w:tcBorders>
              <w:top w:val="nil"/>
              <w:left w:val="nil"/>
              <w:bottom w:val="nil"/>
              <w:right w:val="nil"/>
            </w:tcBorders>
            <w:noWrap w:val="0"/>
            <w:vAlign w:val="center"/>
          </w:tcPr>
          <w:p w14:paraId="60B29FD8">
            <w:pPr>
              <w:jc w:val="both"/>
              <w:rPr>
                <w:rFonts w:hint="eastAsia"/>
                <w:lang w:val="en-US" w:eastAsia="zh-CN"/>
              </w:rPr>
            </w:pPr>
            <w:r>
              <w:rPr>
                <w:rFonts w:hint="eastAsia"/>
                <w:lang w:val="en-US" w:eastAsia="zh-CN"/>
              </w:rPr>
              <w:t>0.012264311</w:t>
            </w:r>
          </w:p>
        </w:tc>
        <w:tc>
          <w:tcPr>
            <w:tcW w:w="859" w:type="dxa"/>
            <w:tcBorders>
              <w:top w:val="nil"/>
              <w:left w:val="nil"/>
              <w:bottom w:val="nil"/>
              <w:right w:val="nil"/>
            </w:tcBorders>
            <w:noWrap w:val="0"/>
            <w:vAlign w:val="center"/>
          </w:tcPr>
          <w:p w14:paraId="2A894FF0">
            <w:pPr>
              <w:jc w:val="both"/>
              <w:rPr>
                <w:rFonts w:hint="eastAsia"/>
                <w:lang w:val="en-US" w:eastAsia="zh-CN"/>
              </w:rPr>
            </w:pPr>
            <w:r>
              <w:rPr>
                <w:rFonts w:hint="eastAsia"/>
                <w:lang w:val="en-US" w:eastAsia="zh-CN"/>
              </w:rPr>
              <w:t>116</w:t>
            </w:r>
          </w:p>
        </w:tc>
      </w:tr>
      <w:tr w14:paraId="0FFE460D">
        <w:trPr>
          <w:trHeight w:val="23" w:hRule="atLeast"/>
        </w:trPr>
        <w:tc>
          <w:tcPr>
            <w:tcW w:w="1392" w:type="dxa"/>
            <w:tcBorders>
              <w:top w:val="nil"/>
              <w:left w:val="nil"/>
              <w:bottom w:val="nil"/>
              <w:right w:val="nil"/>
            </w:tcBorders>
            <w:noWrap w:val="0"/>
            <w:vAlign w:val="center"/>
          </w:tcPr>
          <w:p w14:paraId="08669168">
            <w:pPr>
              <w:jc w:val="both"/>
              <w:rPr>
                <w:rFonts w:hint="eastAsia"/>
                <w:lang w:val="en-US" w:eastAsia="zh-CN"/>
              </w:rPr>
            </w:pPr>
          </w:p>
        </w:tc>
        <w:tc>
          <w:tcPr>
            <w:tcW w:w="2685" w:type="dxa"/>
            <w:tcBorders>
              <w:top w:val="nil"/>
              <w:left w:val="nil"/>
              <w:bottom w:val="nil"/>
              <w:right w:val="nil"/>
            </w:tcBorders>
            <w:noWrap w:val="0"/>
            <w:vAlign w:val="center"/>
          </w:tcPr>
          <w:p w14:paraId="2FDFDD1F">
            <w:pPr>
              <w:jc w:val="both"/>
              <w:rPr>
                <w:rFonts w:hint="eastAsia"/>
                <w:lang w:val="en-US" w:eastAsia="zh-CN"/>
              </w:rPr>
            </w:pPr>
            <w:r>
              <w:rPr>
                <w:rFonts w:hint="eastAsia"/>
                <w:lang w:val="en-US" w:eastAsia="zh-CN"/>
              </w:rPr>
              <w:t>Right anterior thalamic projections</w:t>
            </w:r>
          </w:p>
        </w:tc>
        <w:tc>
          <w:tcPr>
            <w:tcW w:w="585" w:type="dxa"/>
            <w:tcBorders>
              <w:top w:val="nil"/>
              <w:left w:val="nil"/>
              <w:bottom w:val="nil"/>
              <w:right w:val="nil"/>
            </w:tcBorders>
            <w:noWrap w:val="0"/>
            <w:vAlign w:val="center"/>
          </w:tcPr>
          <w:p w14:paraId="6FE84D57">
            <w:pPr>
              <w:jc w:val="both"/>
              <w:rPr>
                <w:rFonts w:hint="default"/>
                <w:lang w:val="en-US" w:eastAsia="zh-CN"/>
              </w:rPr>
            </w:pPr>
            <w:r>
              <w:rPr>
                <w:rFonts w:hint="eastAsia"/>
                <w:lang w:val="en-US" w:eastAsia="zh-CN"/>
              </w:rPr>
              <w:t>16</w:t>
            </w:r>
          </w:p>
        </w:tc>
        <w:tc>
          <w:tcPr>
            <w:tcW w:w="589" w:type="dxa"/>
            <w:tcBorders>
              <w:top w:val="nil"/>
              <w:left w:val="nil"/>
              <w:bottom w:val="nil"/>
              <w:right w:val="nil"/>
            </w:tcBorders>
            <w:noWrap w:val="0"/>
            <w:vAlign w:val="center"/>
          </w:tcPr>
          <w:p w14:paraId="0785D5B8">
            <w:pPr>
              <w:jc w:val="both"/>
              <w:rPr>
                <w:rFonts w:hint="default"/>
                <w:lang w:val="en-US" w:eastAsia="zh-CN"/>
              </w:rPr>
            </w:pPr>
            <w:r>
              <w:rPr>
                <w:rFonts w:hint="eastAsia"/>
                <w:lang w:val="en-US" w:eastAsia="zh-CN"/>
              </w:rPr>
              <w:t>4</w:t>
            </w:r>
          </w:p>
        </w:tc>
        <w:tc>
          <w:tcPr>
            <w:tcW w:w="583" w:type="dxa"/>
            <w:tcBorders>
              <w:top w:val="nil"/>
              <w:left w:val="nil"/>
              <w:bottom w:val="nil"/>
              <w:right w:val="nil"/>
            </w:tcBorders>
            <w:noWrap w:val="0"/>
            <w:vAlign w:val="center"/>
          </w:tcPr>
          <w:p w14:paraId="46214A8F">
            <w:pPr>
              <w:jc w:val="both"/>
              <w:rPr>
                <w:rFonts w:hint="default"/>
                <w:lang w:val="en-US" w:eastAsia="zh-CN"/>
              </w:rPr>
            </w:pPr>
            <w:r>
              <w:rPr>
                <w:rFonts w:hint="eastAsia"/>
                <w:lang w:val="en-US" w:eastAsia="zh-CN"/>
              </w:rPr>
              <w:t>18</w:t>
            </w:r>
          </w:p>
        </w:tc>
        <w:tc>
          <w:tcPr>
            <w:tcW w:w="905" w:type="dxa"/>
            <w:tcBorders>
              <w:top w:val="nil"/>
              <w:left w:val="nil"/>
              <w:bottom w:val="nil"/>
              <w:right w:val="nil"/>
            </w:tcBorders>
            <w:noWrap w:val="0"/>
            <w:vAlign w:val="center"/>
          </w:tcPr>
          <w:p w14:paraId="1696E070">
            <w:pPr>
              <w:jc w:val="both"/>
              <w:rPr>
                <w:rFonts w:hint="eastAsia"/>
                <w:lang w:val="en-US" w:eastAsia="zh-CN"/>
              </w:rPr>
            </w:pPr>
            <w:r>
              <w:rPr>
                <w:rFonts w:hint="eastAsia"/>
                <w:lang w:val="en-US" w:eastAsia="zh-CN"/>
              </w:rPr>
              <w:t>1.990</w:t>
            </w:r>
          </w:p>
        </w:tc>
        <w:tc>
          <w:tcPr>
            <w:tcW w:w="1468" w:type="dxa"/>
            <w:tcBorders>
              <w:top w:val="nil"/>
              <w:left w:val="nil"/>
              <w:bottom w:val="nil"/>
              <w:right w:val="nil"/>
            </w:tcBorders>
            <w:noWrap w:val="0"/>
            <w:vAlign w:val="center"/>
          </w:tcPr>
          <w:p w14:paraId="21CF3B48">
            <w:pPr>
              <w:jc w:val="both"/>
              <w:rPr>
                <w:rFonts w:hint="eastAsia"/>
                <w:lang w:val="en-US" w:eastAsia="zh-CN"/>
              </w:rPr>
            </w:pPr>
            <w:r>
              <w:rPr>
                <w:rFonts w:hint="eastAsia"/>
                <w:lang w:val="en-US" w:eastAsia="zh-CN"/>
              </w:rPr>
              <w:t>0.023270607</w:t>
            </w:r>
          </w:p>
        </w:tc>
        <w:tc>
          <w:tcPr>
            <w:tcW w:w="859" w:type="dxa"/>
            <w:tcBorders>
              <w:top w:val="nil"/>
              <w:left w:val="nil"/>
              <w:bottom w:val="nil"/>
              <w:right w:val="nil"/>
            </w:tcBorders>
            <w:noWrap w:val="0"/>
            <w:vAlign w:val="center"/>
          </w:tcPr>
          <w:p w14:paraId="1F48AD33">
            <w:pPr>
              <w:jc w:val="both"/>
              <w:rPr>
                <w:rFonts w:hint="eastAsia"/>
                <w:lang w:val="en-US" w:eastAsia="zh-CN"/>
              </w:rPr>
            </w:pPr>
            <w:r>
              <w:rPr>
                <w:rFonts w:hint="eastAsia"/>
                <w:lang w:val="en-US" w:eastAsia="zh-CN"/>
              </w:rPr>
              <w:t>63</w:t>
            </w:r>
          </w:p>
        </w:tc>
      </w:tr>
      <w:tr w14:paraId="150023C3">
        <w:trPr>
          <w:trHeight w:val="23" w:hRule="atLeast"/>
        </w:trPr>
        <w:tc>
          <w:tcPr>
            <w:tcW w:w="1392" w:type="dxa"/>
            <w:tcBorders>
              <w:top w:val="nil"/>
              <w:left w:val="nil"/>
              <w:bottom w:val="single" w:color="auto" w:sz="4" w:space="0"/>
              <w:right w:val="nil"/>
            </w:tcBorders>
            <w:noWrap w:val="0"/>
            <w:vAlign w:val="center"/>
          </w:tcPr>
          <w:p w14:paraId="56342C87">
            <w:pPr>
              <w:jc w:val="both"/>
              <w:rPr>
                <w:rFonts w:hint="eastAsia"/>
                <w:lang w:val="en-US" w:eastAsia="zh-CN"/>
              </w:rPr>
            </w:pPr>
            <w:r>
              <w:rPr>
                <w:rFonts w:hint="eastAsia"/>
                <w:lang w:val="en-US" w:eastAsia="zh-CN"/>
              </w:rPr>
              <w:t>HC</w:t>
            </w:r>
            <w:r>
              <w:rPr>
                <w:rFonts w:hint="default"/>
                <w:lang w:val="en-US" w:eastAsia="zh-CN"/>
              </w:rPr>
              <w:t>s</w:t>
            </w:r>
            <w:r>
              <w:rPr>
                <w:rFonts w:hint="eastAsia"/>
                <w:lang w:val="en-US" w:eastAsia="zh-CN"/>
              </w:rPr>
              <w:t xml:space="preserve"> &gt; MDD</w:t>
            </w:r>
          </w:p>
        </w:tc>
        <w:tc>
          <w:tcPr>
            <w:tcW w:w="7674" w:type="dxa"/>
            <w:gridSpan w:val="7"/>
            <w:tcBorders>
              <w:top w:val="nil"/>
              <w:left w:val="nil"/>
              <w:bottom w:val="single" w:color="auto" w:sz="4" w:space="0"/>
              <w:right w:val="nil"/>
            </w:tcBorders>
            <w:noWrap w:val="0"/>
            <w:vAlign w:val="center"/>
          </w:tcPr>
          <w:p w14:paraId="3E6DD0D3">
            <w:pPr>
              <w:jc w:val="center"/>
              <w:rPr>
                <w:rFonts w:hint="eastAsia"/>
                <w:lang w:val="en-US" w:eastAsia="zh-CN"/>
              </w:rPr>
            </w:pPr>
            <w:r>
              <w:rPr>
                <w:rFonts w:hint="eastAsia"/>
                <w:lang w:val="en-US" w:eastAsia="zh-CN"/>
              </w:rPr>
              <w:t>——</w:t>
            </w:r>
          </w:p>
        </w:tc>
      </w:tr>
    </w:tbl>
    <w:p w14:paraId="522CC71A">
      <w:pPr>
        <w:rPr>
          <w:rFonts w:hint="eastAsia"/>
          <w:b/>
          <w:bCs/>
          <w:color w:val="0D0D0D" w:themeColor="text1" w:themeTint="F2"/>
          <w:highlight w:val="none"/>
          <w:lang w:val="en-US" w:eastAsia="zh-CN"/>
          <w14:textFill>
            <w14:solidFill>
              <w14:schemeClr w14:val="tx1">
                <w14:lumMod w14:val="95000"/>
                <w14:lumOff w14:val="5000"/>
              </w14:schemeClr>
            </w14:solidFill>
          </w14:textFill>
        </w:rPr>
      </w:pPr>
      <w:r>
        <w:rPr>
          <w:rFonts w:hint="eastAsia"/>
          <w:b/>
          <w:bCs/>
          <w:color w:val="0D0D0D" w:themeColor="text1" w:themeTint="F2"/>
          <w:highlight w:val="none"/>
          <w:lang w:val="en-US" w:eastAsia="zh-CN"/>
          <w14:textFill>
            <w14:solidFill>
              <w14:schemeClr w14:val="tx1">
                <w14:lumMod w14:val="95000"/>
                <w14:lumOff w14:val="5000"/>
              </w14:schemeClr>
            </w14:solidFill>
          </w14:textFill>
        </w:rPr>
        <w:br w:type="page"/>
      </w:r>
    </w:p>
    <w:p w14:paraId="5727057A">
      <w:pPr>
        <w:numPr>
          <w:ilvl w:val="0"/>
          <w:numId w:val="1"/>
        </w:numPr>
        <w:jc w:val="both"/>
        <w:rPr>
          <w:rFonts w:hint="eastAsia"/>
          <w:b/>
          <w:bCs/>
          <w:color w:val="0D0D0D" w:themeColor="text1" w:themeTint="F2"/>
          <w:highlight w:val="none"/>
          <w:lang w:val="en-US" w:eastAsia="zh-CN"/>
          <w14:textFill>
            <w14:solidFill>
              <w14:schemeClr w14:val="tx1">
                <w14:lumMod w14:val="95000"/>
                <w14:lumOff w14:val="5000"/>
              </w14:schemeClr>
            </w14:solidFill>
          </w14:textFill>
        </w:rPr>
      </w:pPr>
      <w:r>
        <w:rPr>
          <w:rFonts w:hint="eastAsia"/>
          <w:b/>
          <w:bCs/>
          <w:color w:val="0D0D0D" w:themeColor="text1" w:themeTint="F2"/>
          <w:highlight w:val="none"/>
          <w:lang w:val="en-US" w:eastAsia="zh-CN"/>
          <w14:textFill>
            <w14:solidFill>
              <w14:schemeClr w14:val="tx1">
                <w14:lumMod w14:val="95000"/>
                <w14:lumOff w14:val="5000"/>
              </w14:schemeClr>
            </w14:solidFill>
          </w14:textFill>
        </w:rPr>
        <w:t>Supplementary Figures</w:t>
      </w:r>
    </w:p>
    <w:p w14:paraId="78622BAF">
      <w:pPr>
        <w:jc w:val="both"/>
        <w:rPr>
          <w:rFonts w:hint="eastAsia"/>
          <w:color w:val="0D0D0D" w:themeColor="text1" w:themeTint="F2"/>
          <w:highlight w:val="none"/>
          <w:lang w:val="en-US" w:eastAsia="zh-CN"/>
          <w14:textFill>
            <w14:solidFill>
              <w14:schemeClr w14:val="tx1">
                <w14:lumMod w14:val="95000"/>
                <w14:lumOff w14:val="5000"/>
              </w14:schemeClr>
            </w14:solidFill>
          </w14:textFill>
        </w:rPr>
      </w:pPr>
      <w:r>
        <w:rPr>
          <w:rFonts w:hint="eastAsia"/>
          <w:color w:val="0D0D0D" w:themeColor="text1" w:themeTint="F2"/>
          <w:highlight w:val="none"/>
          <w:lang w:val="en-US" w:eastAsia="zh-CN"/>
          <w14:textFill>
            <w14:solidFill>
              <w14:schemeClr w14:val="tx1">
                <w14:lumMod w14:val="95000"/>
                <w14:lumOff w14:val="5000"/>
              </w14:schemeClr>
            </w14:solidFill>
          </w14:textFill>
        </w:rPr>
        <w:drawing>
          <wp:inline distT="0" distB="0" distL="114300" distR="114300">
            <wp:extent cx="5272405" cy="3679190"/>
            <wp:effectExtent l="0" t="0" r="10795" b="3810"/>
            <wp:docPr id="3" name="图片 3"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1"/>
                    <pic:cNvPicPr>
                      <a:picLocks noChangeAspect="1"/>
                    </pic:cNvPicPr>
                  </pic:nvPicPr>
                  <pic:blipFill>
                    <a:blip r:embed="rId4"/>
                    <a:stretch>
                      <a:fillRect/>
                    </a:stretch>
                  </pic:blipFill>
                  <pic:spPr>
                    <a:xfrm>
                      <a:off x="0" y="0"/>
                      <a:ext cx="5272405" cy="3679190"/>
                    </a:xfrm>
                    <a:prstGeom prst="rect">
                      <a:avLst/>
                    </a:prstGeom>
                  </pic:spPr>
                </pic:pic>
              </a:graphicData>
            </a:graphic>
          </wp:inline>
        </w:drawing>
      </w:r>
    </w:p>
    <w:p w14:paraId="72B8C889">
      <w:pPr>
        <w:jc w:val="both"/>
        <w:rPr>
          <w:rFonts w:hint="eastAsia"/>
          <w:color w:val="0D0D0D" w:themeColor="text1" w:themeTint="F2"/>
          <w:highlight w:val="none"/>
          <w:lang w:val="en-US" w:eastAsia="zh-CN"/>
          <w14:textFill>
            <w14:solidFill>
              <w14:schemeClr w14:val="tx1">
                <w14:lumMod w14:val="95000"/>
                <w14:lumOff w14:val="5000"/>
              </w14:schemeClr>
            </w14:solidFill>
          </w14:textFill>
        </w:rPr>
      </w:pPr>
      <w:r>
        <w:rPr>
          <w:rFonts w:hint="eastAsia"/>
          <w:color w:val="0D0D0D" w:themeColor="text1" w:themeTint="F2"/>
          <w:highlight w:val="none"/>
          <w:lang w:val="en-US" w:eastAsia="zh-CN"/>
          <w14:textFill>
            <w14:solidFill>
              <w14:schemeClr w14:val="tx1">
                <w14:lumMod w14:val="95000"/>
                <w14:lumOff w14:val="5000"/>
              </w14:schemeClr>
            </w14:solidFill>
          </w14:textFill>
        </w:rPr>
        <w:t>Figure S1  Exploratory uncorrected activation patterns for the working memory domain (MDD &gt; HC</w:t>
      </w:r>
      <w:r>
        <w:rPr>
          <w:rFonts w:hint="default"/>
          <w:color w:val="0D0D0D" w:themeColor="text1" w:themeTint="F2"/>
          <w:highlight w:val="none"/>
          <w:lang w:val="en-US" w:eastAsia="zh-CN"/>
          <w14:textFill>
            <w14:solidFill>
              <w14:schemeClr w14:val="tx1">
                <w14:lumMod w14:val="95000"/>
                <w14:lumOff w14:val="5000"/>
              </w14:schemeClr>
            </w14:solidFill>
          </w14:textFill>
        </w:rPr>
        <w:t>s</w:t>
      </w:r>
      <w:r>
        <w:rPr>
          <w:rFonts w:hint="eastAsia"/>
          <w:color w:val="0D0D0D" w:themeColor="text1" w:themeTint="F2"/>
          <w:highlight w:val="none"/>
          <w:lang w:val="en-US" w:eastAsia="zh-CN"/>
          <w14:textFill>
            <w14:solidFill>
              <w14:schemeClr w14:val="tx1">
                <w14:lumMod w14:val="95000"/>
                <w14:lumOff w14:val="5000"/>
              </w14:schemeClr>
            </w14:solidFill>
          </w14:textFill>
        </w:rPr>
        <w:t>). Threshold: uncorrected p &lt; 0.05, k ≥ 50 voxels.</w:t>
      </w:r>
    </w:p>
    <w:p w14:paraId="5F7582C3">
      <w:pPr>
        <w:rPr>
          <w:rFonts w:hint="eastAsia"/>
          <w:color w:val="0D0D0D" w:themeColor="text1" w:themeTint="F2"/>
          <w:highlight w:val="none"/>
          <w:lang w:val="en-US" w:eastAsia="zh-CN"/>
          <w14:textFill>
            <w14:solidFill>
              <w14:schemeClr w14:val="tx1">
                <w14:lumMod w14:val="95000"/>
                <w14:lumOff w14:val="5000"/>
              </w14:schemeClr>
            </w14:solidFill>
          </w14:textFill>
        </w:rPr>
      </w:pPr>
      <w:r>
        <w:rPr>
          <w:rFonts w:hint="eastAsia"/>
          <w:color w:val="0D0D0D" w:themeColor="text1" w:themeTint="F2"/>
          <w:highlight w:val="none"/>
          <w:lang w:val="en-US" w:eastAsia="zh-CN"/>
          <w14:textFill>
            <w14:solidFill>
              <w14:schemeClr w14:val="tx1">
                <w14:lumMod w14:val="95000"/>
                <w14:lumOff w14:val="5000"/>
              </w14:schemeClr>
            </w14:solidFill>
          </w14:textFill>
        </w:rPr>
        <w:br w:type="page"/>
      </w:r>
    </w:p>
    <w:p w14:paraId="24570962">
      <w:pPr>
        <w:jc w:val="both"/>
        <w:rPr>
          <w:rFonts w:hint="eastAsia"/>
          <w:color w:val="0D0D0D" w:themeColor="text1" w:themeTint="F2"/>
          <w:highlight w:val="none"/>
          <w:lang w:val="en-US" w:eastAsia="zh-CN"/>
          <w14:textFill>
            <w14:solidFill>
              <w14:schemeClr w14:val="tx1">
                <w14:lumMod w14:val="95000"/>
                <w14:lumOff w14:val="5000"/>
              </w14:schemeClr>
            </w14:solidFill>
          </w14:textFill>
        </w:rPr>
      </w:pPr>
      <w:r>
        <w:rPr>
          <w:rFonts w:hint="eastAsia"/>
          <w:color w:val="0D0D0D" w:themeColor="text1" w:themeTint="F2"/>
          <w:highlight w:val="none"/>
          <w:lang w:val="en-US" w:eastAsia="zh-CN"/>
          <w14:textFill>
            <w14:solidFill>
              <w14:schemeClr w14:val="tx1">
                <w14:lumMod w14:val="95000"/>
                <w14:lumOff w14:val="5000"/>
              </w14:schemeClr>
            </w14:solidFill>
          </w14:textFill>
        </w:rPr>
        <w:drawing>
          <wp:inline distT="0" distB="0" distL="114300" distR="114300">
            <wp:extent cx="5272405" cy="3434715"/>
            <wp:effectExtent l="0" t="0" r="10795" b="19685"/>
            <wp:docPr id="1" name="图片 1"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2"/>
                    <pic:cNvPicPr>
                      <a:picLocks noChangeAspect="1"/>
                    </pic:cNvPicPr>
                  </pic:nvPicPr>
                  <pic:blipFill>
                    <a:blip r:embed="rId5"/>
                    <a:stretch>
                      <a:fillRect/>
                    </a:stretch>
                  </pic:blipFill>
                  <pic:spPr>
                    <a:xfrm>
                      <a:off x="0" y="0"/>
                      <a:ext cx="5272405" cy="3434715"/>
                    </a:xfrm>
                    <a:prstGeom prst="rect">
                      <a:avLst/>
                    </a:prstGeom>
                  </pic:spPr>
                </pic:pic>
              </a:graphicData>
            </a:graphic>
          </wp:inline>
        </w:drawing>
      </w:r>
    </w:p>
    <w:p w14:paraId="526E589C">
      <w:pPr>
        <w:jc w:val="both"/>
        <w:rPr>
          <w:rFonts w:hint="eastAsia"/>
          <w:color w:val="0D0D0D" w:themeColor="text1" w:themeTint="F2"/>
          <w:highlight w:val="none"/>
          <w:lang w:val="en-US" w:eastAsia="zh-CN"/>
          <w14:textFill>
            <w14:solidFill>
              <w14:schemeClr w14:val="tx1">
                <w14:lumMod w14:val="95000"/>
                <w14:lumOff w14:val="5000"/>
              </w14:schemeClr>
            </w14:solidFill>
          </w14:textFill>
        </w:rPr>
      </w:pPr>
      <w:r>
        <w:rPr>
          <w:rFonts w:hint="eastAsia"/>
          <w:color w:val="0D0D0D" w:themeColor="text1" w:themeTint="F2"/>
          <w:highlight w:val="none"/>
          <w:lang w:val="en-US" w:eastAsia="zh-CN"/>
          <w14:textFill>
            <w14:solidFill>
              <w14:schemeClr w14:val="tx1">
                <w14:lumMod w14:val="95000"/>
                <w14:lumOff w14:val="5000"/>
              </w14:schemeClr>
            </w14:solidFill>
          </w14:textFill>
        </w:rPr>
        <w:t>Figure S2  Exploratory uncorrected activation patterns for the reward domain (MDD &gt; HC</w:t>
      </w:r>
      <w:r>
        <w:rPr>
          <w:rFonts w:hint="default"/>
          <w:color w:val="0D0D0D" w:themeColor="text1" w:themeTint="F2"/>
          <w:highlight w:val="none"/>
          <w:lang w:val="en-US" w:eastAsia="zh-CN"/>
          <w14:textFill>
            <w14:solidFill>
              <w14:schemeClr w14:val="tx1">
                <w14:lumMod w14:val="95000"/>
                <w14:lumOff w14:val="5000"/>
              </w14:schemeClr>
            </w14:solidFill>
          </w14:textFill>
        </w:rPr>
        <w:t>s</w:t>
      </w:r>
      <w:r>
        <w:rPr>
          <w:rFonts w:hint="eastAsia"/>
          <w:color w:val="0D0D0D" w:themeColor="text1" w:themeTint="F2"/>
          <w:highlight w:val="none"/>
          <w:lang w:val="en-US" w:eastAsia="zh-CN"/>
          <w14:textFill>
            <w14:solidFill>
              <w14:schemeClr w14:val="tx1">
                <w14:lumMod w14:val="95000"/>
                <w14:lumOff w14:val="5000"/>
              </w14:schemeClr>
            </w14:solidFill>
          </w14:textFill>
        </w:rPr>
        <w:t>). Threshold: uncorrected p &lt; 0.05, k ≥ 50 voxels.</w:t>
      </w:r>
    </w:p>
    <w:p w14:paraId="176C1A17">
      <w:pPr>
        <w:rPr>
          <w:rFonts w:hint="eastAsia"/>
          <w:color w:val="0D0D0D" w:themeColor="text1" w:themeTint="F2"/>
          <w:highlight w:val="none"/>
          <w:lang w:val="en-US" w:eastAsia="zh-CN"/>
          <w14:textFill>
            <w14:solidFill>
              <w14:schemeClr w14:val="tx1">
                <w14:lumMod w14:val="95000"/>
                <w14:lumOff w14:val="5000"/>
              </w14:schemeClr>
            </w14:solidFill>
          </w14:textFill>
        </w:rPr>
      </w:pPr>
      <w:r>
        <w:rPr>
          <w:rFonts w:hint="eastAsia"/>
          <w:color w:val="0D0D0D" w:themeColor="text1" w:themeTint="F2"/>
          <w:highlight w:val="none"/>
          <w:lang w:val="en-US" w:eastAsia="zh-CN"/>
          <w14:textFill>
            <w14:solidFill>
              <w14:schemeClr w14:val="tx1">
                <w14:lumMod w14:val="95000"/>
                <w14:lumOff w14:val="5000"/>
              </w14:schemeClr>
            </w14:solidFill>
          </w14:textFill>
        </w:rPr>
        <w:br w:type="page"/>
      </w:r>
    </w:p>
    <w:p w14:paraId="1ABB9CB2">
      <w:pPr>
        <w:jc w:val="both"/>
        <w:rPr>
          <w:rFonts w:hint="eastAsia"/>
          <w:b/>
          <w:bCs/>
          <w:lang w:val="en-US" w:eastAsia="zh-CN"/>
        </w:rPr>
      </w:pPr>
      <w:r>
        <w:rPr>
          <w:rFonts w:hint="eastAsia"/>
          <w:b/>
          <w:bCs/>
          <w:lang w:val="en-US" w:eastAsia="zh-CN"/>
        </w:rPr>
        <w:t>4. Statistical caution statement</w:t>
      </w:r>
    </w:p>
    <w:p w14:paraId="6180C201">
      <w:pPr>
        <w:jc w:val="both"/>
        <w:rPr>
          <w:rFonts w:hint="eastAsia"/>
          <w:lang w:val="en-US" w:eastAsia="zh-CN"/>
        </w:rPr>
      </w:pPr>
      <w:r>
        <w:rPr>
          <w:rFonts w:hint="eastAsia"/>
          <w:lang w:val="en-US" w:eastAsia="zh-CN"/>
        </w:rPr>
        <w:t>These findings did not survive the predefined correction threshold used in the primary analyses and should therefore be interpreted as preliminary and hypothesis-generating rather than confirmatory.</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Times New Roman Regular">
    <w:panose1 w:val="02020503050405090304"/>
    <w:charset w:val="00"/>
    <w:family w:val="auto"/>
    <w:pitch w:val="default"/>
    <w:sig w:usb0="E0000AFF" w:usb1="00007843" w:usb2="00000001" w:usb3="00000000" w:csb0="400001BF" w:csb1="DF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2BCF"/>
    <w:multiLevelType w:val="singleLevel"/>
    <w:tmpl w:val="E5FD2BCF"/>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7147D"/>
    <w:rsid w:val="33DED954"/>
    <w:rsid w:val="35BFFEA1"/>
    <w:rsid w:val="3BB76745"/>
    <w:rsid w:val="3DBFF78C"/>
    <w:rsid w:val="3E7DA529"/>
    <w:rsid w:val="3F7E1263"/>
    <w:rsid w:val="3FCF0B0F"/>
    <w:rsid w:val="3FDF7BB3"/>
    <w:rsid w:val="3FFD93FA"/>
    <w:rsid w:val="4B66B57D"/>
    <w:rsid w:val="4E992C35"/>
    <w:rsid w:val="4FAFC4C4"/>
    <w:rsid w:val="4FEF1AD0"/>
    <w:rsid w:val="4FFF9B3B"/>
    <w:rsid w:val="537ACF13"/>
    <w:rsid w:val="57BE3B0E"/>
    <w:rsid w:val="5A7B62DE"/>
    <w:rsid w:val="5BDFA776"/>
    <w:rsid w:val="5BFB233B"/>
    <w:rsid w:val="5DEE2EDB"/>
    <w:rsid w:val="5FBF259B"/>
    <w:rsid w:val="6F7B7D55"/>
    <w:rsid w:val="6FFF2A36"/>
    <w:rsid w:val="71DFC35D"/>
    <w:rsid w:val="74DCE636"/>
    <w:rsid w:val="77FB8452"/>
    <w:rsid w:val="7AD46384"/>
    <w:rsid w:val="7BF54A7D"/>
    <w:rsid w:val="7CFECF05"/>
    <w:rsid w:val="7DF3BCE4"/>
    <w:rsid w:val="7DF3D7E2"/>
    <w:rsid w:val="7DF7EC8D"/>
    <w:rsid w:val="7E973BE2"/>
    <w:rsid w:val="7F9B7FF0"/>
    <w:rsid w:val="7FBDEE69"/>
    <w:rsid w:val="7FDE3DE4"/>
    <w:rsid w:val="7FF7147D"/>
    <w:rsid w:val="7FFF6BC0"/>
    <w:rsid w:val="8BFD288A"/>
    <w:rsid w:val="8DEB122A"/>
    <w:rsid w:val="966BCBA4"/>
    <w:rsid w:val="9FD61A54"/>
    <w:rsid w:val="9FFD30DF"/>
    <w:rsid w:val="A8FE51FC"/>
    <w:rsid w:val="AF3F8E4A"/>
    <w:rsid w:val="B7FF76E8"/>
    <w:rsid w:val="BBFB5EA9"/>
    <w:rsid w:val="BEF74FC3"/>
    <w:rsid w:val="BFBE4374"/>
    <w:rsid w:val="C2FE59BA"/>
    <w:rsid w:val="C57B7A66"/>
    <w:rsid w:val="C87BA1E9"/>
    <w:rsid w:val="C9232180"/>
    <w:rsid w:val="C9FF37ED"/>
    <w:rsid w:val="CB77D081"/>
    <w:rsid w:val="CD64504B"/>
    <w:rsid w:val="CFBFA6E0"/>
    <w:rsid w:val="D097C547"/>
    <w:rsid w:val="DBFEDDE3"/>
    <w:rsid w:val="DBFF89AD"/>
    <w:rsid w:val="DDFF6D30"/>
    <w:rsid w:val="DFBFAEDB"/>
    <w:rsid w:val="E7A626E1"/>
    <w:rsid w:val="E9FF3DC9"/>
    <w:rsid w:val="EBFF0A1F"/>
    <w:rsid w:val="EEBF8E80"/>
    <w:rsid w:val="EF7F2960"/>
    <w:rsid w:val="EFFF4AB2"/>
    <w:rsid w:val="F69D9262"/>
    <w:rsid w:val="F7D7AE5E"/>
    <w:rsid w:val="F7F7E152"/>
    <w:rsid w:val="F7FAFA48"/>
    <w:rsid w:val="F7FF875D"/>
    <w:rsid w:val="F93EB6CF"/>
    <w:rsid w:val="FBF53B7A"/>
    <w:rsid w:val="FBFB368F"/>
    <w:rsid w:val="FD2BB355"/>
    <w:rsid w:val="FD5782C5"/>
    <w:rsid w:val="FDAB4B3A"/>
    <w:rsid w:val="FDDF6909"/>
    <w:rsid w:val="FDEFCF3D"/>
    <w:rsid w:val="FDFDE3DA"/>
    <w:rsid w:val="FF7DFE79"/>
    <w:rsid w:val="FFEF4962"/>
    <w:rsid w:val="FFF79C9C"/>
    <w:rsid w:val="FFFB9F08"/>
    <w:rsid w:val="FFFCE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0"/>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2026-03-01T22:57:00Z</dcterms:created>
  <dc:creator>张琴</dc:creator>
  <cp:lastModifiedBy>Qin Zhang</cp:lastModifiedBy>
  <dcterms:modified xsi:type="dcterms:W3CDTF">2026-03-04T21:08:57Z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F615C9B2904D515D64E3A3694DFEB010_41</vt:lpwstr>
  </property>
</Properties>
</file>