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C5AAE">
      <w:pPr>
        <w:rPr>
          <w:rFonts w:hint="default" w:ascii="Times New Roman Bold" w:hAnsi="Times New Roman Bold" w:eastAsia="宋体" w:cs="Times New Roman Bold"/>
          <w:b/>
          <w:bCs/>
          <w:sz w:val="28"/>
          <w:szCs w:val="28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0000FF"/>
          <w:sz w:val="28"/>
          <w:szCs w:val="28"/>
          <w:lang w:val="en-US" w:eastAsia="zh-CN"/>
        </w:rPr>
        <w:t>Supplementary Material S6:</w:t>
      </w: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 w:eastAsia="zh-CN"/>
        </w:rPr>
        <w:t xml:space="preserve"> Summary of AI applications and outcomes in adolescent mental health</w:t>
      </w:r>
    </w:p>
    <w:tbl>
      <w:tblPr>
        <w:tblStyle w:val="4"/>
        <w:tblW w:w="16625" w:type="dxa"/>
        <w:tblInd w:w="-12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762"/>
        <w:gridCol w:w="1314"/>
        <w:gridCol w:w="743"/>
        <w:gridCol w:w="1057"/>
        <w:gridCol w:w="1343"/>
        <w:gridCol w:w="1477"/>
        <w:gridCol w:w="1290"/>
        <w:gridCol w:w="1448"/>
        <w:gridCol w:w="1533"/>
        <w:gridCol w:w="1429"/>
        <w:gridCol w:w="1219"/>
        <w:gridCol w:w="1848"/>
      </w:tblGrid>
      <w:tr w14:paraId="104906AB">
        <w:trPr>
          <w:trHeight w:val="229" w:hRule="atLeast"/>
        </w:trPr>
        <w:tc>
          <w:tcPr>
            <w:tcW w:w="1162" w:type="dxa"/>
            <w:vMerge w:val="restart"/>
          </w:tcPr>
          <w:p w14:paraId="1851648C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  <w:t>Included literature</w:t>
            </w:r>
          </w:p>
        </w:tc>
        <w:tc>
          <w:tcPr>
            <w:tcW w:w="2819" w:type="dxa"/>
            <w:gridSpan w:val="3"/>
          </w:tcPr>
          <w:p w14:paraId="47047E6A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Risk prediction, identification, and classification</w:t>
            </w:r>
          </w:p>
        </w:tc>
        <w:tc>
          <w:tcPr>
            <w:tcW w:w="3877" w:type="dxa"/>
            <w:gridSpan w:val="3"/>
            <w:shd w:val="clear" w:color="auto" w:fill="auto"/>
            <w:vAlign w:val="top"/>
          </w:tcPr>
          <w:p w14:paraId="246FC62E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Support and treatment outcomes</w:t>
            </w:r>
          </w:p>
        </w:tc>
        <w:tc>
          <w:tcPr>
            <w:tcW w:w="4271" w:type="dxa"/>
            <w:gridSpan w:val="3"/>
            <w:shd w:val="clear" w:color="auto" w:fill="auto"/>
            <w:vAlign w:val="top"/>
          </w:tcPr>
          <w:p w14:paraId="6144D271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Clinical management and self-management</w:t>
            </w:r>
          </w:p>
        </w:tc>
        <w:tc>
          <w:tcPr>
            <w:tcW w:w="4496" w:type="dxa"/>
            <w:gridSpan w:val="3"/>
            <w:shd w:val="clear" w:color="auto" w:fill="auto"/>
            <w:vAlign w:val="top"/>
          </w:tcPr>
          <w:p w14:paraId="4AB5F7D0">
            <w:pPr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Expand service scope and opportunities</w:t>
            </w:r>
          </w:p>
        </w:tc>
      </w:tr>
      <w:tr w14:paraId="3D47BF19">
        <w:trPr>
          <w:trHeight w:val="229" w:hRule="atLeast"/>
        </w:trPr>
        <w:tc>
          <w:tcPr>
            <w:tcW w:w="1162" w:type="dxa"/>
            <w:vMerge w:val="continue"/>
          </w:tcPr>
          <w:p w14:paraId="4B6D7E7D">
            <w:pPr>
              <w:rPr>
                <w:sz w:val="21"/>
                <w:szCs w:val="21"/>
              </w:rPr>
            </w:pPr>
          </w:p>
        </w:tc>
        <w:tc>
          <w:tcPr>
            <w:tcW w:w="762" w:type="dxa"/>
          </w:tcPr>
          <w:p w14:paraId="61B1743B">
            <w:pPr>
              <w:rPr>
                <w:rFonts w:hint="default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t>ACC</w:t>
            </w:r>
          </w:p>
        </w:tc>
        <w:tc>
          <w:tcPr>
            <w:tcW w:w="1314" w:type="dxa"/>
          </w:tcPr>
          <w:p w14:paraId="3AC6C3B1">
            <w:pPr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t>S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ensitivity</w:t>
            </w:r>
          </w:p>
        </w:tc>
        <w:tc>
          <w:tcPr>
            <w:tcW w:w="743" w:type="dxa"/>
          </w:tcPr>
          <w:p w14:paraId="0073E3A1">
            <w:pPr>
              <w:rPr>
                <w:rFonts w:hint="default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t>AUC</w:t>
            </w:r>
          </w:p>
        </w:tc>
        <w:tc>
          <w:tcPr>
            <w:tcW w:w="1057" w:type="dxa"/>
            <w:shd w:val="clear" w:color="auto" w:fill="auto"/>
            <w:vAlign w:val="top"/>
          </w:tcPr>
          <w:p w14:paraId="07140212">
            <w:pPr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t>S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everity</w:t>
            </w:r>
          </w:p>
        </w:tc>
        <w:tc>
          <w:tcPr>
            <w:tcW w:w="1343" w:type="dxa"/>
            <w:shd w:val="clear" w:color="auto" w:fill="auto"/>
            <w:vAlign w:val="top"/>
          </w:tcPr>
          <w:p w14:paraId="1FCB945E">
            <w:pPr>
              <w:rPr>
                <w:rFonts w:hint="default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Intervention effect</w:t>
            </w:r>
          </w:p>
        </w:tc>
        <w:tc>
          <w:tcPr>
            <w:tcW w:w="1477" w:type="dxa"/>
            <w:shd w:val="clear" w:color="auto" w:fill="auto"/>
            <w:vAlign w:val="top"/>
          </w:tcPr>
          <w:p w14:paraId="0511CBCD">
            <w:pPr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t>S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ustainability</w:t>
            </w:r>
          </w:p>
        </w:tc>
        <w:tc>
          <w:tcPr>
            <w:tcW w:w="1290" w:type="dxa"/>
            <w:shd w:val="clear" w:color="auto" w:fill="auto"/>
            <w:vAlign w:val="top"/>
          </w:tcPr>
          <w:p w14:paraId="438CCD87">
            <w:pPr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t>S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atisfaction</w:t>
            </w:r>
          </w:p>
        </w:tc>
        <w:tc>
          <w:tcPr>
            <w:tcW w:w="1448" w:type="dxa"/>
            <w:shd w:val="clear" w:color="auto" w:fill="auto"/>
            <w:vAlign w:val="top"/>
          </w:tcPr>
          <w:p w14:paraId="24D1648E">
            <w:pPr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ngagement</w:t>
            </w:r>
          </w:p>
        </w:tc>
        <w:tc>
          <w:tcPr>
            <w:tcW w:w="1533" w:type="dxa"/>
            <w:shd w:val="clear" w:color="auto" w:fill="auto"/>
            <w:vAlign w:val="top"/>
          </w:tcPr>
          <w:p w14:paraId="62004973">
            <w:pPr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  <w:t>A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cceptability</w:t>
            </w:r>
          </w:p>
        </w:tc>
        <w:tc>
          <w:tcPr>
            <w:tcW w:w="1429" w:type="dxa"/>
            <w:shd w:val="clear" w:color="auto" w:fill="auto"/>
            <w:vAlign w:val="top"/>
          </w:tcPr>
          <w:p w14:paraId="3A628A46">
            <w:pPr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Emergency crisis</w:t>
            </w:r>
          </w:p>
        </w:tc>
        <w:tc>
          <w:tcPr>
            <w:tcW w:w="1219" w:type="dxa"/>
            <w:shd w:val="clear" w:color="auto" w:fill="auto"/>
            <w:vAlign w:val="top"/>
          </w:tcPr>
          <w:p w14:paraId="2DEDB626">
            <w:pPr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Service Shortage Area</w:t>
            </w:r>
          </w:p>
        </w:tc>
        <w:tc>
          <w:tcPr>
            <w:tcW w:w="1848" w:type="dxa"/>
            <w:shd w:val="clear" w:color="auto" w:fill="auto"/>
            <w:vAlign w:val="top"/>
          </w:tcPr>
          <w:p w14:paraId="4D8FB9A8">
            <w:pPr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Marginalized or diseased groups</w:t>
            </w:r>
          </w:p>
        </w:tc>
      </w:tr>
      <w:tr w14:paraId="64F357E8">
        <w:tc>
          <w:tcPr>
            <w:tcW w:w="1162" w:type="dxa"/>
            <w:vAlign w:val="center"/>
          </w:tcPr>
          <w:p w14:paraId="268FD38C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Biernesser 2023</w:t>
            </w:r>
          </w:p>
        </w:tc>
        <w:tc>
          <w:tcPr>
            <w:tcW w:w="2819" w:type="dxa"/>
            <w:gridSpan w:val="3"/>
          </w:tcPr>
          <w:p w14:paraId="72B26DE6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4FF22DB7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271" w:type="dxa"/>
            <w:gridSpan w:val="3"/>
          </w:tcPr>
          <w:p w14:paraId="6F9D6794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High acceptability; improved self-management ability</w:t>
            </w:r>
          </w:p>
        </w:tc>
        <w:tc>
          <w:tcPr>
            <w:tcW w:w="4496" w:type="dxa"/>
            <w:gridSpan w:val="3"/>
          </w:tcPr>
          <w:p w14:paraId="00BCA294">
            <w:pPr>
              <w:rPr>
                <w:sz w:val="21"/>
                <w:szCs w:val="21"/>
                <w:vertAlign w:val="baseline"/>
              </w:rPr>
            </w:pPr>
            <w:r>
              <w:rPr>
                <w:sz w:val="21"/>
                <w:szCs w:val="21"/>
                <w:vertAlign w:val="baseline"/>
                <w:lang w:val="en-US" w:eastAsia="zh-CN"/>
              </w:rPr>
              <w:t>LGBTQ+ youth experiencing online victimization</w:t>
            </w:r>
          </w:p>
        </w:tc>
      </w:tr>
      <w:tr w14:paraId="55BE4A46">
        <w:tc>
          <w:tcPr>
            <w:tcW w:w="1162" w:type="dxa"/>
            <w:vAlign w:val="center"/>
          </w:tcPr>
          <w:p w14:paraId="5A9D7D33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Bogdanski 2023</w:t>
            </w:r>
          </w:p>
        </w:tc>
        <w:tc>
          <w:tcPr>
            <w:tcW w:w="2819" w:type="dxa"/>
            <w:gridSpan w:val="3"/>
          </w:tcPr>
          <w:p w14:paraId="76A39249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1448EC55">
            <w:pPr>
              <w:rPr>
                <w:sz w:val="21"/>
                <w:szCs w:val="21"/>
                <w:vertAlign w:val="baseline"/>
              </w:rPr>
            </w:pPr>
            <w:r>
              <w:rPr>
                <w:sz w:val="21"/>
                <w:szCs w:val="21"/>
                <w:vertAlign w:val="baseline"/>
                <w:lang w:val="en-US" w:eastAsia="zh-CN"/>
              </w:rPr>
              <w:t>Reduced trauma and anxiety symptoms</w:t>
            </w:r>
          </w:p>
        </w:tc>
        <w:tc>
          <w:tcPr>
            <w:tcW w:w="4271" w:type="dxa"/>
            <w:gridSpan w:val="3"/>
          </w:tcPr>
          <w:p w14:paraId="5EE46083">
            <w:pPr>
              <w:rPr>
                <w:sz w:val="21"/>
                <w:szCs w:val="21"/>
                <w:vertAlign w:val="baseline"/>
              </w:rPr>
            </w:pPr>
            <w:r>
              <w:rPr>
                <w:sz w:val="21"/>
                <w:szCs w:val="21"/>
                <w:vertAlign w:val="baseline"/>
                <w:lang w:val="en-US" w:eastAsia="zh-CN"/>
              </w:rPr>
              <w:t>Increased engagement</w:t>
            </w:r>
          </w:p>
        </w:tc>
        <w:tc>
          <w:tcPr>
            <w:tcW w:w="4496" w:type="dxa"/>
            <w:gridSpan w:val="3"/>
          </w:tcPr>
          <w:p w14:paraId="74CCC6C3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Adolescents with PTSD</w:t>
            </w:r>
          </w:p>
        </w:tc>
      </w:tr>
      <w:tr w14:paraId="674AA47E">
        <w:tc>
          <w:tcPr>
            <w:tcW w:w="1162" w:type="dxa"/>
            <w:vAlign w:val="center"/>
          </w:tcPr>
          <w:p w14:paraId="5BBF1E4F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Hill 2025</w:t>
            </w:r>
          </w:p>
        </w:tc>
        <w:tc>
          <w:tcPr>
            <w:tcW w:w="2819" w:type="dxa"/>
            <w:gridSpan w:val="3"/>
          </w:tcPr>
          <w:p w14:paraId="3393F0DC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  <w:t>High predictive accuracy for identifying adolescents at risk of developing serious mental health conditions in the following year (AUROC = 0.84)</w:t>
            </w:r>
          </w:p>
        </w:tc>
        <w:tc>
          <w:tcPr>
            <w:tcW w:w="3877" w:type="dxa"/>
            <w:gridSpan w:val="3"/>
          </w:tcPr>
          <w:p w14:paraId="2FAAD08C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271" w:type="dxa"/>
            <w:gridSpan w:val="3"/>
          </w:tcPr>
          <w:p w14:paraId="1DBBFE76">
            <w:pPr>
              <w:rPr>
                <w:rFonts w:hint="default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/>
              </w:rPr>
              <w:t>/</w:t>
            </w:r>
            <w:bookmarkStart w:id="0" w:name="_GoBack"/>
            <w:bookmarkEnd w:id="0"/>
          </w:p>
        </w:tc>
        <w:tc>
          <w:tcPr>
            <w:tcW w:w="4496" w:type="dxa"/>
            <w:gridSpan w:val="3"/>
          </w:tcPr>
          <w:p w14:paraId="6B0F136B">
            <w:pPr>
              <w:rPr>
                <w:rFonts w:hint="default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/>
              </w:rPr>
              <w:t>/</w:t>
            </w:r>
          </w:p>
        </w:tc>
      </w:tr>
      <w:tr w14:paraId="078A1228">
        <w:tc>
          <w:tcPr>
            <w:tcW w:w="1162" w:type="dxa"/>
            <w:vAlign w:val="center"/>
          </w:tcPr>
          <w:p w14:paraId="74C30728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 xml:space="preserve">Nicol 2022 </w:t>
            </w:r>
          </w:p>
        </w:tc>
        <w:tc>
          <w:tcPr>
            <w:tcW w:w="2819" w:type="dxa"/>
            <w:gridSpan w:val="3"/>
          </w:tcPr>
          <w:p w14:paraId="07EA9B76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015FE7CE">
            <w:pPr>
              <w:rPr>
                <w:rFonts w:hint="default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Depression decreased from moderate to mild severity</w:t>
            </w:r>
          </w:p>
        </w:tc>
        <w:tc>
          <w:tcPr>
            <w:tcW w:w="4271" w:type="dxa"/>
            <w:gridSpan w:val="3"/>
          </w:tcPr>
          <w:p w14:paraId="1CEF194E">
            <w:pPr>
              <w:rPr>
                <w:sz w:val="21"/>
                <w:szCs w:val="21"/>
                <w:vertAlign w:val="baseline"/>
              </w:rPr>
            </w:pPr>
            <w:r>
              <w:rPr>
                <w:sz w:val="21"/>
                <w:szCs w:val="21"/>
                <w:vertAlign w:val="baseline"/>
                <w:lang w:val="en-US" w:eastAsia="zh-CN"/>
              </w:rPr>
              <w:t>Suitable for primary care management</w:t>
            </w:r>
          </w:p>
        </w:tc>
        <w:tc>
          <w:tcPr>
            <w:tcW w:w="4496" w:type="dxa"/>
            <w:gridSpan w:val="3"/>
          </w:tcPr>
          <w:p w14:paraId="78C22C03">
            <w:pPr>
              <w:rPr>
                <w:sz w:val="21"/>
                <w:szCs w:val="21"/>
                <w:vertAlign w:val="baseline"/>
              </w:rPr>
            </w:pPr>
            <w:r>
              <w:rPr>
                <w:sz w:val="21"/>
                <w:szCs w:val="21"/>
                <w:vertAlign w:val="baseline"/>
                <w:lang w:val="en-US" w:eastAsia="zh-CN"/>
              </w:rPr>
              <w:t xml:space="preserve">COVID-19 </w:t>
            </w:r>
          </w:p>
        </w:tc>
      </w:tr>
      <w:tr w14:paraId="305F8E25">
        <w:tc>
          <w:tcPr>
            <w:tcW w:w="1162" w:type="dxa"/>
            <w:vAlign w:val="center"/>
          </w:tcPr>
          <w:p w14:paraId="33B78AB4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Paschali 2022</w:t>
            </w:r>
          </w:p>
        </w:tc>
        <w:tc>
          <w:tcPr>
            <w:tcW w:w="2819" w:type="dxa"/>
            <w:gridSpan w:val="3"/>
          </w:tcPr>
          <w:p w14:paraId="4303CA8F">
            <w:pPr>
              <w:rPr>
                <w:sz w:val="21"/>
                <w:szCs w:val="21"/>
                <w:vertAlign w:val="baseline"/>
              </w:rPr>
            </w:pPr>
            <w:r>
              <w:rPr>
                <w:sz w:val="21"/>
                <w:szCs w:val="21"/>
                <w:vertAlign w:val="baseline"/>
                <w:lang w:val="en-US" w:eastAsia="zh-CN"/>
              </w:rPr>
              <w:t>Model significantly detected negative valence symptoms (p &lt; 0.001)</w:t>
            </w:r>
          </w:p>
        </w:tc>
        <w:tc>
          <w:tcPr>
            <w:tcW w:w="3877" w:type="dxa"/>
            <w:gridSpan w:val="3"/>
          </w:tcPr>
          <w:p w14:paraId="29D58F22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271" w:type="dxa"/>
            <w:gridSpan w:val="3"/>
          </w:tcPr>
          <w:p w14:paraId="4C38F96C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7D89145F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32217D0D">
        <w:tc>
          <w:tcPr>
            <w:tcW w:w="1162" w:type="dxa"/>
            <w:vAlign w:val="center"/>
          </w:tcPr>
          <w:p w14:paraId="756B1531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Huang 2022</w:t>
            </w:r>
          </w:p>
        </w:tc>
        <w:tc>
          <w:tcPr>
            <w:tcW w:w="2819" w:type="dxa"/>
            <w:gridSpan w:val="3"/>
          </w:tcPr>
          <w:p w14:paraId="0EBE37B5">
            <w:pPr>
              <w:rPr>
                <w:sz w:val="21"/>
                <w:szCs w:val="21"/>
                <w:vertAlign w:val="baseline"/>
              </w:rPr>
            </w:pPr>
            <w:r>
              <w:rPr>
                <w:sz w:val="21"/>
                <w:szCs w:val="21"/>
                <w:vertAlign w:val="baseline"/>
                <w:lang w:val="en-US" w:eastAsia="zh-CN"/>
              </w:rPr>
              <w:t>Random Forest (RF) model outperformed SVM and DT in predicting suicidal ideation (ACC = 87.3%, AUC = 92.4%) and depressive status (ACC = 84.0%, AUC = 90.1%)</w:t>
            </w:r>
          </w:p>
        </w:tc>
        <w:tc>
          <w:tcPr>
            <w:tcW w:w="3877" w:type="dxa"/>
            <w:gridSpan w:val="3"/>
          </w:tcPr>
          <w:p w14:paraId="61C0CCD8">
            <w:pPr>
              <w:rPr>
                <w:rFonts w:hint="default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/>
              </w:rPr>
              <w:t>/</w:t>
            </w:r>
          </w:p>
        </w:tc>
        <w:tc>
          <w:tcPr>
            <w:tcW w:w="4271" w:type="dxa"/>
            <w:gridSpan w:val="3"/>
          </w:tcPr>
          <w:p w14:paraId="0D7F1DC6">
            <w:pPr>
              <w:rPr>
                <w:rFonts w:hint="default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/>
              </w:rPr>
              <w:t>/</w:t>
            </w:r>
          </w:p>
        </w:tc>
        <w:tc>
          <w:tcPr>
            <w:tcW w:w="4496" w:type="dxa"/>
            <w:gridSpan w:val="3"/>
          </w:tcPr>
          <w:p w14:paraId="1D69D4E9">
            <w:pPr>
              <w:rPr>
                <w:rFonts w:hint="default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/>
              </w:rPr>
              <w:t>/</w:t>
            </w:r>
          </w:p>
        </w:tc>
      </w:tr>
      <w:tr w14:paraId="716DB713">
        <w:tc>
          <w:tcPr>
            <w:tcW w:w="1162" w:type="dxa"/>
            <w:vAlign w:val="center"/>
          </w:tcPr>
          <w:p w14:paraId="05B432EA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Jiang 2025</w:t>
            </w:r>
          </w:p>
        </w:tc>
        <w:tc>
          <w:tcPr>
            <w:tcW w:w="2819" w:type="dxa"/>
            <w:gridSpan w:val="3"/>
          </w:tcPr>
          <w:p w14:paraId="6C52B6E0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62BC8B57">
            <w:pPr>
              <w:rPr>
                <w:sz w:val="21"/>
                <w:szCs w:val="21"/>
                <w:vertAlign w:val="baseline"/>
              </w:rPr>
            </w:pPr>
            <w:r>
              <w:rPr>
                <w:sz w:val="21"/>
                <w:szCs w:val="21"/>
                <w:vertAlign w:val="baseline"/>
                <w:lang w:val="en-US" w:eastAsia="zh-CN"/>
              </w:rPr>
              <w:t>Significant reductions in somatic symptoms, anxiety, insomnia, social dysfunction, and severe depression; improvements sustained at follow-up</w:t>
            </w:r>
          </w:p>
        </w:tc>
        <w:tc>
          <w:tcPr>
            <w:tcW w:w="4271" w:type="dxa"/>
            <w:gridSpan w:val="3"/>
          </w:tcPr>
          <w:p w14:paraId="09AE9E46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1FF5A1D3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3CC866B6">
        <w:tc>
          <w:tcPr>
            <w:tcW w:w="1162" w:type="dxa"/>
            <w:vAlign w:val="center"/>
          </w:tcPr>
          <w:p w14:paraId="74400A79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Kuang 2025</w:t>
            </w:r>
          </w:p>
        </w:tc>
        <w:tc>
          <w:tcPr>
            <w:tcW w:w="2819" w:type="dxa"/>
            <w:gridSpan w:val="3"/>
          </w:tcPr>
          <w:p w14:paraId="10157A42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Federated XGBoost model achieved best performance in predicting depressive symptoms (ACC = 0.9037, AUC = 0.9123)</w:t>
            </w:r>
          </w:p>
        </w:tc>
        <w:tc>
          <w:tcPr>
            <w:tcW w:w="3877" w:type="dxa"/>
            <w:gridSpan w:val="3"/>
          </w:tcPr>
          <w:p w14:paraId="0B3CC660">
            <w:pPr>
              <w:rPr>
                <w:rFonts w:hint="default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/>
              </w:rPr>
              <w:t>/</w:t>
            </w:r>
          </w:p>
        </w:tc>
        <w:tc>
          <w:tcPr>
            <w:tcW w:w="4271" w:type="dxa"/>
            <w:gridSpan w:val="3"/>
          </w:tcPr>
          <w:p w14:paraId="7CD9066C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0E484B09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540B23F7">
        <w:tc>
          <w:tcPr>
            <w:tcW w:w="1162" w:type="dxa"/>
            <w:vAlign w:val="center"/>
          </w:tcPr>
          <w:p w14:paraId="6FD1D9C9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Zheng 2022</w:t>
            </w:r>
          </w:p>
        </w:tc>
        <w:tc>
          <w:tcPr>
            <w:tcW w:w="2819" w:type="dxa"/>
            <w:gridSpan w:val="3"/>
          </w:tcPr>
          <w:p w14:paraId="7306007E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Good feasibility, faster prediction time, and high predictive accuracy</w:t>
            </w:r>
          </w:p>
        </w:tc>
        <w:tc>
          <w:tcPr>
            <w:tcW w:w="3877" w:type="dxa"/>
            <w:gridSpan w:val="3"/>
          </w:tcPr>
          <w:p w14:paraId="46761F38">
            <w:pPr>
              <w:rPr>
                <w:sz w:val="21"/>
                <w:szCs w:val="21"/>
                <w:vertAlign w:val="baseline"/>
              </w:rPr>
            </w:pPr>
            <w:r>
              <w:rPr>
                <w:sz w:val="21"/>
                <w:szCs w:val="21"/>
                <w:vertAlign w:val="baseline"/>
                <w:lang w:val="en-US" w:eastAsia="zh-CN"/>
              </w:rPr>
              <w:t>Deep learning-based CBT effective for diagnosing and treating adolescent social anxiety</w:t>
            </w:r>
          </w:p>
        </w:tc>
        <w:tc>
          <w:tcPr>
            <w:tcW w:w="4271" w:type="dxa"/>
            <w:gridSpan w:val="3"/>
          </w:tcPr>
          <w:p w14:paraId="2F20463C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60B0572C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4AFB6FF6">
        <w:tc>
          <w:tcPr>
            <w:tcW w:w="1162" w:type="dxa"/>
            <w:vAlign w:val="center"/>
          </w:tcPr>
          <w:p w14:paraId="245373CA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Beaudequin 2021</w:t>
            </w:r>
          </w:p>
        </w:tc>
        <w:tc>
          <w:tcPr>
            <w:tcW w:w="2819" w:type="dxa"/>
            <w:gridSpan w:val="3"/>
          </w:tcPr>
          <w:p w14:paraId="3CE39F14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Identified factors predicting psychological distress risk; unhealthy diet increased odds of moderate psychological distress by 600%</w:t>
            </w:r>
          </w:p>
        </w:tc>
        <w:tc>
          <w:tcPr>
            <w:tcW w:w="3877" w:type="dxa"/>
            <w:gridSpan w:val="3"/>
          </w:tcPr>
          <w:p w14:paraId="1A342D99">
            <w:pPr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271" w:type="dxa"/>
            <w:gridSpan w:val="3"/>
          </w:tcPr>
          <w:p w14:paraId="2E541559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Bayesian networks (BN) can augment clinician judgment as probabilistic decision support systems</w:t>
            </w:r>
          </w:p>
        </w:tc>
        <w:tc>
          <w:tcPr>
            <w:tcW w:w="4496" w:type="dxa"/>
            <w:gridSpan w:val="3"/>
          </w:tcPr>
          <w:p w14:paraId="753EEB3F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1FAF3E2A">
        <w:tc>
          <w:tcPr>
            <w:tcW w:w="1162" w:type="dxa"/>
            <w:vAlign w:val="center"/>
          </w:tcPr>
          <w:p w14:paraId="6542CFBD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Su 2023</w:t>
            </w:r>
          </w:p>
        </w:tc>
        <w:tc>
          <w:tcPr>
            <w:tcW w:w="2819" w:type="dxa"/>
            <w:gridSpan w:val="3"/>
          </w:tcPr>
          <w:p w14:paraId="67629E52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RF classification algorithm effectively selects optimal predictors from hundreds of variables to forecast suicide and self-harm risk</w:t>
            </w:r>
          </w:p>
        </w:tc>
        <w:tc>
          <w:tcPr>
            <w:tcW w:w="3877" w:type="dxa"/>
            <w:gridSpan w:val="3"/>
          </w:tcPr>
          <w:p w14:paraId="289FD447">
            <w:pPr>
              <w:rPr>
                <w:rFonts w:hint="default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/>
              </w:rPr>
              <w:t>/</w:t>
            </w:r>
          </w:p>
        </w:tc>
        <w:tc>
          <w:tcPr>
            <w:tcW w:w="4271" w:type="dxa"/>
            <w:gridSpan w:val="3"/>
          </w:tcPr>
          <w:p w14:paraId="2BCD0896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4E7A24D6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2E9A5B33">
        <w:tc>
          <w:tcPr>
            <w:tcW w:w="1162" w:type="dxa"/>
            <w:vAlign w:val="center"/>
          </w:tcPr>
          <w:p w14:paraId="59899E4F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Fujita 2025</w:t>
            </w:r>
          </w:p>
        </w:tc>
        <w:tc>
          <w:tcPr>
            <w:tcW w:w="2819" w:type="dxa"/>
            <w:gridSpan w:val="3"/>
          </w:tcPr>
          <w:p w14:paraId="5BD58D8B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6C6DE1D7">
            <w:pPr>
              <w:rPr>
                <w:rFonts w:hint="default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Significant psychological burden for adolescents with severe mental health issues</w:t>
            </w:r>
          </w:p>
        </w:tc>
        <w:tc>
          <w:tcPr>
            <w:tcW w:w="4271" w:type="dxa"/>
            <w:gridSpan w:val="3"/>
          </w:tcPr>
          <w:p w14:paraId="0AA24FF0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Low participation (all participants withdrew or were excluded)</w:t>
            </w:r>
          </w:p>
        </w:tc>
        <w:tc>
          <w:tcPr>
            <w:tcW w:w="4496" w:type="dxa"/>
            <w:gridSpan w:val="3"/>
          </w:tcPr>
          <w:p w14:paraId="7C2C5725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7F086974">
        <w:tc>
          <w:tcPr>
            <w:tcW w:w="1162" w:type="dxa"/>
            <w:vAlign w:val="center"/>
          </w:tcPr>
          <w:p w14:paraId="239E43A6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Guo 2024</w:t>
            </w:r>
          </w:p>
        </w:tc>
        <w:tc>
          <w:tcPr>
            <w:tcW w:w="2819" w:type="dxa"/>
            <w:gridSpan w:val="3"/>
          </w:tcPr>
          <w:p w14:paraId="36EED644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5C4414B0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AAI intervention group showed significantly better mental health outcomes across multiple dimensions (obsessive-compulsive symptoms, interpersonal sensitivity, depression, anxiety, academic stress, maladaptation, emotional imbalance, psychological imbalance)</w:t>
            </w:r>
          </w:p>
        </w:tc>
        <w:tc>
          <w:tcPr>
            <w:tcW w:w="4271" w:type="dxa"/>
            <w:gridSpan w:val="3"/>
          </w:tcPr>
          <w:p w14:paraId="69C4CB85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0676AF8E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351174CD">
        <w:tc>
          <w:tcPr>
            <w:tcW w:w="1162" w:type="dxa"/>
            <w:vAlign w:val="center"/>
          </w:tcPr>
          <w:p w14:paraId="0AC0C0F1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Johnson 2020</w:t>
            </w:r>
          </w:p>
        </w:tc>
        <w:tc>
          <w:tcPr>
            <w:tcW w:w="2819" w:type="dxa"/>
            <w:gridSpan w:val="3"/>
          </w:tcPr>
          <w:p w14:paraId="486DAB47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87% accuracy for emotion recognition</w:t>
            </w:r>
          </w:p>
        </w:tc>
        <w:tc>
          <w:tcPr>
            <w:tcW w:w="3877" w:type="dxa"/>
            <w:gridSpan w:val="3"/>
          </w:tcPr>
          <w:p w14:paraId="1B816481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271" w:type="dxa"/>
            <w:gridSpan w:val="3"/>
          </w:tcPr>
          <w:p w14:paraId="344F05DD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53E5904C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33C8E78D">
        <w:tc>
          <w:tcPr>
            <w:tcW w:w="1162" w:type="dxa"/>
            <w:vAlign w:val="center"/>
          </w:tcPr>
          <w:p w14:paraId="4A112C87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Martín-Ávila 2025</w:t>
            </w:r>
          </w:p>
        </w:tc>
        <w:tc>
          <w:tcPr>
            <w:tcW w:w="2819" w:type="dxa"/>
            <w:gridSpan w:val="3"/>
          </w:tcPr>
          <w:p w14:paraId="797EA40E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4DEAA5FE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Significant improvements in health-related quality of life, social and communication skills, emotional awareness, resilience, self-esteem, and coping/problem-solving abilities (p ≤ 0.05)</w:t>
            </w:r>
          </w:p>
          <w:p w14:paraId="2751506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271" w:type="dxa"/>
            <w:gridSpan w:val="3"/>
          </w:tcPr>
          <w:p w14:paraId="5BA055EF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112CBA3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Adolescents with type 1 diabetes</w:t>
            </w:r>
          </w:p>
        </w:tc>
      </w:tr>
      <w:tr w14:paraId="3930EF02">
        <w:tc>
          <w:tcPr>
            <w:tcW w:w="1162" w:type="dxa"/>
            <w:vAlign w:val="center"/>
          </w:tcPr>
          <w:p w14:paraId="626DE0B2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Prakash 2025</w:t>
            </w:r>
          </w:p>
        </w:tc>
        <w:tc>
          <w:tcPr>
            <w:tcW w:w="2819" w:type="dxa"/>
            <w:gridSpan w:val="3"/>
          </w:tcPr>
          <w:p w14:paraId="44DBB740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13081DC9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Significant reduction in stress after one month of using AikyaMind app; no significant improvement in depression or anxiety during 1-month follow-up</w:t>
            </w:r>
          </w:p>
        </w:tc>
        <w:tc>
          <w:tcPr>
            <w:tcW w:w="4271" w:type="dxa"/>
            <w:gridSpan w:val="3"/>
          </w:tcPr>
          <w:p w14:paraId="751F7202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Significant improvement in satisfaction after one month; self-diagnosis tests were the most utilized feature (93.3% of participants used them regularly)</w:t>
            </w:r>
          </w:p>
        </w:tc>
        <w:tc>
          <w:tcPr>
            <w:tcW w:w="4496" w:type="dxa"/>
            <w:gridSpan w:val="3"/>
          </w:tcPr>
          <w:p w14:paraId="0A965404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19011EDD">
        <w:tc>
          <w:tcPr>
            <w:tcW w:w="1162" w:type="dxa"/>
            <w:vAlign w:val="center"/>
          </w:tcPr>
          <w:p w14:paraId="4FAE352A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Rappai 2024</w:t>
            </w:r>
          </w:p>
        </w:tc>
        <w:tc>
          <w:tcPr>
            <w:tcW w:w="2819" w:type="dxa"/>
            <w:gridSpan w:val="3"/>
          </w:tcPr>
          <w:p w14:paraId="66CC68E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Identifies important patterns and risk variables associated with suicidal ideation</w:t>
            </w:r>
          </w:p>
        </w:tc>
        <w:tc>
          <w:tcPr>
            <w:tcW w:w="3877" w:type="dxa"/>
            <w:gridSpan w:val="3"/>
          </w:tcPr>
          <w:p w14:paraId="5396B5D5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271" w:type="dxa"/>
            <w:gridSpan w:val="3"/>
          </w:tcPr>
          <w:p w14:paraId="79FD9701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02066C4C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3FEEE60D">
        <w:tc>
          <w:tcPr>
            <w:tcW w:w="1162" w:type="dxa"/>
            <w:vAlign w:val="center"/>
          </w:tcPr>
          <w:p w14:paraId="61CB740D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Garcia 2025</w:t>
            </w:r>
          </w:p>
        </w:tc>
        <w:tc>
          <w:tcPr>
            <w:tcW w:w="2819" w:type="dxa"/>
            <w:gridSpan w:val="3"/>
          </w:tcPr>
          <w:p w14:paraId="53A3D250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07BDE9A4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All language measures and rating scales indicated significantly improved mental health following treatment, except for semantic valence measure for anxiety </w:t>
            </w:r>
          </w:p>
        </w:tc>
        <w:tc>
          <w:tcPr>
            <w:tcW w:w="4271" w:type="dxa"/>
            <w:gridSpan w:val="3"/>
          </w:tcPr>
          <w:p w14:paraId="1FA3C989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34939870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09DCD10E">
        <w:tc>
          <w:tcPr>
            <w:tcW w:w="1162" w:type="dxa"/>
            <w:vAlign w:val="center"/>
          </w:tcPr>
          <w:p w14:paraId="513866B7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Haghish 2025</w:t>
            </w:r>
          </w:p>
        </w:tc>
        <w:tc>
          <w:tcPr>
            <w:tcW w:w="2819" w:type="dxa"/>
            <w:gridSpan w:val="3"/>
          </w:tcPr>
          <w:p w14:paraId="11A7DFC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Meta-learner classification model achieved AUC of 77.0%, sensitivity and specificity of 70.0% for distinguishing SSH from NSSH</w:t>
            </w:r>
          </w:p>
        </w:tc>
        <w:tc>
          <w:tcPr>
            <w:tcW w:w="3877" w:type="dxa"/>
            <w:gridSpan w:val="3"/>
          </w:tcPr>
          <w:p w14:paraId="3701B8A6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271" w:type="dxa"/>
            <w:gridSpan w:val="3"/>
          </w:tcPr>
          <w:p w14:paraId="29E9C43C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1F5740B1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4D11EB1F">
        <w:tc>
          <w:tcPr>
            <w:tcW w:w="1162" w:type="dxa"/>
            <w:vAlign w:val="center"/>
          </w:tcPr>
          <w:p w14:paraId="6606FEB8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Boggiss 2023</w:t>
            </w:r>
          </w:p>
        </w:tc>
        <w:tc>
          <w:tcPr>
            <w:tcW w:w="2819" w:type="dxa"/>
            <w:gridSpan w:val="3"/>
          </w:tcPr>
          <w:p w14:paraId="3D9E63C6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7847F25E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271" w:type="dxa"/>
            <w:gridSpan w:val="3"/>
          </w:tcPr>
          <w:p w14:paraId="32F0DFEF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High acceptability among adolescents; supports self-management (e.g., reminders, blood glucose entry)</w:t>
            </w:r>
          </w:p>
        </w:tc>
        <w:tc>
          <w:tcPr>
            <w:tcW w:w="4496" w:type="dxa"/>
            <w:gridSpan w:val="3"/>
          </w:tcPr>
          <w:p w14:paraId="2232C0C5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Adolescents with type 1 diabetes; COVID-19</w:t>
            </w:r>
          </w:p>
        </w:tc>
      </w:tr>
      <w:tr w14:paraId="4BA6FE1F">
        <w:tc>
          <w:tcPr>
            <w:tcW w:w="1162" w:type="dxa"/>
            <w:vAlign w:val="center"/>
          </w:tcPr>
          <w:p w14:paraId="3E70E579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Ibrahim 2025</w:t>
            </w:r>
          </w:p>
        </w:tc>
        <w:tc>
          <w:tcPr>
            <w:tcW w:w="2819" w:type="dxa"/>
            <w:gridSpan w:val="3"/>
          </w:tcPr>
          <w:p w14:paraId="22A62E91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401E39E8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Short-term improvements in mood and anxiety; older adolescents (aged 17-19) reported higher usability and perceived effectiveness</w:t>
            </w:r>
          </w:p>
        </w:tc>
        <w:tc>
          <w:tcPr>
            <w:tcW w:w="4271" w:type="dxa"/>
            <w:gridSpan w:val="3"/>
          </w:tcPr>
          <w:p w14:paraId="1930131B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13/40 participants (32%) noted improvements were short-term and did not last without regular app usage</w:t>
            </w:r>
          </w:p>
        </w:tc>
        <w:tc>
          <w:tcPr>
            <w:tcW w:w="4496" w:type="dxa"/>
            <w:gridSpan w:val="3"/>
          </w:tcPr>
          <w:p w14:paraId="302DE829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Resource-scarce, geographically limited, and post-war unstable countries (Iraq)</w:t>
            </w:r>
          </w:p>
        </w:tc>
      </w:tr>
      <w:tr w14:paraId="78DE5429">
        <w:tc>
          <w:tcPr>
            <w:tcW w:w="1162" w:type="dxa"/>
            <w:vAlign w:val="center"/>
          </w:tcPr>
          <w:p w14:paraId="7761CD04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 xml:space="preserve">Kim 2021 </w:t>
            </w:r>
          </w:p>
        </w:tc>
        <w:tc>
          <w:tcPr>
            <w:tcW w:w="2819" w:type="dxa"/>
            <w:gridSpan w:val="3"/>
          </w:tcPr>
          <w:p w14:paraId="21186A93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High accuracy in predicting suicide risk among child and adolescent psychiatric patients (AUC = 0.936)</w:t>
            </w:r>
          </w:p>
        </w:tc>
        <w:tc>
          <w:tcPr>
            <w:tcW w:w="3877" w:type="dxa"/>
            <w:gridSpan w:val="3"/>
          </w:tcPr>
          <w:p w14:paraId="76736E3F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271" w:type="dxa"/>
            <w:gridSpan w:val="3"/>
          </w:tcPr>
          <w:p w14:paraId="19A80691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4496" w:type="dxa"/>
            <w:gridSpan w:val="3"/>
          </w:tcPr>
          <w:p w14:paraId="622A18F2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71BA8BB5">
        <w:tc>
          <w:tcPr>
            <w:tcW w:w="1162" w:type="dxa"/>
            <w:vAlign w:val="center"/>
          </w:tcPr>
          <w:p w14:paraId="269BEE33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Kuhlmeier 2025</w:t>
            </w:r>
          </w:p>
        </w:tc>
        <w:tc>
          <w:tcPr>
            <w:tcW w:w="2819" w:type="dxa"/>
            <w:gridSpan w:val="3"/>
          </w:tcPr>
          <w:p w14:paraId="5BC57F33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877" w:type="dxa"/>
            <w:gridSpan w:val="3"/>
          </w:tcPr>
          <w:p w14:paraId="29810834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All participants reported a current or remitted depressive disorder</w:t>
            </w:r>
          </w:p>
        </w:tc>
        <w:tc>
          <w:tcPr>
            <w:tcW w:w="4271" w:type="dxa"/>
            <w:gridSpan w:val="3"/>
          </w:tcPr>
          <w:p w14:paraId="3D794E7E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High acceptability, but 2 participants (14%) expressed concerns about low engagement due to depressive symptoms (lack of motivation or forgetfulness) and lack of social pressure</w:t>
            </w:r>
          </w:p>
        </w:tc>
        <w:tc>
          <w:tcPr>
            <w:tcW w:w="4496" w:type="dxa"/>
            <w:gridSpan w:val="3"/>
          </w:tcPr>
          <w:p w14:paraId="70D55A36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</w:tr>
      <w:tr w14:paraId="558011A4">
        <w:tc>
          <w:tcPr>
            <w:tcW w:w="1162" w:type="dxa"/>
            <w:vAlign w:val="center"/>
          </w:tcPr>
          <w:p w14:paraId="42212B04">
            <w:pP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  <w:t>Matheson 2023</w:t>
            </w:r>
          </w:p>
        </w:tc>
        <w:tc>
          <w:tcPr>
            <w:tcW w:w="2819" w:type="dxa"/>
            <w:gridSpan w:val="3"/>
          </w:tcPr>
          <w:p w14:paraId="2098C4E5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77" w:type="dxa"/>
            <w:gridSpan w:val="3"/>
          </w:tcPr>
          <w:p w14:paraId="37B0D721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Immediate and short-term symptom relief; adolescents aged 13-18 experienced small but substantial improvements in state body satisfaction and positive affect</w:t>
            </w:r>
          </w:p>
        </w:tc>
        <w:tc>
          <w:tcPr>
            <w:tcW w:w="4271" w:type="dxa"/>
            <w:gridSpan w:val="3"/>
          </w:tcPr>
          <w:p w14:paraId="51CAD41D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High attrition rate due to COVID-19 (531/858, 61.9%)</w:t>
            </w:r>
          </w:p>
        </w:tc>
        <w:tc>
          <w:tcPr>
            <w:tcW w:w="4496" w:type="dxa"/>
            <w:gridSpan w:val="3"/>
          </w:tcPr>
          <w:p w14:paraId="6408A4C0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Low- and middle-income countries</w:t>
            </w:r>
          </w:p>
        </w:tc>
      </w:tr>
    </w:tbl>
    <w:p w14:paraId="46554D1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DF6211"/>
    <w:rsid w:val="237F503A"/>
    <w:rsid w:val="3FFEE199"/>
    <w:rsid w:val="6C5E33D7"/>
    <w:rsid w:val="6FF3BC11"/>
    <w:rsid w:val="76AFBF58"/>
    <w:rsid w:val="7E9BCA62"/>
    <w:rsid w:val="EDFFCCE1"/>
    <w:rsid w:val="F4DEC3C5"/>
    <w:rsid w:val="F7DF6211"/>
    <w:rsid w:val="FEDF5928"/>
    <w:rsid w:val="FEFFB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2026-04-12T04:52:00Z</dcterms:created>
  <dc:creator>梁璐</dc:creator>
  <cp:lastModifiedBy>梁璐</cp:lastModifiedBy>
  <dcterms:modified xsi:type="dcterms:W3CDTF">2026-05-05T20:43:32Z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9687A367298035D0F083DB69894C5DEC_43</vt:lpwstr>
  </property>
</Properties>
</file>