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814D6">
      <w:pPr>
        <w:jc w:val="both"/>
        <w:rPr>
          <w:rFonts w:hint="default" w:ascii="Times New Roman" w:hAnsi="Times New Roman" w:cs="Times New Roman" w:eastAsiaTheme="minorEastAsia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S1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Subgroup analysis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of spinal cord injury studies measuring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anxiety</w:t>
      </w:r>
    </w:p>
    <w:tbl>
      <w:tblPr>
        <w:tblStyle w:val="5"/>
        <w:tblW w:w="125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632"/>
        <w:gridCol w:w="2163"/>
        <w:gridCol w:w="3673"/>
        <w:gridCol w:w="2702"/>
      </w:tblGrid>
      <w:tr w14:paraId="636DB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393" w:type="dxa"/>
            <w:tcBorders>
              <w:top w:val="single" w:color="auto" w:sz="4" w:space="0"/>
              <w:bottom w:val="single" w:color="auto" w:sz="4" w:space="0"/>
            </w:tcBorders>
          </w:tcPr>
          <w:p w14:paraId="5B4CC4AD">
            <w:pPr>
              <w:pStyle w:val="10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Database</w:t>
            </w:r>
          </w:p>
        </w:tc>
        <w:tc>
          <w:tcPr>
            <w:tcW w:w="2632" w:type="dxa"/>
            <w:tcBorders>
              <w:top w:val="single" w:color="auto" w:sz="4" w:space="0"/>
              <w:bottom w:val="single" w:color="auto" w:sz="4" w:space="0"/>
            </w:tcBorders>
          </w:tcPr>
          <w:p w14:paraId="7E14975A">
            <w:pPr>
              <w:pStyle w:val="10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Primary Focus</w:t>
            </w:r>
          </w:p>
        </w:tc>
        <w:tc>
          <w:tcPr>
            <w:tcW w:w="2163" w:type="dxa"/>
            <w:tcBorders>
              <w:top w:val="single" w:color="auto" w:sz="4" w:space="0"/>
              <w:bottom w:val="single" w:color="auto" w:sz="4" w:space="0"/>
            </w:tcBorders>
          </w:tcPr>
          <w:p w14:paraId="5FE03368">
            <w:pPr>
              <w:pStyle w:val="10"/>
              <w:spacing w:after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Coverage Scope</w:t>
            </w:r>
          </w:p>
        </w:tc>
        <w:tc>
          <w:tcPr>
            <w:tcW w:w="3673" w:type="dxa"/>
            <w:tcBorders>
              <w:top w:val="single" w:color="auto" w:sz="4" w:space="0"/>
              <w:bottom w:val="single" w:color="auto" w:sz="4" w:space="0"/>
            </w:tcBorders>
          </w:tcPr>
          <w:p w14:paraId="7AC8A2DC">
            <w:pPr>
              <w:pStyle w:val="10"/>
              <w:spacing w:after="0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Unique Strengths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</w:tcPr>
          <w:p w14:paraId="74EC0A25">
            <w:pPr>
              <w:pStyle w:val="10"/>
              <w:spacing w:after="0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SCIKG Weight</w:t>
            </w:r>
          </w:p>
        </w:tc>
      </w:tr>
      <w:tr w14:paraId="495C4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93" w:type="dxa"/>
            <w:tcBorders>
              <w:top w:val="single" w:color="auto" w:sz="4" w:space="0"/>
              <w:bottom w:val="nil"/>
            </w:tcBorders>
          </w:tcPr>
          <w:p w14:paraId="244C513C">
            <w:pPr>
              <w:pStyle w:val="10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Noto Sans SC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PubMed</w:t>
            </w:r>
          </w:p>
        </w:tc>
        <w:tc>
          <w:tcPr>
            <w:tcW w:w="2632" w:type="dxa"/>
            <w:tcBorders>
              <w:top w:val="single" w:color="auto" w:sz="4" w:space="0"/>
              <w:bottom w:val="nil"/>
            </w:tcBorders>
          </w:tcPr>
          <w:p w14:paraId="53E46FF9">
            <w:pPr>
              <w:pStyle w:val="10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Biomedical literature</w:t>
            </w:r>
          </w:p>
        </w:tc>
        <w:tc>
          <w:tcPr>
            <w:tcW w:w="2163" w:type="dxa"/>
            <w:tcBorders>
              <w:top w:val="single" w:color="auto" w:sz="4" w:space="0"/>
              <w:bottom w:val="nil"/>
            </w:tcBorders>
          </w:tcPr>
          <w:p w14:paraId="2E33FF89">
            <w:pPr>
              <w:pStyle w:val="10"/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"/>
              </w:rPr>
              <w:t>million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+ citations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 xml:space="preserve">(MEDLINE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&amp;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 xml:space="preserve"> life sciences)</w:t>
            </w:r>
          </w:p>
        </w:tc>
        <w:tc>
          <w:tcPr>
            <w:tcW w:w="3673" w:type="dxa"/>
            <w:tcBorders>
              <w:top w:val="single" w:color="auto" w:sz="4" w:space="0"/>
              <w:bottom w:val="nil"/>
            </w:tcBorders>
          </w:tcPr>
          <w:p w14:paraId="66BB43A4">
            <w:pPr>
              <w:pStyle w:val="10"/>
              <w:numPr>
                <w:ilvl w:val="0"/>
                <w:numId w:val="1"/>
              </w:numPr>
              <w:spacing w:after="0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NIH/NLM-curated content</w:t>
            </w:r>
          </w:p>
          <w:p w14:paraId="5AC9F50B">
            <w:pPr>
              <w:pStyle w:val="10"/>
              <w:numPr>
                <w:ilvl w:val="0"/>
                <w:numId w:val="1"/>
              </w:numPr>
              <w:spacing w:after="0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MeSH term standardization</w:t>
            </w:r>
          </w:p>
          <w:p w14:paraId="2260B29A">
            <w:pPr>
              <w:pStyle w:val="10"/>
              <w:numPr>
                <w:ilvl w:val="0"/>
                <w:numId w:val="1"/>
              </w:numPr>
              <w:spacing w:after="0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Gold standard for clinical research</w:t>
            </w:r>
          </w:p>
        </w:tc>
        <w:tc>
          <w:tcPr>
            <w:tcW w:w="2702" w:type="dxa"/>
            <w:tcBorders>
              <w:top w:val="single" w:color="auto" w:sz="4" w:space="0"/>
              <w:bottom w:val="nil"/>
            </w:tcBorders>
          </w:tcPr>
          <w:p w14:paraId="44210167">
            <w:pPr>
              <w:pStyle w:val="10"/>
              <w:numPr>
                <w:ilvl w:val="0"/>
                <w:numId w:val="0"/>
              </w:numPr>
              <w:spacing w:after="0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35%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(Core foundation)</w:t>
            </w:r>
          </w:p>
        </w:tc>
      </w:tr>
      <w:tr w14:paraId="5FE51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93" w:type="dxa"/>
            <w:tcBorders>
              <w:top w:val="nil"/>
            </w:tcBorders>
          </w:tcPr>
          <w:p w14:paraId="08811E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Embase</w:t>
            </w:r>
          </w:p>
        </w:tc>
        <w:tc>
          <w:tcPr>
            <w:tcW w:w="2632" w:type="dxa"/>
            <w:tcBorders>
              <w:top w:val="nil"/>
            </w:tcBorders>
          </w:tcPr>
          <w:p w14:paraId="7940DF70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Pharmacology &amp; evidence-based medicine</w:t>
            </w:r>
          </w:p>
        </w:tc>
        <w:tc>
          <w:tcPr>
            <w:tcW w:w="2163" w:type="dxa"/>
            <w:tcBorders>
              <w:top w:val="nil"/>
            </w:tcBorders>
          </w:tcPr>
          <w:p w14:paraId="65220C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40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"/>
              </w:rPr>
              <w:t>million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+ records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(6,500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  <w:t>+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 xml:space="preserve"> journals)</w:t>
            </w:r>
          </w:p>
        </w:tc>
        <w:tc>
          <w:tcPr>
            <w:tcW w:w="3673" w:type="dxa"/>
            <w:tcBorders>
              <w:top w:val="nil"/>
            </w:tcBorders>
          </w:tcPr>
          <w:p w14:paraId="4503D54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Extensive drug/disease indexing</w:t>
            </w:r>
          </w:p>
          <w:p w14:paraId="4B46A3D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Superior European/Asian coverage</w:t>
            </w:r>
          </w:p>
          <w:p w14:paraId="0ED48C3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EMBASE classification system</w:t>
            </w:r>
          </w:p>
        </w:tc>
        <w:tc>
          <w:tcPr>
            <w:tcW w:w="2702" w:type="dxa"/>
            <w:tcBorders>
              <w:top w:val="nil"/>
            </w:tcBorders>
          </w:tcPr>
          <w:p w14:paraId="441DB66C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25%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(Critical for drug-disease relationships)</w:t>
            </w:r>
          </w:p>
        </w:tc>
      </w:tr>
      <w:tr w14:paraId="7ABC9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93" w:type="dxa"/>
            <w:noWrap/>
          </w:tcPr>
          <w:p w14:paraId="2B803351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PsycINFO</w:t>
            </w:r>
          </w:p>
        </w:tc>
        <w:tc>
          <w:tcPr>
            <w:tcW w:w="2632" w:type="dxa"/>
          </w:tcPr>
          <w:p w14:paraId="283199E3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Psychological literature</w:t>
            </w:r>
          </w:p>
        </w:tc>
        <w:tc>
          <w:tcPr>
            <w:tcW w:w="2163" w:type="dxa"/>
            <w:noWrap/>
          </w:tcPr>
          <w:p w14:paraId="11D66D12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5M+ behavioral science records</w:t>
            </w:r>
          </w:p>
        </w:tc>
        <w:tc>
          <w:tcPr>
            <w:tcW w:w="3673" w:type="dxa"/>
            <w:noWrap/>
          </w:tcPr>
          <w:p w14:paraId="617531B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APA-curated mental health taxonomy</w:t>
            </w:r>
          </w:p>
          <w:p w14:paraId="0978C8B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Specialized depression/anxiety metrics</w:t>
            </w:r>
          </w:p>
          <w:p w14:paraId="7B723D3C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Psychological assessment tools</w:t>
            </w:r>
          </w:p>
        </w:tc>
        <w:tc>
          <w:tcPr>
            <w:tcW w:w="2702" w:type="dxa"/>
            <w:noWrap/>
          </w:tcPr>
          <w:p w14:paraId="2F533DA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20%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(Essential for mental disorders)</w:t>
            </w:r>
          </w:p>
        </w:tc>
      </w:tr>
      <w:tr w14:paraId="5EA90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93" w:type="dxa"/>
            <w:noWrap/>
          </w:tcPr>
          <w:p w14:paraId="38B3B692">
            <w:pPr>
              <w:spacing w:after="0" w:line="240" w:lineRule="auto"/>
              <w:jc w:val="center"/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Web of Science</w:t>
            </w:r>
          </w:p>
        </w:tc>
        <w:tc>
          <w:tcPr>
            <w:tcW w:w="2632" w:type="dxa"/>
          </w:tcPr>
          <w:p w14:paraId="07691964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Multidisciplinary research</w:t>
            </w:r>
          </w:p>
        </w:tc>
        <w:tc>
          <w:tcPr>
            <w:tcW w:w="2163" w:type="dxa"/>
            <w:noWrap/>
          </w:tcPr>
          <w:p w14:paraId="2788E0AF">
            <w:p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21,000+ journals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(1900-present)</w:t>
            </w:r>
          </w:p>
        </w:tc>
        <w:tc>
          <w:tcPr>
            <w:tcW w:w="3673" w:type="dxa"/>
            <w:noWrap/>
          </w:tcPr>
          <w:p w14:paraId="28C922A1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Citation network analysis</w:t>
            </w:r>
          </w:p>
          <w:p w14:paraId="5550C4D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Journal impact metrics</w:t>
            </w:r>
          </w:p>
          <w:p w14:paraId="2317FE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Strong STEM coverage</w:t>
            </w:r>
          </w:p>
        </w:tc>
        <w:tc>
          <w:tcPr>
            <w:tcW w:w="2702" w:type="dxa"/>
            <w:noWrap/>
          </w:tcPr>
          <w:p w14:paraId="7A14C851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15%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(Contextual validation)</w:t>
            </w:r>
          </w:p>
        </w:tc>
      </w:tr>
      <w:tr w14:paraId="1EADD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93" w:type="dxa"/>
            <w:tcBorders>
              <w:bottom w:val="single" w:color="auto" w:sz="4" w:space="0"/>
            </w:tcBorders>
          </w:tcPr>
          <w:p w14:paraId="1CE81E0C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Style w:val="7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Cochrane</w:t>
            </w:r>
          </w:p>
        </w:tc>
        <w:tc>
          <w:tcPr>
            <w:tcW w:w="2632" w:type="dxa"/>
            <w:tcBorders>
              <w:bottom w:val="single" w:color="auto" w:sz="4" w:space="0"/>
            </w:tcBorders>
            <w:noWrap/>
          </w:tcPr>
          <w:p w14:paraId="22B910E0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Evidence synthesis</w:t>
            </w:r>
          </w:p>
        </w:tc>
        <w:tc>
          <w:tcPr>
            <w:tcW w:w="2163" w:type="dxa"/>
            <w:tcBorders>
              <w:bottom w:val="single" w:color="auto" w:sz="4" w:space="0"/>
            </w:tcBorders>
            <w:noWrap/>
          </w:tcPr>
          <w:p w14:paraId="0F8803FE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Systematic reviews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Clinical trials</w:t>
            </w:r>
          </w:p>
        </w:tc>
        <w:tc>
          <w:tcPr>
            <w:tcW w:w="3673" w:type="dxa"/>
            <w:tcBorders>
              <w:bottom w:val="single" w:color="auto" w:sz="4" w:space="0"/>
            </w:tcBorders>
            <w:noWrap/>
          </w:tcPr>
          <w:p w14:paraId="7B652003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GRADE evidence quality framework</w:t>
            </w:r>
          </w:p>
          <w:p w14:paraId="58B6529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Risk-of-bias assessment</w:t>
            </w:r>
          </w:p>
          <w:p w14:paraId="3BD6F9A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Intervention efficacy data</w:t>
            </w:r>
          </w:p>
        </w:tc>
        <w:tc>
          <w:tcPr>
            <w:tcW w:w="2702" w:type="dxa"/>
            <w:tcBorders>
              <w:bottom w:val="single" w:color="auto" w:sz="4" w:space="0"/>
            </w:tcBorders>
            <w:noWrap/>
          </w:tcPr>
          <w:p w14:paraId="351027A9"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5%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0"/>
                <w:szCs w:val="20"/>
                <w:shd w:val="clear" w:fill="FFFFFF"/>
              </w:rPr>
              <w:t>(Methodological quality anchor)</w:t>
            </w:r>
          </w:p>
        </w:tc>
      </w:tr>
    </w:tbl>
    <w:p w14:paraId="68825DAA">
      <w:pPr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Abbreviations: NIH,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National Institutes of Health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;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NLM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National Library of Medicine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;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MeSH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Medical Subject Headings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;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APA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American Psychological Association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;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STEM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Science, Technology, Engineering, Mathematics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;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GRADE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Grading of Recommendations Assessment, Development and Evaluation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; </w:t>
      </w:r>
      <w:r>
        <w:rPr>
          <w:rStyle w:val="7"/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SCIKG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Spinal Cord Injury Knowledge Graph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Weighting based on: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1) Relevance to SCI mental health research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;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(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2) Unique concept coverage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;(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3) Yield in pilot retrieval tests.</w:t>
      </w:r>
    </w:p>
    <w:sectPr>
      <w:pgSz w:w="15840" w:h="12240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6A840E"/>
    <w:multiLevelType w:val="singleLevel"/>
    <w:tmpl w:val="496A840E"/>
    <w:lvl w:ilvl="0" w:tentative="0">
      <w:start w:val="1"/>
      <w:numFmt w:val="decimal"/>
      <w:suff w:val="space"/>
      <w:lvlText w:val="(%1)"/>
      <w:lvlJc w:val="left"/>
    </w:lvl>
  </w:abstractNum>
  <w:abstractNum w:abstractNumId="1">
    <w:nsid w:val="4C441EAE"/>
    <w:multiLevelType w:val="singleLevel"/>
    <w:tmpl w:val="4C441EAE"/>
    <w:lvl w:ilvl="0" w:tentative="0">
      <w:start w:val="1"/>
      <w:numFmt w:val="decimal"/>
      <w:suff w:val="space"/>
      <w:lvlText w:val="(%1)"/>
      <w:lvlJc w:val="left"/>
    </w:lvl>
  </w:abstractNum>
  <w:abstractNum w:abstractNumId="2">
    <w:nsid w:val="4FC3450F"/>
    <w:multiLevelType w:val="singleLevel"/>
    <w:tmpl w:val="4FC3450F"/>
    <w:lvl w:ilvl="0" w:tentative="0">
      <w:start w:val="1"/>
      <w:numFmt w:val="decimal"/>
      <w:suff w:val="space"/>
      <w:lvlText w:val="(%1)"/>
      <w:lvlJc w:val="left"/>
    </w:lvl>
  </w:abstractNum>
  <w:abstractNum w:abstractNumId="3">
    <w:nsid w:val="611878AA"/>
    <w:multiLevelType w:val="singleLevel"/>
    <w:tmpl w:val="611878AA"/>
    <w:lvl w:ilvl="0" w:tentative="0">
      <w:start w:val="1"/>
      <w:numFmt w:val="decimal"/>
      <w:suff w:val="space"/>
      <w:lvlText w:val="(%1)"/>
      <w:lvlJc w:val="left"/>
    </w:lvl>
  </w:abstractNum>
  <w:abstractNum w:abstractNumId="4">
    <w:nsid w:val="621DE3F1"/>
    <w:multiLevelType w:val="singleLevel"/>
    <w:tmpl w:val="621DE3F1"/>
    <w:lvl w:ilvl="0" w:tentative="0">
      <w:start w:val="1"/>
      <w:numFmt w:val="decimal"/>
      <w:suff w:val="space"/>
      <w:lvlText w:val="(%1)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23"/>
    <w:rsid w:val="002B2E7E"/>
    <w:rsid w:val="00346FC3"/>
    <w:rsid w:val="003A34F7"/>
    <w:rsid w:val="004235B0"/>
    <w:rsid w:val="004F3C66"/>
    <w:rsid w:val="00602594"/>
    <w:rsid w:val="00610D23"/>
    <w:rsid w:val="00656586"/>
    <w:rsid w:val="006A2777"/>
    <w:rsid w:val="007129C2"/>
    <w:rsid w:val="008075FE"/>
    <w:rsid w:val="009E1BE6"/>
    <w:rsid w:val="00B0006D"/>
    <w:rsid w:val="00C317B4"/>
    <w:rsid w:val="08AD5C0A"/>
    <w:rsid w:val="0E690CBD"/>
    <w:rsid w:val="1C911074"/>
    <w:rsid w:val="22D878CF"/>
    <w:rsid w:val="27955410"/>
    <w:rsid w:val="3720754C"/>
    <w:rsid w:val="3BD4229E"/>
    <w:rsid w:val="41AC61F7"/>
    <w:rsid w:val="4C6266CA"/>
    <w:rsid w:val="56531D23"/>
    <w:rsid w:val="71F4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9">
    <w:name w:val="正文11"/>
    <w:qFormat/>
    <w:uiPriority w:val="0"/>
    <w:pPr>
      <w:spacing w:before="100" w:beforeAutospacing="1" w:after="160" w:line="256" w:lineRule="auto"/>
    </w:pPr>
    <w:rPr>
      <w:rFonts w:ascii="Calibri" w:hAnsi="Calibri" w:eastAsia="等线" w:cs="Times New Roman"/>
      <w:sz w:val="22"/>
      <w:szCs w:val="22"/>
      <w:lang w:val="en-US" w:eastAsia="zh-CN" w:bidi="ar-SA"/>
    </w:rPr>
  </w:style>
  <w:style w:type="paragraph" w:customStyle="1" w:styleId="10">
    <w:name w:val="正文1"/>
    <w:basedOn w:val="1"/>
    <w:qFormat/>
    <w:uiPriority w:val="0"/>
    <w:pPr>
      <w:spacing w:before="100" w:beforeAutospacing="1" w:line="254" w:lineRule="auto"/>
    </w:pPr>
    <w:rPr>
      <w:rFonts w:ascii="Calibri" w:hAnsi="Calibri" w:eastAsia="等线" w:cs="Times New Roman"/>
    </w:rPr>
  </w:style>
  <w:style w:type="table" w:customStyle="1" w:styleId="11">
    <w:name w:val="网格型1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/>
      <w:color w:val="000000"/>
      <w:sz w:val="36"/>
      <w:szCs w:val="36"/>
      <w:u w:val="none"/>
    </w:rPr>
  </w:style>
  <w:style w:type="character" w:customStyle="1" w:styleId="13">
    <w:name w:val="font11"/>
    <w:basedOn w:val="6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4">
    <w:name w:val="font21"/>
    <w:basedOn w:val="6"/>
    <w:qFormat/>
    <w:uiPriority w:val="0"/>
    <w:rPr>
      <w:rFonts w:hint="eastAsia" w:ascii="等线" w:hAnsi="等线" w:eastAsia="等线"/>
      <w:color w:val="000000"/>
      <w:sz w:val="18"/>
      <w:szCs w:val="18"/>
      <w:u w:val="none"/>
    </w:rPr>
  </w:style>
  <w:style w:type="table" w:customStyle="1" w:styleId="15">
    <w:name w:val="Table Normal"/>
    <w:basedOn w:val="4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1387</Characters>
  <Lines>5</Lines>
  <Paragraphs>1</Paragraphs>
  <TotalTime>9</TotalTime>
  <ScaleCrop>false</ScaleCrop>
  <LinksUpToDate>false</LinksUpToDate>
  <CharactersWithSpaces>1522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2025-01-24T14:15:00Z</dcterms:created>
  <dc:creator>123</dc:creator>
  <cp:lastModifiedBy>王思乔</cp:lastModifiedBy>
  <dcterms:modified xsi:type="dcterms:W3CDTF">2025-07-17T11:24:18Z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eyJoZGlkIjoiYjJjZDNjMDJiMTQxNmU1Zjk2YzM3NjY4MzVhZTZkMDEiLCJ1c2VySWQiOiI1Nzg5MDQ3NzkifQ==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4DFB64B60DE24DEB8BA9AB8D4CC45052_12</vt:lpwstr>
  </property>
</Properties>
</file>