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814D6">
      <w:pPr>
        <w:jc w:val="both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S6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</w:rPr>
        <w:t xml:space="preserve">.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Subgroup analysis </w:t>
      </w:r>
      <w:r>
        <w:rPr>
          <w:rFonts w:hint="default" w:ascii="Times New Roman" w:hAnsi="Times New Roman" w:cs="Times New Roman"/>
          <w:sz w:val="20"/>
          <w:szCs w:val="20"/>
        </w:rPr>
        <w:t xml:space="preserve">of spinal cord injury studies measuring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cognitive impairment</w:t>
      </w:r>
    </w:p>
    <w:tbl>
      <w:tblPr>
        <w:tblStyle w:val="3"/>
        <w:tblW w:w="8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1414"/>
        <w:gridCol w:w="2009"/>
        <w:gridCol w:w="1236"/>
        <w:gridCol w:w="1099"/>
      </w:tblGrid>
      <w:tr w14:paraId="3545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  <w:tcBorders>
              <w:top w:val="single" w:color="auto" w:sz="4" w:space="0"/>
              <w:bottom w:val="single" w:color="auto" w:sz="4" w:space="0"/>
            </w:tcBorders>
          </w:tcPr>
          <w:p w14:paraId="5B4CC4AD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Subgroup</w:t>
            </w: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</w:tcPr>
          <w:p w14:paraId="7E14975A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Studies</w:t>
            </w:r>
          </w:p>
        </w:tc>
        <w:tc>
          <w:tcPr>
            <w:tcW w:w="2009" w:type="dxa"/>
            <w:tcBorders>
              <w:top w:val="single" w:color="auto" w:sz="4" w:space="0"/>
              <w:bottom w:val="single" w:color="auto" w:sz="4" w:space="0"/>
            </w:tcBorders>
          </w:tcPr>
          <w:p w14:paraId="5FE03368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Prevalence (95% CI)</w:t>
            </w: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</w:tcPr>
          <w:p w14:paraId="31194CC0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099" w:type="dxa"/>
            <w:tcBorders>
              <w:top w:val="single" w:color="auto" w:sz="4" w:space="0"/>
              <w:bottom w:val="single" w:color="auto" w:sz="4" w:space="0"/>
            </w:tcBorders>
          </w:tcPr>
          <w:p w14:paraId="5BE282C3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-value</w:t>
            </w:r>
          </w:p>
        </w:tc>
      </w:tr>
      <w:tr w14:paraId="6996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  <w:tcBorders>
              <w:top w:val="single" w:color="auto" w:sz="4" w:space="0"/>
              <w:bottom w:val="nil"/>
            </w:tcBorders>
          </w:tcPr>
          <w:p w14:paraId="467E6F65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 xml:space="preserve">ssessment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ethod</w:t>
            </w:r>
          </w:p>
        </w:tc>
        <w:tc>
          <w:tcPr>
            <w:tcW w:w="1414" w:type="dxa"/>
            <w:tcBorders>
              <w:top w:val="single" w:color="auto" w:sz="4" w:space="0"/>
              <w:bottom w:val="nil"/>
            </w:tcBorders>
          </w:tcPr>
          <w:p w14:paraId="674546C7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09" w:type="dxa"/>
            <w:tcBorders>
              <w:top w:val="single" w:color="auto" w:sz="4" w:space="0"/>
              <w:bottom w:val="nil"/>
            </w:tcBorders>
          </w:tcPr>
          <w:p w14:paraId="721C2387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bottom w:val="nil"/>
            </w:tcBorders>
          </w:tcPr>
          <w:p w14:paraId="0F772CB8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99" w:type="dxa"/>
            <w:tcBorders>
              <w:top w:val="single" w:color="auto" w:sz="4" w:space="0"/>
              <w:bottom w:val="nil"/>
            </w:tcBorders>
          </w:tcPr>
          <w:p w14:paraId="044C3F33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2981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22" w:type="dxa"/>
            <w:tcBorders>
              <w:top w:val="nil"/>
            </w:tcBorders>
          </w:tcPr>
          <w:p w14:paraId="08811E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MoCA Screening</w:t>
            </w:r>
          </w:p>
        </w:tc>
        <w:tc>
          <w:tcPr>
            <w:tcW w:w="1414" w:type="dxa"/>
            <w:tcBorders>
              <w:top w:val="nil"/>
            </w:tcBorders>
          </w:tcPr>
          <w:p w14:paraId="7940DF70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09" w:type="dxa"/>
            <w:tcBorders>
              <w:top w:val="nil"/>
            </w:tcBorders>
          </w:tcPr>
          <w:p w14:paraId="65220C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65% (55–75%)</w:t>
            </w:r>
          </w:p>
        </w:tc>
        <w:tc>
          <w:tcPr>
            <w:tcW w:w="1236" w:type="dxa"/>
            <w:tcBorders>
              <w:top w:val="nil"/>
            </w:tcBorders>
          </w:tcPr>
          <w:p w14:paraId="4614C9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tcBorders>
              <w:top w:val="nil"/>
            </w:tcBorders>
          </w:tcPr>
          <w:p w14:paraId="0C283DC7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05</w:t>
            </w:r>
          </w:p>
        </w:tc>
      </w:tr>
      <w:tr w14:paraId="7DBB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2" w:type="dxa"/>
            <w:noWrap/>
          </w:tcPr>
          <w:p w14:paraId="2B803351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Neuropsychological Battery</w:t>
            </w:r>
          </w:p>
        </w:tc>
        <w:tc>
          <w:tcPr>
            <w:tcW w:w="1414" w:type="dxa"/>
          </w:tcPr>
          <w:p w14:paraId="283199E3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009" w:type="dxa"/>
            <w:noWrap/>
          </w:tcPr>
          <w:p w14:paraId="11D66D1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40% (30–50%)</w:t>
            </w:r>
          </w:p>
        </w:tc>
        <w:tc>
          <w:tcPr>
            <w:tcW w:w="1236" w:type="dxa"/>
            <w:noWrap/>
          </w:tcPr>
          <w:p w14:paraId="2FD2C1C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550B513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4483D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2" w:type="dxa"/>
            <w:noWrap/>
          </w:tcPr>
          <w:p w14:paraId="146E9468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Traumatic Brain Injury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TBI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)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 xml:space="preserve"> Comorbidity</w:t>
            </w:r>
          </w:p>
        </w:tc>
        <w:tc>
          <w:tcPr>
            <w:tcW w:w="1414" w:type="dxa"/>
          </w:tcPr>
          <w:p w14:paraId="339B20AD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09" w:type="dxa"/>
            <w:noWrap/>
          </w:tcPr>
          <w:p w14:paraId="68AD6E17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</w:p>
        </w:tc>
        <w:tc>
          <w:tcPr>
            <w:tcW w:w="1236" w:type="dxa"/>
            <w:noWrap/>
          </w:tcPr>
          <w:p w14:paraId="40F7AFE3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1099" w:type="dxa"/>
            <w:noWrap/>
          </w:tcPr>
          <w:p w14:paraId="7A668792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</w:p>
        </w:tc>
      </w:tr>
      <w:tr w14:paraId="19741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822" w:type="dxa"/>
          </w:tcPr>
          <w:p w14:paraId="1CE81E0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With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TBI Comorbidity</w:t>
            </w:r>
          </w:p>
        </w:tc>
        <w:tc>
          <w:tcPr>
            <w:tcW w:w="1414" w:type="dxa"/>
            <w:noWrap/>
          </w:tcPr>
          <w:p w14:paraId="22B910E0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09" w:type="dxa"/>
            <w:noWrap/>
          </w:tcPr>
          <w:p w14:paraId="0F8803FE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72% (65–79%)</w:t>
            </w:r>
          </w:p>
        </w:tc>
        <w:tc>
          <w:tcPr>
            <w:tcW w:w="1236" w:type="dxa"/>
            <w:noWrap/>
          </w:tcPr>
          <w:p w14:paraId="58FF3F5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7B79F2C9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1</w:t>
            </w:r>
          </w:p>
        </w:tc>
      </w:tr>
      <w:tr w14:paraId="15107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tcBorders>
              <w:bottom w:val="single" w:color="auto" w:sz="4" w:space="0"/>
            </w:tcBorders>
            <w:noWrap/>
          </w:tcPr>
          <w:p w14:paraId="56BFE4EF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Without TBI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noWrap/>
          </w:tcPr>
          <w:p w14:paraId="0958599A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009" w:type="dxa"/>
            <w:tcBorders>
              <w:bottom w:val="single" w:color="auto" w:sz="4" w:space="0"/>
            </w:tcBorders>
            <w:noWrap/>
          </w:tcPr>
          <w:p w14:paraId="0429DE38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35% (25–45%)</w:t>
            </w:r>
          </w:p>
        </w:tc>
        <w:tc>
          <w:tcPr>
            <w:tcW w:w="1236" w:type="dxa"/>
            <w:tcBorders>
              <w:bottom w:val="single" w:color="auto" w:sz="4" w:space="0"/>
            </w:tcBorders>
            <w:noWrap/>
          </w:tcPr>
          <w:p w14:paraId="10573EE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tcBorders>
              <w:bottom w:val="single" w:color="auto" w:sz="4" w:space="0"/>
            </w:tcBorders>
            <w:noWrap/>
          </w:tcPr>
          <w:p w14:paraId="356E11B1">
            <w:pPr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14:paraId="68825DAA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Subgroup differences were tested using meta-regression with restricted maximum likelihood (REML) estimation.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Pooled estimates within subgroups were derived using DerSimonian-Laird random-effects models. Heterogeneity was quantified by I². Analyses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were </w:t>
      </w:r>
      <w:r>
        <w:rPr>
          <w:rFonts w:hint="default" w:ascii="Times New Roman" w:hAnsi="Times New Roman" w:cs="Times New Roman"/>
          <w:sz w:val="20"/>
          <w:szCs w:val="20"/>
        </w:rPr>
        <w:t>conducted in RevMan 5.4 and Stata 18.0 (metaprop package).</w:t>
      </w: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23"/>
    <w:rsid w:val="002B2E7E"/>
    <w:rsid w:val="00346FC3"/>
    <w:rsid w:val="003A34F7"/>
    <w:rsid w:val="004235B0"/>
    <w:rsid w:val="004F3C66"/>
    <w:rsid w:val="00602594"/>
    <w:rsid w:val="00610D23"/>
    <w:rsid w:val="00656586"/>
    <w:rsid w:val="006A2777"/>
    <w:rsid w:val="007129C2"/>
    <w:rsid w:val="008075FE"/>
    <w:rsid w:val="009E1BE6"/>
    <w:rsid w:val="00B0006D"/>
    <w:rsid w:val="00C317B4"/>
    <w:rsid w:val="0E690CBD"/>
    <w:rsid w:val="154E066B"/>
    <w:rsid w:val="1876456B"/>
    <w:rsid w:val="1D8C715B"/>
    <w:rsid w:val="1E685EE1"/>
    <w:rsid w:val="27955410"/>
    <w:rsid w:val="28BE54B4"/>
    <w:rsid w:val="41AC61F7"/>
    <w:rsid w:val="422D726C"/>
    <w:rsid w:val="4C62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customStyle="1" w:styleId="7">
    <w:name w:val="正文11"/>
    <w:qFormat/>
    <w:uiPriority w:val="0"/>
    <w:pPr>
      <w:spacing w:before="100" w:beforeAutospacing="1" w:after="160" w:line="256" w:lineRule="auto"/>
    </w:pPr>
    <w:rPr>
      <w:rFonts w:ascii="Calibri" w:hAnsi="Calibri" w:eastAsia="等线" w:cs="Times New Roman"/>
      <w:sz w:val="22"/>
      <w:szCs w:val="22"/>
      <w:lang w:val="en-US" w:eastAsia="zh-CN" w:bidi="ar-SA"/>
    </w:rPr>
  </w:style>
  <w:style w:type="paragraph" w:customStyle="1" w:styleId="8">
    <w:name w:val="正文1"/>
    <w:basedOn w:val="1"/>
    <w:qFormat/>
    <w:uiPriority w:val="0"/>
    <w:pPr>
      <w:spacing w:before="100" w:beforeAutospacing="1" w:line="254" w:lineRule="auto"/>
    </w:pPr>
    <w:rPr>
      <w:rFonts w:ascii="Calibri" w:hAnsi="Calibri" w:eastAsia="等线" w:cs="Times New Roman"/>
    </w:rPr>
  </w:style>
  <w:style w:type="table" w:customStyle="1" w:styleId="9">
    <w:name w:val="网格型1"/>
    <w:basedOn w:val="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41"/>
    <w:basedOn w:val="4"/>
    <w:qFormat/>
    <w:uiPriority w:val="0"/>
    <w:rPr>
      <w:rFonts w:hint="eastAsia" w:ascii="宋体" w:hAnsi="宋体" w:eastAsia="宋体"/>
      <w:color w:val="000000"/>
      <w:sz w:val="36"/>
      <w:szCs w:val="36"/>
      <w:u w:val="none"/>
    </w:rPr>
  </w:style>
  <w:style w:type="character" w:customStyle="1" w:styleId="11">
    <w:name w:val="font11"/>
    <w:basedOn w:val="4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2">
    <w:name w:val="font21"/>
    <w:basedOn w:val="4"/>
    <w:qFormat/>
    <w:uiPriority w:val="0"/>
    <w:rPr>
      <w:rFonts w:hint="eastAsia" w:ascii="等线" w:hAnsi="等线" w:eastAsia="等线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579</Characters>
  <Lines>5</Lines>
  <Paragraphs>1</Paragraphs>
  <TotalTime>1</TotalTime>
  <ScaleCrop>false</ScaleCrop>
  <LinksUpToDate>false</LinksUpToDate>
  <CharactersWithSpaces>643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2025-01-24T14:15:00Z</dcterms:created>
  <dc:creator>123</dc:creator>
  <cp:lastModifiedBy>王思乔</cp:lastModifiedBy>
  <dcterms:modified xsi:type="dcterms:W3CDTF">2025-07-17T11:52:22Z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eyJoZGlkIjoiYjJjZDNjMDJiMTQxNmU1Zjk2YzM3NjY4MzVhZTZkMDEiLCJ1c2VySWQiOiI1Nzg5MDQ3NzkifQ==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4DFB64B60DE24DEB8BA9AB8D4CC45052_12</vt:lpwstr>
  </property>
</Properties>
</file>