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BDEF19">
      <w:pPr>
        <w:spacing w:line="360" w:lineRule="auto"/>
        <w:jc w:val="center"/>
        <w:rPr>
          <w:rFonts w:hint="eastAsia" w:ascii="Times New Roman" w:hAnsi="Times New Roman" w:eastAsia="宋体" w:cs="Times New Roman"/>
          <w:b/>
          <w:bCs/>
          <w:sz w:val="24"/>
          <w:szCs w:val="32"/>
          <w:highlight w:val="none"/>
        </w:rPr>
      </w:pPr>
      <w:r>
        <w:rPr>
          <w:rFonts w:hint="eastAsia" w:ascii="Times New Roman" w:hAnsi="Times New Roman" w:eastAsia="宋体" w:cs="Times New Roman"/>
          <w:b/>
          <w:bCs/>
          <w:sz w:val="24"/>
          <w:szCs w:val="32"/>
          <w:highlight w:val="none"/>
        </w:rPr>
        <w:t>Supplementary Materials</w:t>
      </w:r>
    </w:p>
    <w:p w14:paraId="44892F0F">
      <w:pPr>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cs="Times New Roman"/>
          <w:color w:val="auto"/>
          <w:sz w:val="20"/>
          <w:szCs w:val="20"/>
          <w:highlight w:val="none"/>
        </w:rPr>
        <w:t>eFigure 1. Illustration of taVNS and Sham taVNS</w:t>
      </w:r>
      <w:r>
        <w:rPr>
          <w:rFonts w:hint="eastAsia" w:ascii="Times New Roman" w:hAnsi="Times New Roman" w:cs="Times New Roman"/>
          <w:color w:val="auto"/>
          <w:sz w:val="20"/>
          <w:szCs w:val="20"/>
          <w:highlight w:val="none"/>
          <w:lang w:val="en-US" w:eastAsia="zh-CN"/>
        </w:rPr>
        <w:t>.</w:t>
      </w:r>
    </w:p>
    <w:p w14:paraId="095FAA19">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宋体"/>
          <w:color w:val="auto"/>
          <w:sz w:val="20"/>
          <w:szCs w:val="20"/>
          <w:lang w:val="en-US" w:eastAsia="zh-CN"/>
        </w:rPr>
      </w:pPr>
      <w:r>
        <w:rPr>
          <w:rFonts w:hint="eastAsia" w:ascii="Times New Roman" w:hAnsi="Times New Roman" w:cs="Times New Roman"/>
          <w:color w:val="auto"/>
          <w:sz w:val="20"/>
          <w:szCs w:val="20"/>
          <w:highlight w:val="none"/>
        </w:rPr>
        <w:t xml:space="preserve">eFigure 2. </w:t>
      </w:r>
      <w:r>
        <w:rPr>
          <w:rFonts w:hint="eastAsia" w:ascii="Times New Roman" w:hAnsi="Times New Roman"/>
          <w:color w:val="auto"/>
          <w:sz w:val="20"/>
          <w:szCs w:val="20"/>
          <w:lang w:val="en-US" w:eastAsia="zh-CN"/>
        </w:rPr>
        <w:t>eFigure 2</w:t>
      </w:r>
      <w:r>
        <w:rPr>
          <w:rFonts w:hint="eastAsia" w:ascii="Times New Roman" w:hAnsi="Times New Roman"/>
          <w:color w:val="auto"/>
          <w:sz w:val="20"/>
          <w:szCs w:val="20"/>
        </w:rPr>
        <w:t xml:space="preserve"> Boxplot of Alpha Diversity Indices at the Species Level</w:t>
      </w:r>
      <w:r>
        <w:rPr>
          <w:rFonts w:hint="eastAsia" w:ascii="Times New Roman" w:hAnsi="Times New Roman"/>
          <w:color w:val="auto"/>
          <w:sz w:val="20"/>
          <w:szCs w:val="20"/>
          <w:lang w:val="en-US" w:eastAsia="zh-CN"/>
        </w:rPr>
        <w:t>c</w:t>
      </w:r>
    </w:p>
    <w:p w14:paraId="7D690362">
      <w:pPr>
        <w:rPr>
          <w:rFonts w:hint="eastAsia" w:ascii="Times New Roman" w:hAnsi="Times New Roman" w:eastAsia="宋体" w:cs="Times New Roman"/>
          <w:color w:val="auto"/>
          <w:sz w:val="20"/>
          <w:szCs w:val="20"/>
          <w:highlight w:val="none"/>
          <w:lang w:val="en-US" w:eastAsia="zh-CN"/>
        </w:rPr>
      </w:pPr>
      <w:r>
        <w:rPr>
          <w:rFonts w:hint="eastAsia" w:ascii="Times New Roman" w:hAnsi="Times New Roman" w:cs="Times New Roman"/>
          <w:color w:val="auto"/>
          <w:sz w:val="20"/>
          <w:szCs w:val="20"/>
          <w:lang w:val="en-US" w:eastAsia="zh-CN"/>
        </w:rPr>
        <w:t>eFig</w:t>
      </w:r>
      <w:r>
        <w:rPr>
          <w:rFonts w:hint="eastAsia" w:ascii="Times New Roman" w:hAnsi="Times New Roman"/>
          <w:color w:val="auto"/>
          <w:sz w:val="20"/>
          <w:szCs w:val="20"/>
          <w:lang w:val="en-US" w:eastAsia="zh-CN"/>
        </w:rPr>
        <w:t>ure</w:t>
      </w:r>
      <w:r>
        <w:rPr>
          <w:rFonts w:hint="eastAsia" w:ascii="Times New Roman" w:hAnsi="Times New Roman" w:cs="Times New Roman"/>
          <w:color w:val="auto"/>
          <w:sz w:val="20"/>
          <w:szCs w:val="20"/>
          <w:lang w:val="en-US" w:eastAsia="zh-CN"/>
        </w:rPr>
        <w:t xml:space="preserve"> 3</w:t>
      </w:r>
      <w:r>
        <w:rPr>
          <w:rFonts w:hint="eastAsia" w:ascii="Times New Roman" w:hAnsi="Times New Roman" w:eastAsia="宋体" w:cs="Times New Roman"/>
          <w:color w:val="auto"/>
          <w:sz w:val="20"/>
          <w:szCs w:val="20"/>
        </w:rPr>
        <w:t xml:space="preserve"> Scatter plot of PCoA results</w:t>
      </w:r>
      <w:r>
        <w:rPr>
          <w:rFonts w:hint="eastAsia" w:ascii="Times New Roman" w:hAnsi="Times New Roman" w:cs="Times New Roman"/>
          <w:color w:val="auto"/>
          <w:sz w:val="20"/>
          <w:szCs w:val="20"/>
          <w:lang w:val="en-US" w:eastAsia="zh-CN"/>
        </w:rPr>
        <w:t>.</w:t>
      </w:r>
    </w:p>
    <w:p w14:paraId="11302397">
      <w:pPr>
        <w:rPr>
          <w:rFonts w:hint="eastAsia" w:ascii="Times New Roman" w:hAnsi="Times New Roman" w:cs="Times New Roman"/>
          <w:color w:val="auto"/>
          <w:sz w:val="20"/>
          <w:szCs w:val="20"/>
          <w:highlight w:val="none"/>
          <w:lang w:val="en-US" w:eastAsia="zh-CN"/>
        </w:rPr>
      </w:pPr>
      <w:r>
        <w:rPr>
          <w:rFonts w:hint="eastAsia" w:ascii="Times New Roman" w:hAnsi="Times New Roman" w:cs="Times New Roman"/>
          <w:color w:val="auto"/>
          <w:sz w:val="20"/>
          <w:szCs w:val="20"/>
          <w:highlight w:val="none"/>
        </w:rPr>
        <w:t xml:space="preserve">eFigure </w:t>
      </w:r>
      <w:r>
        <w:rPr>
          <w:rFonts w:hint="eastAsia" w:ascii="Times New Roman" w:hAnsi="Times New Roman" w:cs="Times New Roman"/>
          <w:color w:val="auto"/>
          <w:sz w:val="20"/>
          <w:szCs w:val="20"/>
          <w:highlight w:val="none"/>
          <w:lang w:val="en-US" w:eastAsia="zh-CN"/>
        </w:rPr>
        <w:t xml:space="preserve">4 </w:t>
      </w:r>
      <w:r>
        <w:rPr>
          <w:rFonts w:hint="eastAsia" w:ascii="Times New Roman" w:hAnsi="Times New Roman" w:cs="Times New Roman"/>
          <w:color w:val="auto"/>
          <w:sz w:val="20"/>
          <w:szCs w:val="20"/>
          <w:highlight w:val="none"/>
        </w:rPr>
        <w:t>Correlation Analysis Between Brain Imaging and Clinical Data</w:t>
      </w:r>
      <w:r>
        <w:rPr>
          <w:rFonts w:hint="eastAsia" w:ascii="Times New Roman" w:hAnsi="Times New Roman" w:cs="Times New Roman"/>
          <w:color w:val="auto"/>
          <w:sz w:val="20"/>
          <w:szCs w:val="20"/>
          <w:highlight w:val="none"/>
          <w:lang w:val="en-US" w:eastAsia="zh-CN"/>
        </w:rPr>
        <w:t>.</w:t>
      </w:r>
    </w:p>
    <w:p w14:paraId="527A018D">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highlight w:val="none"/>
        </w:rPr>
        <w:t xml:space="preserve">eFigure </w:t>
      </w:r>
      <w:r>
        <w:rPr>
          <w:rFonts w:hint="eastAsia" w:ascii="Times New Roman" w:hAnsi="Times New Roman" w:cs="Times New Roman"/>
          <w:color w:val="auto"/>
          <w:sz w:val="20"/>
          <w:szCs w:val="20"/>
          <w:highlight w:val="none"/>
          <w:lang w:val="en-US" w:eastAsia="zh-CN"/>
        </w:rPr>
        <w:t>5</w:t>
      </w:r>
      <w:r>
        <w:rPr>
          <w:rFonts w:hint="eastAsia" w:ascii="Times New Roman" w:hAnsi="Times New Roman" w:cs="Times New Roman"/>
          <w:color w:val="auto"/>
          <w:sz w:val="20"/>
          <w:szCs w:val="20"/>
          <w:lang w:val="en-US" w:eastAsia="zh-CN"/>
        </w:rPr>
        <w:t xml:space="preserve"> Correlation Analysis Between Brain Imaging, Clinical Data, and Core Microbiota</w:t>
      </w:r>
    </w:p>
    <w:p w14:paraId="00EDC839">
      <w:pPr>
        <w:rPr>
          <w:rFonts w:hint="eastAsia" w:ascii="Times New Roman" w:hAnsi="Times New Roman" w:cs="Times New Roman"/>
          <w:color w:val="auto"/>
          <w:sz w:val="20"/>
          <w:szCs w:val="20"/>
          <w:highlight w:val="none"/>
        </w:rPr>
      </w:pPr>
    </w:p>
    <w:p w14:paraId="328E452C">
      <w:pPr>
        <w:rPr>
          <w:rFonts w:hint="eastAsia" w:ascii="Times New Roman" w:hAnsi="Times New Roman" w:cs="Times New Roman"/>
          <w:color w:val="auto"/>
          <w:sz w:val="20"/>
          <w:szCs w:val="20"/>
          <w:highlight w:val="none"/>
        </w:rPr>
      </w:pPr>
    </w:p>
    <w:p w14:paraId="08DEB26A">
      <w:pPr>
        <w:rPr>
          <w:rFonts w:hint="eastAsia" w:ascii="Times New Roman" w:hAnsi="Times New Roman" w:cs="Times New Roman"/>
          <w:color w:val="auto"/>
          <w:sz w:val="20"/>
          <w:szCs w:val="20"/>
          <w:highlight w:val="none"/>
        </w:rPr>
      </w:pPr>
      <w:r>
        <w:rPr>
          <w:rFonts w:hint="eastAsia" w:ascii="Times New Roman" w:hAnsi="Times New Roman" w:cs="Times New Roman"/>
          <w:color w:val="auto"/>
          <w:sz w:val="20"/>
          <w:szCs w:val="20"/>
          <w:highlight w:val="none"/>
        </w:rPr>
        <w:t xml:space="preserve">eTable 1. </w:t>
      </w:r>
      <w:r>
        <w:rPr>
          <w:rFonts w:hint="default" w:ascii="Times New Roman" w:hAnsi="Times New Roman" w:cs="Times New Roman"/>
          <w:color w:val="auto"/>
          <w:sz w:val="20"/>
          <w:szCs w:val="20"/>
          <w:highlight w:val="none"/>
        </w:rPr>
        <w:t>Comparison of Clinical Data between Two Groups</w:t>
      </w:r>
      <w:r>
        <w:rPr>
          <w:rFonts w:hint="eastAsia" w:ascii="Times New Roman" w:hAnsi="Times New Roman" w:cs="Times New Roman"/>
          <w:color w:val="auto"/>
          <w:sz w:val="20"/>
          <w:szCs w:val="20"/>
          <w:highlight w:val="none"/>
        </w:rPr>
        <w:t xml:space="preserve"> </w:t>
      </w:r>
    </w:p>
    <w:p w14:paraId="55E44C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宋体"/>
          <w:b w:val="0"/>
          <w:bCs w:val="0"/>
          <w:color w:val="auto"/>
          <w:sz w:val="21"/>
          <w:szCs w:val="21"/>
          <w:lang w:val="en-US" w:eastAsia="zh-CN"/>
        </w:rPr>
      </w:pPr>
      <w:r>
        <w:rPr>
          <w:rFonts w:hint="eastAsia" w:ascii="Times New Roman" w:hAnsi="Times New Roman" w:cs="Times New Roman"/>
          <w:color w:val="auto"/>
          <w:sz w:val="20"/>
          <w:szCs w:val="20"/>
          <w:highlight w:val="none"/>
        </w:rPr>
        <w:t xml:space="preserve">eTable 2. </w:t>
      </w:r>
      <w:r>
        <w:rPr>
          <w:rFonts w:hint="eastAsia" w:ascii="Times New Roman" w:hAnsi="Times New Roman"/>
          <w:b w:val="0"/>
          <w:bCs w:val="0"/>
          <w:color w:val="auto"/>
          <w:szCs w:val="21"/>
          <w:highlight w:val="none"/>
        </w:rPr>
        <w:t>Comparison of Response Rates and Clinical Remission Rates Between the Two Groups</w:t>
      </w:r>
    </w:p>
    <w:p w14:paraId="65C1489F">
      <w:pPr>
        <w:rPr>
          <w:rFonts w:hint="default" w:ascii="Times New Roman" w:hAnsi="Times New Roman" w:cs="Times New Roman"/>
          <w:color w:val="auto"/>
          <w:sz w:val="20"/>
          <w:szCs w:val="20"/>
        </w:rPr>
      </w:pPr>
      <w:r>
        <w:rPr>
          <w:rFonts w:hint="eastAsia" w:ascii="Times New Roman" w:hAnsi="Times New Roman" w:cs="Times New Roman"/>
          <w:color w:val="auto"/>
          <w:sz w:val="20"/>
          <w:szCs w:val="20"/>
          <w:highlight w:val="none"/>
        </w:rPr>
        <w:t xml:space="preserve">eTable 3. </w:t>
      </w:r>
      <w:r>
        <w:rPr>
          <w:rFonts w:hint="default" w:ascii="Times New Roman" w:hAnsi="Times New Roman" w:cs="Times New Roman"/>
          <w:color w:val="auto"/>
          <w:sz w:val="20"/>
          <w:szCs w:val="20"/>
        </w:rPr>
        <w:t>Differences in ALFF and fALFF Between the Two Groups Pre and Post Intervention</w:t>
      </w:r>
    </w:p>
    <w:p w14:paraId="07346E87">
      <w:pPr>
        <w:rPr>
          <w:rFonts w:hint="default" w:ascii="Times New Roman" w:hAnsi="Times New Roman" w:cs="Times New Roman"/>
          <w:color w:val="auto"/>
          <w:sz w:val="20"/>
          <w:szCs w:val="20"/>
        </w:rPr>
      </w:pPr>
      <w:r>
        <w:rPr>
          <w:rFonts w:hint="default" w:ascii="Times New Roman" w:hAnsi="Times New Roman" w:cs="Times New Roman"/>
          <w:color w:val="auto"/>
          <w:sz w:val="20"/>
          <w:szCs w:val="20"/>
        </w:rPr>
        <w:t xml:space="preserve">eTable 4 </w:t>
      </w:r>
      <w:bookmarkStart w:id="0" w:name="_GoBack"/>
      <w:bookmarkEnd w:id="0"/>
      <w:r>
        <w:rPr>
          <w:rFonts w:hint="default" w:ascii="Times New Roman" w:hAnsi="Times New Roman" w:cs="Times New Roman"/>
          <w:color w:val="auto"/>
          <w:sz w:val="20"/>
          <w:szCs w:val="20"/>
        </w:rPr>
        <w:t>Differences in ReHo and DC Between the Two Groups Pre and Post Intervention</w:t>
      </w:r>
    </w:p>
    <w:p w14:paraId="1DCD90E8">
      <w:pPr>
        <w:rPr>
          <w:rFonts w:hint="default" w:ascii="Times New Roman" w:hAnsi="Times New Roman" w:cs="Times New Roman"/>
          <w:color w:val="auto"/>
          <w:sz w:val="20"/>
          <w:szCs w:val="20"/>
        </w:rPr>
      </w:pPr>
      <w:r>
        <w:rPr>
          <w:rFonts w:hint="eastAsia" w:ascii="Times New Roman" w:hAnsi="Times New Roman" w:cs="Times New Roman"/>
          <w:color w:val="auto"/>
          <w:sz w:val="20"/>
          <w:szCs w:val="20"/>
          <w:lang w:val="en-US" w:eastAsia="zh-CN"/>
        </w:rPr>
        <w:t xml:space="preserve">eTable 5 </w:t>
      </w:r>
      <w:r>
        <w:rPr>
          <w:rFonts w:hint="eastAsia" w:ascii="Times New Roman" w:hAnsi="Times New Roman" w:cs="Times New Roman"/>
          <w:color w:val="auto"/>
          <w:sz w:val="20"/>
          <w:szCs w:val="20"/>
        </w:rPr>
        <w:t>Analysis of Alpha Diversity at the Species Level.</w:t>
      </w:r>
    </w:p>
    <w:p w14:paraId="3AC3C4F4">
      <w:pPr>
        <w:rPr>
          <w:rFonts w:hint="default" w:ascii="Times New Roman" w:hAnsi="Times New Roman" w:cs="Times New Roman"/>
          <w:color w:val="auto"/>
          <w:sz w:val="20"/>
          <w:szCs w:val="20"/>
        </w:rPr>
      </w:pPr>
    </w:p>
    <w:p w14:paraId="3514250E">
      <w:pPr>
        <w:rPr>
          <w:rFonts w:hint="eastAsia" w:ascii="Times New Roman" w:hAnsi="Times New Roman" w:cs="Times New Roman"/>
          <w:color w:val="auto"/>
          <w:sz w:val="20"/>
          <w:szCs w:val="20"/>
          <w:highlight w:val="none"/>
        </w:rPr>
      </w:pPr>
      <w:r>
        <w:rPr>
          <w:rFonts w:hint="eastAsia" w:ascii="Times New Roman" w:hAnsi="Times New Roman" w:cs="Times New Roman"/>
          <w:color w:val="auto"/>
          <w:sz w:val="20"/>
          <w:szCs w:val="20"/>
          <w:highlight w:val="none"/>
        </w:rPr>
        <w:t xml:space="preserve">This supplemental material has been provided by the authors to give readers </w:t>
      </w:r>
    </w:p>
    <w:p w14:paraId="7F004771">
      <w:pPr>
        <w:rPr>
          <w:rFonts w:hint="eastAsia" w:ascii="Times New Roman" w:hAnsi="Times New Roman" w:cs="Times New Roman"/>
          <w:color w:val="auto"/>
          <w:sz w:val="20"/>
          <w:szCs w:val="20"/>
          <w:highlight w:val="none"/>
        </w:rPr>
      </w:pPr>
      <w:r>
        <w:rPr>
          <w:rFonts w:hint="eastAsia" w:ascii="Times New Roman" w:hAnsi="Times New Roman" w:cs="Times New Roman"/>
          <w:color w:val="auto"/>
          <w:sz w:val="20"/>
          <w:szCs w:val="20"/>
          <w:highlight w:val="none"/>
        </w:rPr>
        <w:t xml:space="preserve">additional information about their work. </w:t>
      </w:r>
    </w:p>
    <w:p w14:paraId="3482BC04">
      <w:pPr>
        <w:rPr>
          <w:rFonts w:hint="eastAsia"/>
        </w:rPr>
      </w:pPr>
    </w:p>
    <w:p w14:paraId="0DE14458">
      <w:pPr>
        <w:spacing w:line="360" w:lineRule="auto"/>
        <w:ind w:firstLine="420" w:firstLineChars="200"/>
        <w:rPr>
          <w:rFonts w:hint="eastAsia" w:ascii="Times New Roman" w:hAnsi="Times New Roman"/>
          <w:color w:val="auto"/>
          <w:sz w:val="20"/>
          <w:szCs w:val="22"/>
          <w:lang w:val="en-US" w:eastAsia="zh-CN"/>
        </w:rPr>
      </w:pPr>
      <w:r>
        <w:rPr>
          <w:rFonts w:hint="eastAsia" w:ascii="Times New Roman" w:hAnsi="Times New Roman"/>
          <w:color w:val="auto"/>
          <w:highlight w:val="none"/>
          <w:lang w:val="en-US" w:eastAsia="zh-CN"/>
        </w:rPr>
        <w:drawing>
          <wp:inline distT="0" distB="0" distL="114300" distR="114300">
            <wp:extent cx="4636770" cy="3527425"/>
            <wp:effectExtent l="0" t="0" r="11430" b="15875"/>
            <wp:docPr id="15" name="图片 15" descr="taVNS迷走神经刺激治疗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taVNS迷走神经刺激治疗图"/>
                    <pic:cNvPicPr>
                      <a:picLocks noChangeAspect="1"/>
                    </pic:cNvPicPr>
                  </pic:nvPicPr>
                  <pic:blipFill>
                    <a:blip r:embed="rId4"/>
                    <a:stretch>
                      <a:fillRect/>
                    </a:stretch>
                  </pic:blipFill>
                  <pic:spPr>
                    <a:xfrm>
                      <a:off x="0" y="0"/>
                      <a:ext cx="4636770" cy="3527425"/>
                    </a:xfrm>
                    <a:prstGeom prst="rect">
                      <a:avLst/>
                    </a:prstGeom>
                  </pic:spPr>
                </pic:pic>
              </a:graphicData>
            </a:graphic>
          </wp:inline>
        </w:drawing>
      </w:r>
    </w:p>
    <w:p w14:paraId="41540203">
      <w:pPr>
        <w:spacing w:line="360" w:lineRule="auto"/>
        <w:jc w:val="center"/>
        <w:rPr>
          <w:rFonts w:hint="eastAsia" w:ascii="Times New Roman" w:hAnsi="Times New Roman"/>
          <w:color w:val="auto"/>
          <w:highlight w:val="none"/>
          <w:lang w:val="en-US" w:eastAsia="zh-CN"/>
        </w:rPr>
      </w:pPr>
      <w:r>
        <w:rPr>
          <w:rFonts w:hint="eastAsia" w:ascii="Times New Roman" w:hAnsi="Times New Roman"/>
          <w:color w:val="auto"/>
          <w:highlight w:val="none"/>
          <w:lang w:val="en-US" w:eastAsia="zh-CN"/>
        </w:rPr>
        <w:t>eFigure 1 A diagrammatic view showing taVNS treatment</w:t>
      </w:r>
    </w:p>
    <w:p w14:paraId="342C1A5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olor w:val="auto"/>
          <w:sz w:val="21"/>
          <w:szCs w:val="21"/>
          <w:lang w:val="en-US" w:eastAsia="zh-CN"/>
        </w:rPr>
      </w:pPr>
      <w:r>
        <w:rPr>
          <w:rFonts w:hint="eastAsia" w:ascii="Times New Roman" w:hAnsi="Times New Roman"/>
          <w:color w:val="auto"/>
          <w:sz w:val="21"/>
          <w:szCs w:val="21"/>
          <w:lang w:val="en-US" w:eastAsia="zh-CN"/>
        </w:rPr>
        <w:drawing>
          <wp:inline distT="0" distB="0" distL="114300" distR="114300">
            <wp:extent cx="5247640" cy="2221230"/>
            <wp:effectExtent l="0" t="0" r="10160" b="7620"/>
            <wp:docPr id="2" name="图片 2" descr="种水平下样本Alpha多样性分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种水平下样本Alpha多样性分析"/>
                    <pic:cNvPicPr>
                      <a:picLocks noChangeAspect="1"/>
                    </pic:cNvPicPr>
                  </pic:nvPicPr>
                  <pic:blipFill>
                    <a:blip r:embed="rId5"/>
                    <a:stretch>
                      <a:fillRect/>
                    </a:stretch>
                  </pic:blipFill>
                  <pic:spPr>
                    <a:xfrm>
                      <a:off x="0" y="0"/>
                      <a:ext cx="5247640" cy="2221230"/>
                    </a:xfrm>
                    <a:prstGeom prst="rect">
                      <a:avLst/>
                    </a:prstGeom>
                  </pic:spPr>
                </pic:pic>
              </a:graphicData>
            </a:graphic>
          </wp:inline>
        </w:drawing>
      </w:r>
    </w:p>
    <w:p w14:paraId="1589726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olor w:val="auto"/>
          <w:sz w:val="20"/>
          <w:szCs w:val="20"/>
          <w:lang w:val="en-US" w:eastAsia="zh-CN"/>
        </w:rPr>
      </w:pPr>
      <w:r>
        <w:rPr>
          <w:rFonts w:hint="eastAsia" w:ascii="Times New Roman" w:hAnsi="Times New Roman"/>
          <w:color w:val="auto"/>
          <w:sz w:val="20"/>
          <w:szCs w:val="20"/>
          <w:lang w:val="en-US" w:eastAsia="zh-CN"/>
        </w:rPr>
        <w:t>eFigure 2</w:t>
      </w:r>
      <w:r>
        <w:rPr>
          <w:rFonts w:hint="eastAsia" w:ascii="Times New Roman" w:hAnsi="Times New Roman"/>
          <w:color w:val="auto"/>
          <w:sz w:val="20"/>
          <w:szCs w:val="20"/>
        </w:rPr>
        <w:t xml:space="preserve"> Boxplot of Alpha Diversity Indices at the Species Level.</w:t>
      </w:r>
    </w:p>
    <w:p w14:paraId="16797DE8">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0"/>
          <w:szCs w:val="20"/>
          <w:highlight w:val="none"/>
        </w:rPr>
      </w:pPr>
      <w:r>
        <w:rPr>
          <w:rFonts w:hint="eastAsia" w:ascii="Times New Roman" w:hAnsi="Times New Roman" w:eastAsia="宋体"/>
          <w:color w:val="auto"/>
          <w:sz w:val="24"/>
          <w:lang w:eastAsia="zh-CN"/>
        </w:rPr>
        <w:drawing>
          <wp:inline distT="0" distB="0" distL="114300" distR="114300">
            <wp:extent cx="3669030" cy="4077970"/>
            <wp:effectExtent l="0" t="0" r="7620" b="17780"/>
            <wp:docPr id="8" name="图片 8" descr="种水平PCo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种水平PCoA"/>
                    <pic:cNvPicPr>
                      <a:picLocks noChangeAspect="1"/>
                    </pic:cNvPicPr>
                  </pic:nvPicPr>
                  <pic:blipFill>
                    <a:blip r:embed="rId6"/>
                    <a:stretch>
                      <a:fillRect/>
                    </a:stretch>
                  </pic:blipFill>
                  <pic:spPr>
                    <a:xfrm>
                      <a:off x="0" y="0"/>
                      <a:ext cx="3669030" cy="4077970"/>
                    </a:xfrm>
                    <a:prstGeom prst="rect">
                      <a:avLst/>
                    </a:prstGeom>
                  </pic:spPr>
                </pic:pic>
              </a:graphicData>
            </a:graphic>
          </wp:inline>
        </w:drawing>
      </w:r>
    </w:p>
    <w:p w14:paraId="3A78303A">
      <w:pPr>
        <w:widowControl/>
        <w:spacing w:line="360" w:lineRule="auto"/>
        <w:jc w:val="center"/>
        <w:rPr>
          <w:rFonts w:hint="default" w:ascii="Times New Roman" w:hAnsi="Times New Roman" w:eastAsia="宋体" w:cs="Times New Roman"/>
          <w:color w:val="auto"/>
          <w:sz w:val="20"/>
          <w:szCs w:val="20"/>
          <w:lang w:val="en-US" w:eastAsia="zh-CN"/>
        </w:rPr>
      </w:pPr>
      <w:r>
        <w:rPr>
          <w:rFonts w:hint="eastAsia" w:ascii="Times New Roman" w:hAnsi="Times New Roman" w:cs="Times New Roman"/>
          <w:color w:val="auto"/>
          <w:sz w:val="20"/>
          <w:szCs w:val="20"/>
          <w:lang w:val="en-US" w:eastAsia="zh-CN"/>
        </w:rPr>
        <w:t>eFig</w:t>
      </w:r>
      <w:r>
        <w:rPr>
          <w:rFonts w:hint="eastAsia" w:ascii="Times New Roman" w:hAnsi="Times New Roman"/>
          <w:color w:val="auto"/>
          <w:sz w:val="20"/>
          <w:szCs w:val="20"/>
          <w:lang w:val="en-US" w:eastAsia="zh-CN"/>
        </w:rPr>
        <w:t>ure</w:t>
      </w:r>
      <w:r>
        <w:rPr>
          <w:rFonts w:hint="eastAsia" w:ascii="Times New Roman" w:hAnsi="Times New Roman" w:cs="Times New Roman"/>
          <w:color w:val="auto"/>
          <w:sz w:val="20"/>
          <w:szCs w:val="20"/>
          <w:lang w:val="en-US" w:eastAsia="zh-CN"/>
        </w:rPr>
        <w:t xml:space="preserve"> 3</w:t>
      </w:r>
      <w:r>
        <w:rPr>
          <w:rFonts w:hint="eastAsia" w:ascii="Times New Roman" w:hAnsi="Times New Roman" w:eastAsia="宋体" w:cs="Times New Roman"/>
          <w:color w:val="auto"/>
          <w:sz w:val="20"/>
          <w:szCs w:val="20"/>
        </w:rPr>
        <w:t xml:space="preserve"> Scatter plot of PCoA results: (a) </w:t>
      </w:r>
      <w:r>
        <w:rPr>
          <w:rFonts w:hint="eastAsia" w:ascii="Times New Roman" w:hAnsi="Times New Roman" w:cs="Times New Roman"/>
          <w:color w:val="auto"/>
          <w:sz w:val="20"/>
          <w:szCs w:val="20"/>
          <w:lang w:val="en-US" w:eastAsia="zh-CN"/>
        </w:rPr>
        <w:t xml:space="preserve">taVNS </w:t>
      </w:r>
      <w:r>
        <w:rPr>
          <w:rFonts w:hint="eastAsia" w:ascii="Times New Roman" w:hAnsi="Times New Roman" w:eastAsia="宋体" w:cs="Times New Roman"/>
          <w:color w:val="auto"/>
          <w:sz w:val="20"/>
          <w:szCs w:val="20"/>
        </w:rPr>
        <w:t xml:space="preserve">group and </w:t>
      </w:r>
      <w:r>
        <w:rPr>
          <w:rFonts w:hint="eastAsia" w:ascii="Times New Roman" w:hAnsi="Times New Roman" w:cs="Times New Roman"/>
          <w:color w:val="auto"/>
          <w:sz w:val="20"/>
          <w:szCs w:val="20"/>
          <w:lang w:val="en-US" w:eastAsia="zh-CN"/>
        </w:rPr>
        <w:t xml:space="preserve">sham-taVNS </w:t>
      </w:r>
      <w:r>
        <w:rPr>
          <w:rFonts w:hint="eastAsia" w:ascii="Times New Roman" w:hAnsi="Times New Roman" w:eastAsia="宋体" w:cs="Times New Roman"/>
          <w:color w:val="auto"/>
          <w:sz w:val="20"/>
          <w:szCs w:val="20"/>
        </w:rPr>
        <w:t xml:space="preserve">group </w:t>
      </w:r>
      <w:r>
        <w:rPr>
          <w:rFonts w:hint="eastAsia" w:ascii="Times New Roman" w:hAnsi="Times New Roman" w:cs="Times New Roman"/>
          <w:color w:val="auto"/>
          <w:sz w:val="20"/>
          <w:szCs w:val="20"/>
          <w:lang w:val="en-US" w:eastAsia="zh-CN"/>
        </w:rPr>
        <w:t>pre</w:t>
      </w:r>
      <w:r>
        <w:rPr>
          <w:rFonts w:hint="eastAsia" w:ascii="Times New Roman" w:hAnsi="Times New Roman" w:eastAsia="宋体" w:cs="Times New Roman"/>
          <w:color w:val="auto"/>
          <w:sz w:val="20"/>
          <w:szCs w:val="20"/>
        </w:rPr>
        <w:t xml:space="preserve"> intervention; (b) </w:t>
      </w:r>
      <w:r>
        <w:rPr>
          <w:rFonts w:hint="eastAsia" w:ascii="Times New Roman" w:hAnsi="Times New Roman" w:cs="Times New Roman"/>
          <w:color w:val="auto"/>
          <w:sz w:val="20"/>
          <w:szCs w:val="20"/>
          <w:lang w:val="en-US" w:eastAsia="zh-CN"/>
        </w:rPr>
        <w:t xml:space="preserve">taVNS </w:t>
      </w:r>
      <w:r>
        <w:rPr>
          <w:rFonts w:hint="eastAsia" w:ascii="Times New Roman" w:hAnsi="Times New Roman" w:eastAsia="宋体" w:cs="Times New Roman"/>
          <w:color w:val="auto"/>
          <w:sz w:val="20"/>
          <w:szCs w:val="20"/>
        </w:rPr>
        <w:t xml:space="preserve">group </w:t>
      </w:r>
      <w:r>
        <w:rPr>
          <w:rFonts w:hint="eastAsia" w:ascii="Times New Roman" w:hAnsi="Times New Roman" w:cs="Times New Roman"/>
          <w:color w:val="auto"/>
          <w:sz w:val="20"/>
          <w:szCs w:val="20"/>
          <w:lang w:val="en-US" w:eastAsia="zh-CN"/>
        </w:rPr>
        <w:t>pre and post</w:t>
      </w:r>
      <w:r>
        <w:rPr>
          <w:rFonts w:hint="eastAsia" w:ascii="Times New Roman" w:hAnsi="Times New Roman" w:eastAsia="宋体" w:cs="Times New Roman"/>
          <w:color w:val="auto"/>
          <w:sz w:val="20"/>
          <w:szCs w:val="20"/>
        </w:rPr>
        <w:t xml:space="preserve"> intervention; (c) </w:t>
      </w:r>
      <w:r>
        <w:rPr>
          <w:rFonts w:hint="eastAsia" w:ascii="Times New Roman" w:hAnsi="Times New Roman" w:cs="Times New Roman"/>
          <w:color w:val="auto"/>
          <w:sz w:val="20"/>
          <w:szCs w:val="20"/>
          <w:lang w:val="en-US" w:eastAsia="zh-CN"/>
        </w:rPr>
        <w:t xml:space="preserve">sham-taVNS </w:t>
      </w:r>
      <w:r>
        <w:rPr>
          <w:rFonts w:hint="eastAsia" w:ascii="Times New Roman" w:hAnsi="Times New Roman" w:eastAsia="宋体" w:cs="Times New Roman"/>
          <w:color w:val="auto"/>
          <w:sz w:val="20"/>
          <w:szCs w:val="20"/>
        </w:rPr>
        <w:t xml:space="preserve">group </w:t>
      </w:r>
      <w:r>
        <w:rPr>
          <w:rFonts w:hint="eastAsia" w:ascii="Times New Roman" w:hAnsi="Times New Roman" w:cs="Times New Roman"/>
          <w:color w:val="auto"/>
          <w:sz w:val="20"/>
          <w:szCs w:val="20"/>
          <w:lang w:val="en-US" w:eastAsia="zh-CN"/>
        </w:rPr>
        <w:t>pre and post</w:t>
      </w:r>
      <w:r>
        <w:rPr>
          <w:rFonts w:hint="eastAsia" w:ascii="Times New Roman" w:hAnsi="Times New Roman" w:eastAsia="宋体" w:cs="Times New Roman"/>
          <w:color w:val="auto"/>
          <w:sz w:val="20"/>
          <w:szCs w:val="20"/>
        </w:rPr>
        <w:t xml:space="preserve"> intervention; (d)</w:t>
      </w:r>
      <w:r>
        <w:rPr>
          <w:rFonts w:hint="eastAsia" w:ascii="Times New Roman" w:hAnsi="Times New Roman" w:cs="Times New Roman"/>
          <w:color w:val="auto"/>
          <w:sz w:val="20"/>
          <w:szCs w:val="20"/>
          <w:lang w:val="en-US" w:eastAsia="zh-CN"/>
        </w:rPr>
        <w:t xml:space="preserve"> taVNS </w:t>
      </w:r>
      <w:r>
        <w:rPr>
          <w:rFonts w:hint="eastAsia" w:ascii="Times New Roman" w:hAnsi="Times New Roman" w:eastAsia="宋体" w:cs="Times New Roman"/>
          <w:color w:val="auto"/>
          <w:sz w:val="20"/>
          <w:szCs w:val="20"/>
        </w:rPr>
        <w:t xml:space="preserve">group and </w:t>
      </w:r>
      <w:r>
        <w:rPr>
          <w:rFonts w:hint="eastAsia" w:ascii="Times New Roman" w:hAnsi="Times New Roman" w:cs="Times New Roman"/>
          <w:color w:val="auto"/>
          <w:sz w:val="20"/>
          <w:szCs w:val="20"/>
          <w:lang w:val="en-US" w:eastAsia="zh-CN"/>
        </w:rPr>
        <w:t xml:space="preserve">sham-taVNS </w:t>
      </w:r>
      <w:r>
        <w:rPr>
          <w:rFonts w:hint="eastAsia" w:ascii="Times New Roman" w:hAnsi="Times New Roman" w:eastAsia="宋体" w:cs="Times New Roman"/>
          <w:color w:val="auto"/>
          <w:sz w:val="20"/>
          <w:szCs w:val="20"/>
        </w:rPr>
        <w:t xml:space="preserve">group </w:t>
      </w:r>
      <w:r>
        <w:rPr>
          <w:rFonts w:hint="eastAsia" w:ascii="Times New Roman" w:hAnsi="Times New Roman" w:cs="Times New Roman"/>
          <w:color w:val="auto"/>
          <w:sz w:val="20"/>
          <w:szCs w:val="20"/>
          <w:lang w:val="en-US" w:eastAsia="zh-CN"/>
        </w:rPr>
        <w:t xml:space="preserve">post </w:t>
      </w:r>
      <w:r>
        <w:rPr>
          <w:rFonts w:hint="eastAsia" w:ascii="Times New Roman" w:hAnsi="Times New Roman" w:eastAsia="宋体" w:cs="Times New Roman"/>
          <w:color w:val="auto"/>
          <w:sz w:val="20"/>
          <w:szCs w:val="20"/>
        </w:rPr>
        <w:t>intervention.</w:t>
      </w:r>
    </w:p>
    <w:p w14:paraId="0045A28D">
      <w:pPr>
        <w:spacing w:line="360" w:lineRule="auto"/>
        <w:rPr>
          <w:rFonts w:hint="eastAsia" w:ascii="Times New Roman" w:hAnsi="Times New Roman"/>
          <w:i/>
          <w:iCs/>
          <w:color w:val="auto"/>
          <w:sz w:val="18"/>
          <w:szCs w:val="21"/>
          <w:highlight w:val="none"/>
          <w:lang w:val="en-US" w:eastAsia="zh-CN"/>
        </w:rPr>
      </w:pPr>
      <w:r>
        <w:rPr>
          <w:rFonts w:hint="eastAsia" w:ascii="Times New Roman" w:hAnsi="Times New Roman"/>
          <w:i/>
          <w:iCs/>
          <w:color w:val="auto"/>
          <w:sz w:val="18"/>
          <w:szCs w:val="21"/>
          <w:highlight w:val="none"/>
          <w:lang w:val="en-US" w:eastAsia="zh-CN"/>
        </w:rPr>
        <w:t>Note: Points of the same color represent samples from the same group, and the distance between points indicates the difference in microbial community composition. The axes PCo1 and PCo2 represent the first and second principal coordinates, respectively, with the accompanying percentages indicating the contribution rate of the corresponding principal coordinate to the variance in the sample data.</w:t>
      </w:r>
    </w:p>
    <w:p w14:paraId="2B11878D">
      <w:pPr>
        <w:spacing w:line="360" w:lineRule="auto"/>
        <w:jc w:val="center"/>
        <w:rPr>
          <w:rFonts w:hint="eastAsia" w:ascii="Times New Roman" w:hAnsi="Times New Roman" w:eastAsia="宋体"/>
          <w:color w:val="auto"/>
          <w:sz w:val="24"/>
          <w:lang w:eastAsia="zh-CN"/>
        </w:rPr>
      </w:pPr>
      <w:r>
        <w:rPr>
          <w:rFonts w:hint="eastAsia" w:ascii="Times New Roman" w:hAnsi="Times New Roman" w:eastAsia="宋体"/>
          <w:color w:val="auto"/>
          <w:sz w:val="24"/>
          <w:lang w:eastAsia="zh-CN"/>
        </w:rPr>
        <w:drawing>
          <wp:inline distT="0" distB="0" distL="114300" distR="114300">
            <wp:extent cx="3892550" cy="2538095"/>
            <wp:effectExtent l="0" t="0" r="12700" b="14605"/>
            <wp:docPr id="12" name="图片 12" descr="局部量表相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局部量表相关"/>
                    <pic:cNvPicPr>
                      <a:picLocks noChangeAspect="1"/>
                    </pic:cNvPicPr>
                  </pic:nvPicPr>
                  <pic:blipFill>
                    <a:blip r:embed="rId7"/>
                    <a:stretch>
                      <a:fillRect/>
                    </a:stretch>
                  </pic:blipFill>
                  <pic:spPr>
                    <a:xfrm>
                      <a:off x="0" y="0"/>
                      <a:ext cx="3892550" cy="2538095"/>
                    </a:xfrm>
                    <a:prstGeom prst="rect">
                      <a:avLst/>
                    </a:prstGeom>
                  </pic:spPr>
                </pic:pic>
              </a:graphicData>
            </a:graphic>
          </wp:inline>
        </w:drawing>
      </w:r>
    </w:p>
    <w:p w14:paraId="16459CD1">
      <w:pPr>
        <w:jc w:val="center"/>
        <w:rPr>
          <w:rFonts w:hint="eastAsia" w:ascii="Times New Roman" w:hAnsi="Times New Roman" w:cs="Times New Roman"/>
          <w:color w:val="auto"/>
          <w:sz w:val="20"/>
          <w:szCs w:val="20"/>
          <w:highlight w:val="none"/>
          <w:lang w:val="en-US" w:eastAsia="zh-CN"/>
        </w:rPr>
      </w:pPr>
      <w:r>
        <w:rPr>
          <w:rFonts w:hint="eastAsia" w:ascii="Times New Roman" w:hAnsi="Times New Roman" w:cs="Times New Roman"/>
          <w:color w:val="auto"/>
          <w:sz w:val="20"/>
          <w:szCs w:val="20"/>
          <w:lang w:val="en-US" w:eastAsia="zh-CN"/>
        </w:rPr>
        <w:t>eFig</w:t>
      </w:r>
      <w:r>
        <w:rPr>
          <w:rFonts w:hint="eastAsia" w:ascii="Times New Roman" w:hAnsi="Times New Roman"/>
          <w:color w:val="auto"/>
          <w:sz w:val="20"/>
          <w:szCs w:val="20"/>
          <w:lang w:val="en-US" w:eastAsia="zh-CN"/>
        </w:rPr>
        <w:t>ure</w:t>
      </w:r>
      <w:r>
        <w:rPr>
          <w:rFonts w:hint="eastAsia" w:ascii="Times New Roman" w:hAnsi="Times New Roman" w:cs="Times New Roman"/>
          <w:color w:val="auto"/>
          <w:sz w:val="20"/>
          <w:szCs w:val="20"/>
          <w:lang w:val="en-US" w:eastAsia="zh-CN"/>
        </w:rPr>
        <w:t xml:space="preserve"> 4 </w:t>
      </w:r>
      <w:r>
        <w:rPr>
          <w:rFonts w:hint="eastAsia" w:ascii="Times New Roman" w:hAnsi="Times New Roman" w:cs="Times New Roman"/>
          <w:color w:val="auto"/>
          <w:sz w:val="20"/>
          <w:szCs w:val="20"/>
          <w:highlight w:val="none"/>
        </w:rPr>
        <w:t>Correlation Analysis Between Brain Imaging and Clinical Data</w:t>
      </w:r>
      <w:r>
        <w:rPr>
          <w:rFonts w:hint="eastAsia" w:ascii="Times New Roman" w:hAnsi="Times New Roman" w:cs="Times New Roman"/>
          <w:color w:val="auto"/>
          <w:sz w:val="20"/>
          <w:szCs w:val="20"/>
          <w:highlight w:val="none"/>
          <w:lang w:val="en-US" w:eastAsia="zh-CN"/>
        </w:rPr>
        <w:t>.</w:t>
      </w:r>
    </w:p>
    <w:p w14:paraId="039E1427">
      <w:pPr>
        <w:jc w:val="center"/>
        <w:rPr>
          <w:rFonts w:hint="eastAsia" w:ascii="Times New Roman" w:hAnsi="Times New Roman" w:cs="Times New Roman"/>
          <w:color w:val="auto"/>
          <w:sz w:val="20"/>
          <w:szCs w:val="20"/>
          <w:highlight w:val="none"/>
          <w:lang w:val="en-US" w:eastAsia="zh-CN"/>
        </w:rPr>
      </w:pPr>
    </w:p>
    <w:p w14:paraId="13CD7EDE">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color w:val="auto"/>
          <w:sz w:val="24"/>
          <w:lang w:eastAsia="zh-CN"/>
        </w:rPr>
      </w:pPr>
      <w:r>
        <w:rPr>
          <w:rFonts w:hint="eastAsia" w:ascii="Times New Roman" w:hAnsi="Times New Roman" w:eastAsia="宋体"/>
          <w:color w:val="auto"/>
          <w:sz w:val="24"/>
          <w:lang w:eastAsia="zh-CN"/>
        </w:rPr>
        <w:drawing>
          <wp:inline distT="0" distB="0" distL="114300" distR="114300">
            <wp:extent cx="5271135" cy="2635250"/>
            <wp:effectExtent l="0" t="0" r="5715" b="12700"/>
            <wp:docPr id="13" name="图片 13" descr="相关性分析热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相关性分析热图"/>
                    <pic:cNvPicPr>
                      <a:picLocks noChangeAspect="1"/>
                    </pic:cNvPicPr>
                  </pic:nvPicPr>
                  <pic:blipFill>
                    <a:blip r:embed="rId8"/>
                    <a:stretch>
                      <a:fillRect/>
                    </a:stretch>
                  </pic:blipFill>
                  <pic:spPr>
                    <a:xfrm>
                      <a:off x="0" y="0"/>
                      <a:ext cx="5271135" cy="2635250"/>
                    </a:xfrm>
                    <a:prstGeom prst="rect">
                      <a:avLst/>
                    </a:prstGeom>
                  </pic:spPr>
                </pic:pic>
              </a:graphicData>
            </a:graphic>
          </wp:inline>
        </w:drawing>
      </w:r>
    </w:p>
    <w:p w14:paraId="68AAE9F2">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cs="Times New Roman"/>
          <w:color w:val="auto"/>
          <w:sz w:val="20"/>
          <w:szCs w:val="20"/>
          <w:lang w:val="en-US" w:eastAsia="zh-CN"/>
        </w:rPr>
      </w:pPr>
      <w:r>
        <w:rPr>
          <w:rFonts w:hint="eastAsia" w:ascii="Times New Roman" w:hAnsi="Times New Roman" w:cs="Times New Roman"/>
          <w:color w:val="auto"/>
          <w:sz w:val="20"/>
          <w:szCs w:val="20"/>
          <w:lang w:val="en-US" w:eastAsia="zh-CN"/>
        </w:rPr>
        <w:t>eFig</w:t>
      </w:r>
      <w:r>
        <w:rPr>
          <w:rFonts w:hint="eastAsia" w:ascii="Times New Roman" w:hAnsi="Times New Roman"/>
          <w:color w:val="auto"/>
          <w:sz w:val="20"/>
          <w:szCs w:val="20"/>
          <w:lang w:val="en-US" w:eastAsia="zh-CN"/>
        </w:rPr>
        <w:t>ure</w:t>
      </w:r>
      <w:r>
        <w:rPr>
          <w:rFonts w:hint="eastAsia" w:ascii="Times New Roman" w:hAnsi="Times New Roman" w:cs="Times New Roman"/>
          <w:color w:val="auto"/>
          <w:sz w:val="20"/>
          <w:szCs w:val="20"/>
          <w:lang w:val="en-US" w:eastAsia="zh-CN"/>
        </w:rPr>
        <w:t xml:space="preserve"> 5 Correlation Analysis Between Brain Imaging, Clinical Data, and Core Microbiota</w:t>
      </w:r>
    </w:p>
    <w:p w14:paraId="41BCC168">
      <w:pPr>
        <w:spacing w:line="360" w:lineRule="auto"/>
        <w:rPr>
          <w:rFonts w:hint="eastAsia" w:ascii="Times New Roman" w:hAnsi="Times New Roman"/>
          <w:i/>
          <w:iCs/>
          <w:color w:val="auto"/>
          <w:sz w:val="18"/>
          <w:szCs w:val="21"/>
          <w:highlight w:val="none"/>
        </w:rPr>
      </w:pPr>
      <w:r>
        <w:rPr>
          <w:rFonts w:hint="eastAsia" w:ascii="Times New Roman" w:hAnsi="Times New Roman"/>
          <w:i/>
          <w:iCs/>
          <w:color w:val="auto"/>
          <w:sz w:val="18"/>
          <w:szCs w:val="21"/>
          <w:highlight w:val="none"/>
        </w:rPr>
        <w:t>Note: * indicates a significant correlation, (*P&lt;0.05; **P&lt;0.01). The color of the heatmap represents the nature of the correlation, with red indicating a positive correlation and blue indicating a negative correlation.</w:t>
      </w:r>
    </w:p>
    <w:p w14:paraId="59B3F6DB">
      <w:pPr>
        <w:spacing w:line="360" w:lineRule="auto"/>
        <w:rPr>
          <w:rFonts w:hint="eastAsia" w:ascii="Times New Roman" w:hAnsi="Times New Roman" w:eastAsia="宋体"/>
          <w:color w:val="auto"/>
          <w:sz w:val="24"/>
          <w:lang w:val="en-US" w:eastAsia="zh-CN"/>
        </w:rPr>
      </w:pPr>
    </w:p>
    <w:p w14:paraId="7C0B333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0"/>
          <w:szCs w:val="20"/>
          <w:highlight w:val="none"/>
        </w:rPr>
      </w:pPr>
    </w:p>
    <w:p w14:paraId="2956DFD9">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0"/>
          <w:szCs w:val="20"/>
          <w:highlight w:val="none"/>
        </w:rPr>
      </w:pPr>
    </w:p>
    <w:p w14:paraId="7FDDBB4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0"/>
          <w:szCs w:val="20"/>
          <w:highlight w:val="none"/>
        </w:rPr>
      </w:pPr>
    </w:p>
    <w:p w14:paraId="3BD9B001">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0"/>
          <w:szCs w:val="20"/>
          <w:highlight w:val="none"/>
        </w:rPr>
      </w:pPr>
    </w:p>
    <w:p w14:paraId="3C3DBEA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0"/>
          <w:szCs w:val="20"/>
          <w:highlight w:val="none"/>
        </w:rPr>
      </w:pPr>
    </w:p>
    <w:p w14:paraId="1F2959D4">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b/>
          <w:bCs/>
          <w:color w:val="auto"/>
          <w:sz w:val="20"/>
          <w:szCs w:val="20"/>
          <w:highlight w:val="none"/>
        </w:rPr>
      </w:pPr>
    </w:p>
    <w:p w14:paraId="038A9B7B">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b/>
          <w:bCs/>
          <w:color w:val="auto"/>
          <w:sz w:val="20"/>
          <w:szCs w:val="20"/>
          <w:highlight w:val="none"/>
        </w:rPr>
        <w:t xml:space="preserve">eTable 1 | </w:t>
      </w:r>
      <w:r>
        <w:rPr>
          <w:rFonts w:hint="default" w:ascii="Times New Roman" w:hAnsi="Times New Roman" w:cs="Times New Roman"/>
          <w:color w:val="auto"/>
          <w:sz w:val="20"/>
          <w:szCs w:val="20"/>
          <w:highlight w:val="none"/>
        </w:rPr>
        <w:t>Comparison of Clinical Data between Two Groups</w:t>
      </w:r>
    </w:p>
    <w:tbl>
      <w:tblPr>
        <w:tblStyle w:val="4"/>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119"/>
        <w:gridCol w:w="1663"/>
        <w:gridCol w:w="1732"/>
        <w:gridCol w:w="1929"/>
        <w:gridCol w:w="1052"/>
        <w:gridCol w:w="1027"/>
      </w:tblGrid>
      <w:tr w14:paraId="52F6676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67" w:type="pct"/>
            <w:vMerge w:val="restart"/>
            <w:tcBorders>
              <w:top w:val="single" w:color="auto" w:sz="12" w:space="0"/>
              <w:bottom w:val="single" w:color="auto" w:sz="4" w:space="0"/>
            </w:tcBorders>
            <w:shd w:val="clear" w:color="000000" w:fill="FFFFFF"/>
            <w:noWrap/>
            <w:vAlign w:val="center"/>
          </w:tcPr>
          <w:p w14:paraId="132734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b/>
                <w:bCs/>
                <w:color w:val="auto"/>
                <w:sz w:val="20"/>
                <w:szCs w:val="20"/>
                <w:highlight w:val="none"/>
              </w:rPr>
              <w:t>Variable</w:t>
            </w:r>
          </w:p>
        </w:tc>
        <w:tc>
          <w:tcPr>
            <w:tcW w:w="920" w:type="pct"/>
            <w:vMerge w:val="restart"/>
            <w:tcBorders>
              <w:top w:val="single" w:color="auto" w:sz="12" w:space="0"/>
              <w:bottom w:val="single" w:color="auto" w:sz="4" w:space="0"/>
            </w:tcBorders>
            <w:shd w:val="clear" w:color="000000" w:fill="FFFFFF"/>
            <w:noWrap/>
            <w:vAlign w:val="center"/>
          </w:tcPr>
          <w:p w14:paraId="6D4EDE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cs="Times New Roman"/>
                <w:b/>
                <w:bCs/>
                <w:color w:val="auto"/>
                <w:sz w:val="20"/>
                <w:szCs w:val="20"/>
                <w:highlight w:val="none"/>
                <w:lang w:val="en-US" w:eastAsia="zh-CN"/>
              </w:rPr>
              <w:t>Time Point</w:t>
            </w:r>
          </w:p>
        </w:tc>
        <w:tc>
          <w:tcPr>
            <w:tcW w:w="2169" w:type="pct"/>
            <w:gridSpan w:val="2"/>
            <w:tcBorders>
              <w:top w:val="single" w:color="auto" w:sz="12" w:space="0"/>
              <w:bottom w:val="single" w:color="auto" w:sz="4" w:space="0"/>
            </w:tcBorders>
            <w:shd w:val="clear" w:color="000000" w:fill="FFFFFF"/>
            <w:noWrap/>
            <w:vAlign w:val="center"/>
          </w:tcPr>
          <w:p w14:paraId="12C778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eastAsia="宋体" w:cs="Times New Roman"/>
                <w:b/>
                <w:bCs/>
                <w:color w:val="auto"/>
                <w:kern w:val="2"/>
                <w:sz w:val="20"/>
                <w:szCs w:val="20"/>
                <w:lang w:val="en-US" w:eastAsia="zh-CN" w:bidi="ar"/>
              </w:rPr>
              <w:t>Group</w:t>
            </w:r>
          </w:p>
        </w:tc>
        <w:tc>
          <w:tcPr>
            <w:tcW w:w="628" w:type="pct"/>
            <w:vMerge w:val="restart"/>
            <w:tcBorders>
              <w:top w:val="single" w:color="auto" w:sz="12" w:space="0"/>
              <w:bottom w:val="single" w:color="auto" w:sz="4" w:space="0"/>
            </w:tcBorders>
            <w:shd w:val="clear" w:color="000000" w:fill="FFFFFF"/>
            <w:noWrap/>
            <w:vAlign w:val="center"/>
          </w:tcPr>
          <w:p w14:paraId="3A4C5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b/>
                <w:bCs/>
                <w:i/>
                <w:iCs/>
                <w:color w:val="auto"/>
                <w:sz w:val="20"/>
                <w:szCs w:val="20"/>
                <w:highlight w:val="none"/>
              </w:rPr>
              <w:t>t/Z</w:t>
            </w:r>
          </w:p>
        </w:tc>
        <w:tc>
          <w:tcPr>
            <w:tcW w:w="613" w:type="pct"/>
            <w:vMerge w:val="restart"/>
            <w:tcBorders>
              <w:top w:val="single" w:color="auto" w:sz="12" w:space="0"/>
              <w:bottom w:val="single" w:color="auto" w:sz="4" w:space="0"/>
            </w:tcBorders>
            <w:shd w:val="clear" w:color="000000" w:fill="FFFFFF"/>
            <w:noWrap/>
            <w:vAlign w:val="center"/>
          </w:tcPr>
          <w:p w14:paraId="150D64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b/>
                <w:bCs/>
                <w:i/>
                <w:iCs/>
                <w:color w:val="auto"/>
                <w:sz w:val="20"/>
                <w:szCs w:val="20"/>
                <w:highlight w:val="none"/>
              </w:rPr>
              <w:t>P</w:t>
            </w:r>
          </w:p>
        </w:tc>
      </w:tr>
      <w:tr w14:paraId="39C6000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67" w:type="pct"/>
            <w:vMerge w:val="continue"/>
            <w:tcBorders>
              <w:top w:val="single" w:color="auto" w:sz="4" w:space="0"/>
              <w:bottom w:val="single" w:color="auto" w:sz="4" w:space="0"/>
            </w:tcBorders>
            <w:vAlign w:val="center"/>
          </w:tcPr>
          <w:p w14:paraId="5C86DD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p>
        </w:tc>
        <w:tc>
          <w:tcPr>
            <w:tcW w:w="920" w:type="pct"/>
            <w:vMerge w:val="continue"/>
            <w:tcBorders>
              <w:top w:val="single" w:color="auto" w:sz="4" w:space="0"/>
              <w:bottom w:val="single" w:color="auto" w:sz="4" w:space="0"/>
            </w:tcBorders>
            <w:vAlign w:val="center"/>
          </w:tcPr>
          <w:p w14:paraId="2F2CE0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p>
        </w:tc>
        <w:tc>
          <w:tcPr>
            <w:tcW w:w="1027" w:type="pct"/>
            <w:tcBorders>
              <w:top w:val="single" w:color="auto" w:sz="4" w:space="0"/>
              <w:bottom w:val="single" w:color="auto" w:sz="4" w:space="0"/>
            </w:tcBorders>
            <w:shd w:val="clear" w:color="000000" w:fill="FFFFFF"/>
            <w:noWrap/>
            <w:vAlign w:val="center"/>
          </w:tcPr>
          <w:p w14:paraId="06F83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eastAsia="宋体" w:cs="Times New Roman"/>
                <w:b/>
                <w:bCs/>
                <w:color w:val="auto"/>
                <w:kern w:val="2"/>
                <w:sz w:val="20"/>
                <w:szCs w:val="20"/>
                <w:lang w:val="en-US" w:eastAsia="zh-CN" w:bidi="ar"/>
              </w:rPr>
              <w:t>taVNS(n=40)</w:t>
            </w:r>
          </w:p>
        </w:tc>
        <w:tc>
          <w:tcPr>
            <w:tcW w:w="1141" w:type="pct"/>
            <w:tcBorders>
              <w:top w:val="single" w:color="auto" w:sz="4" w:space="0"/>
              <w:bottom w:val="single" w:color="auto" w:sz="4" w:space="0"/>
            </w:tcBorders>
            <w:shd w:val="clear" w:color="000000" w:fill="FFFFFF"/>
            <w:noWrap/>
            <w:vAlign w:val="center"/>
          </w:tcPr>
          <w:p w14:paraId="37EFB5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eastAsia="宋体" w:cs="Times New Roman"/>
                <w:b/>
                <w:bCs/>
                <w:color w:val="auto"/>
                <w:kern w:val="2"/>
                <w:sz w:val="20"/>
                <w:szCs w:val="20"/>
                <w:lang w:val="en-US" w:eastAsia="zh-CN" w:bidi="ar"/>
              </w:rPr>
              <w:t>sham-taVNS(n=40)</w:t>
            </w:r>
          </w:p>
        </w:tc>
        <w:tc>
          <w:tcPr>
            <w:tcW w:w="628" w:type="pct"/>
            <w:vMerge w:val="continue"/>
            <w:tcBorders>
              <w:top w:val="single" w:color="auto" w:sz="4" w:space="0"/>
              <w:bottom w:val="single" w:color="auto" w:sz="4" w:space="0"/>
            </w:tcBorders>
            <w:vAlign w:val="center"/>
          </w:tcPr>
          <w:p w14:paraId="5CD963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p>
        </w:tc>
        <w:tc>
          <w:tcPr>
            <w:tcW w:w="613" w:type="pct"/>
            <w:vMerge w:val="continue"/>
            <w:tcBorders>
              <w:top w:val="single" w:color="auto" w:sz="4" w:space="0"/>
              <w:bottom w:val="single" w:color="auto" w:sz="4" w:space="0"/>
            </w:tcBorders>
            <w:vAlign w:val="center"/>
          </w:tcPr>
          <w:p w14:paraId="5D4508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p>
        </w:tc>
      </w:tr>
      <w:tr w14:paraId="240BB44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667" w:type="pct"/>
            <w:vMerge w:val="restart"/>
            <w:tcBorders>
              <w:top w:val="single" w:color="auto" w:sz="4" w:space="0"/>
            </w:tcBorders>
            <w:shd w:val="clear" w:color="000000" w:fill="FFFFFF"/>
            <w:noWrap/>
            <w:vAlign w:val="center"/>
          </w:tcPr>
          <w:p w14:paraId="41026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HAMD-17</w:t>
            </w:r>
          </w:p>
        </w:tc>
        <w:tc>
          <w:tcPr>
            <w:tcW w:w="920" w:type="pct"/>
            <w:tcBorders>
              <w:top w:val="single" w:color="auto" w:sz="4" w:space="0"/>
              <w:bottom w:val="nil"/>
            </w:tcBorders>
            <w:shd w:val="clear" w:color="000000" w:fill="FFFFFF"/>
            <w:noWrap/>
            <w:vAlign w:val="center"/>
          </w:tcPr>
          <w:p w14:paraId="39E87A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Pre-intervention</w:t>
            </w:r>
          </w:p>
        </w:tc>
        <w:tc>
          <w:tcPr>
            <w:tcW w:w="1027" w:type="pct"/>
            <w:tcBorders>
              <w:top w:val="single" w:color="auto" w:sz="4" w:space="0"/>
              <w:bottom w:val="nil"/>
            </w:tcBorders>
            <w:shd w:val="clear" w:color="auto" w:fill="auto"/>
            <w:noWrap/>
            <w:vAlign w:val="bottom"/>
          </w:tcPr>
          <w:p w14:paraId="358EAB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18.92±3.22</w:t>
            </w:r>
          </w:p>
        </w:tc>
        <w:tc>
          <w:tcPr>
            <w:tcW w:w="1141" w:type="pct"/>
            <w:tcBorders>
              <w:top w:val="single" w:color="auto" w:sz="4" w:space="0"/>
              <w:bottom w:val="nil"/>
            </w:tcBorders>
            <w:shd w:val="clear" w:color="auto" w:fill="auto"/>
            <w:noWrap/>
            <w:vAlign w:val="bottom"/>
          </w:tcPr>
          <w:p w14:paraId="2C0F92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18.05±3.84</w:t>
            </w:r>
          </w:p>
        </w:tc>
        <w:tc>
          <w:tcPr>
            <w:tcW w:w="628" w:type="pct"/>
            <w:tcBorders>
              <w:top w:val="single" w:color="auto" w:sz="4" w:space="0"/>
              <w:bottom w:val="nil"/>
            </w:tcBorders>
            <w:shd w:val="clear" w:color="000000" w:fill="FFFFFF"/>
            <w:noWrap/>
            <w:vAlign w:val="center"/>
          </w:tcPr>
          <w:p w14:paraId="43163B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1.101</w:t>
            </w:r>
          </w:p>
        </w:tc>
        <w:tc>
          <w:tcPr>
            <w:tcW w:w="613" w:type="pct"/>
            <w:tcBorders>
              <w:top w:val="single" w:color="auto" w:sz="4" w:space="0"/>
              <w:bottom w:val="nil"/>
            </w:tcBorders>
            <w:shd w:val="clear" w:color="000000" w:fill="FFFFFF"/>
            <w:noWrap/>
            <w:vAlign w:val="center"/>
          </w:tcPr>
          <w:p w14:paraId="0AB344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0.099</w:t>
            </w:r>
          </w:p>
        </w:tc>
      </w:tr>
      <w:tr w14:paraId="7807A9A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667" w:type="pct"/>
            <w:vMerge w:val="continue"/>
            <w:shd w:val="clear" w:color="000000" w:fill="FFFFFF"/>
            <w:noWrap/>
            <w:vAlign w:val="center"/>
          </w:tcPr>
          <w:p w14:paraId="475254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p>
        </w:tc>
        <w:tc>
          <w:tcPr>
            <w:tcW w:w="920" w:type="pct"/>
            <w:tcBorders>
              <w:top w:val="nil"/>
            </w:tcBorders>
            <w:shd w:val="clear" w:color="000000" w:fill="FFFFFF"/>
            <w:noWrap/>
            <w:vAlign w:val="center"/>
          </w:tcPr>
          <w:p w14:paraId="30A210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cs="Times New Roman"/>
                <w:color w:val="auto"/>
                <w:sz w:val="20"/>
                <w:szCs w:val="20"/>
                <w:highlight w:val="none"/>
                <w:lang w:val="en-US" w:eastAsia="zh-CN"/>
              </w:rPr>
              <w:t>Post-intervention</w:t>
            </w:r>
          </w:p>
        </w:tc>
        <w:tc>
          <w:tcPr>
            <w:tcW w:w="1027" w:type="pct"/>
            <w:tcBorders>
              <w:top w:val="nil"/>
            </w:tcBorders>
            <w:shd w:val="clear" w:color="auto" w:fill="auto"/>
            <w:noWrap/>
            <w:vAlign w:val="bottom"/>
          </w:tcPr>
          <w:p w14:paraId="641E69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eastAsia="zh-CN"/>
              </w:rPr>
            </w:pPr>
            <w:r>
              <w:rPr>
                <w:rFonts w:hint="default" w:ascii="Times New Roman" w:hAnsi="Times New Roman" w:cs="Times New Roman"/>
                <w:color w:val="auto"/>
                <w:sz w:val="20"/>
                <w:szCs w:val="20"/>
                <w:highlight w:val="none"/>
              </w:rPr>
              <w:t>8.30±2.71</w:t>
            </w:r>
            <w:r>
              <w:rPr>
                <w:rFonts w:hint="default" w:ascii="Times New Roman" w:hAnsi="Times New Roman" w:cs="Times New Roman"/>
                <w:color w:val="auto"/>
                <w:sz w:val="20"/>
                <w:szCs w:val="20"/>
                <w:highlight w:val="none"/>
                <w:vertAlign w:val="superscript"/>
                <w:lang w:val="en-US" w:eastAsia="zh-CN"/>
              </w:rPr>
              <w:t>a</w:t>
            </w:r>
          </w:p>
        </w:tc>
        <w:tc>
          <w:tcPr>
            <w:tcW w:w="1141" w:type="pct"/>
            <w:tcBorders>
              <w:top w:val="nil"/>
            </w:tcBorders>
            <w:shd w:val="clear" w:color="auto" w:fill="auto"/>
            <w:noWrap/>
            <w:vAlign w:val="bottom"/>
          </w:tcPr>
          <w:p w14:paraId="2B5CE9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10.95±3.15</w:t>
            </w:r>
            <w:r>
              <w:rPr>
                <w:rFonts w:hint="default" w:ascii="Times New Roman" w:hAnsi="Times New Roman" w:cs="Times New Roman"/>
                <w:color w:val="auto"/>
                <w:sz w:val="20"/>
                <w:szCs w:val="20"/>
                <w:highlight w:val="none"/>
                <w:vertAlign w:val="superscript"/>
                <w:lang w:val="en-US" w:eastAsia="zh-CN"/>
              </w:rPr>
              <w:t>a</w:t>
            </w:r>
          </w:p>
        </w:tc>
        <w:tc>
          <w:tcPr>
            <w:tcW w:w="628" w:type="pct"/>
            <w:tcBorders>
              <w:top w:val="nil"/>
            </w:tcBorders>
            <w:shd w:val="clear" w:color="000000" w:fill="FFFFFF"/>
            <w:noWrap/>
            <w:vAlign w:val="center"/>
          </w:tcPr>
          <w:p w14:paraId="3B8C2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4.025</w:t>
            </w:r>
          </w:p>
        </w:tc>
        <w:tc>
          <w:tcPr>
            <w:tcW w:w="613" w:type="pct"/>
            <w:tcBorders>
              <w:top w:val="nil"/>
            </w:tcBorders>
            <w:shd w:val="clear" w:color="000000" w:fill="FFFFFF"/>
            <w:noWrap/>
            <w:vAlign w:val="center"/>
          </w:tcPr>
          <w:p w14:paraId="4E86E6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&lt;0.001</w:t>
            </w:r>
            <w:r>
              <w:rPr>
                <w:rFonts w:hint="default" w:ascii="Times New Roman" w:hAnsi="Times New Roman" w:cs="Times New Roman"/>
                <w:color w:val="auto"/>
                <w:sz w:val="20"/>
                <w:szCs w:val="20"/>
                <w:highlight w:val="none"/>
                <w:vertAlign w:val="superscript"/>
                <w:lang w:val="en-US" w:eastAsia="zh-CN"/>
              </w:rPr>
              <w:t>b</w:t>
            </w:r>
          </w:p>
        </w:tc>
      </w:tr>
      <w:tr w14:paraId="4D24B625">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667" w:type="pct"/>
            <w:vMerge w:val="restart"/>
            <w:shd w:val="clear" w:color="000000" w:fill="FFFFFF"/>
            <w:noWrap/>
            <w:vAlign w:val="center"/>
          </w:tcPr>
          <w:p w14:paraId="574C0F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HAMA-14</w:t>
            </w:r>
          </w:p>
        </w:tc>
        <w:tc>
          <w:tcPr>
            <w:tcW w:w="920" w:type="pct"/>
            <w:shd w:val="clear" w:color="000000" w:fill="FFFFFF"/>
            <w:noWrap/>
            <w:vAlign w:val="center"/>
          </w:tcPr>
          <w:p w14:paraId="251640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cs="Times New Roman"/>
                <w:color w:val="auto"/>
                <w:sz w:val="20"/>
                <w:szCs w:val="20"/>
                <w:highlight w:val="none"/>
                <w:lang w:val="en-US" w:eastAsia="zh-CN"/>
              </w:rPr>
              <w:t>Pre-intervention</w:t>
            </w:r>
          </w:p>
        </w:tc>
        <w:tc>
          <w:tcPr>
            <w:tcW w:w="1027" w:type="pct"/>
            <w:shd w:val="clear" w:color="auto" w:fill="auto"/>
            <w:noWrap/>
            <w:vAlign w:val="bottom"/>
          </w:tcPr>
          <w:p w14:paraId="4E28B3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14.90±3.84</w:t>
            </w:r>
          </w:p>
        </w:tc>
        <w:tc>
          <w:tcPr>
            <w:tcW w:w="1141" w:type="pct"/>
            <w:shd w:val="clear" w:color="auto" w:fill="auto"/>
            <w:noWrap/>
            <w:vAlign w:val="bottom"/>
          </w:tcPr>
          <w:p w14:paraId="1AAA49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14.15±3.36</w:t>
            </w:r>
          </w:p>
        </w:tc>
        <w:tc>
          <w:tcPr>
            <w:tcW w:w="628" w:type="pct"/>
            <w:shd w:val="clear" w:color="000000" w:fill="FFFFFF"/>
            <w:noWrap/>
            <w:vAlign w:val="center"/>
          </w:tcPr>
          <w:p w14:paraId="4F46F8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0.929</w:t>
            </w:r>
          </w:p>
        </w:tc>
        <w:tc>
          <w:tcPr>
            <w:tcW w:w="613" w:type="pct"/>
            <w:shd w:val="clear" w:color="000000" w:fill="FFFFFF"/>
            <w:noWrap/>
            <w:vAlign w:val="center"/>
          </w:tcPr>
          <w:p w14:paraId="3E87A8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0.401</w:t>
            </w:r>
          </w:p>
        </w:tc>
      </w:tr>
      <w:tr w14:paraId="2B406BAD">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667" w:type="pct"/>
            <w:vMerge w:val="continue"/>
            <w:shd w:val="clear" w:color="000000" w:fill="FFFFFF"/>
            <w:noWrap/>
            <w:vAlign w:val="center"/>
          </w:tcPr>
          <w:p w14:paraId="7672F8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p>
        </w:tc>
        <w:tc>
          <w:tcPr>
            <w:tcW w:w="1663" w:type="dxa"/>
            <w:shd w:val="clear" w:color="000000" w:fill="FFFFFF"/>
            <w:noWrap/>
            <w:vAlign w:val="center"/>
          </w:tcPr>
          <w:p w14:paraId="502F27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lang w:val="en-US" w:eastAsia="zh-CN"/>
              </w:rPr>
              <w:t>Post-intervention</w:t>
            </w:r>
          </w:p>
        </w:tc>
        <w:tc>
          <w:tcPr>
            <w:tcW w:w="1027" w:type="pct"/>
            <w:shd w:val="clear" w:color="auto" w:fill="auto"/>
            <w:noWrap/>
            <w:vAlign w:val="bottom"/>
          </w:tcPr>
          <w:p w14:paraId="2617DF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7.90±2.97</w:t>
            </w:r>
            <w:r>
              <w:rPr>
                <w:rFonts w:hint="default" w:ascii="Times New Roman" w:hAnsi="Times New Roman" w:cs="Times New Roman"/>
                <w:color w:val="auto"/>
                <w:sz w:val="20"/>
                <w:szCs w:val="20"/>
                <w:highlight w:val="none"/>
                <w:vertAlign w:val="superscript"/>
                <w:lang w:val="en-US" w:eastAsia="zh-CN"/>
              </w:rPr>
              <w:t>a</w:t>
            </w:r>
          </w:p>
        </w:tc>
        <w:tc>
          <w:tcPr>
            <w:tcW w:w="1141" w:type="pct"/>
            <w:shd w:val="clear" w:color="auto" w:fill="auto"/>
            <w:noWrap/>
            <w:vAlign w:val="bottom"/>
          </w:tcPr>
          <w:p w14:paraId="5C5946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9.42±3.43</w:t>
            </w:r>
            <w:r>
              <w:rPr>
                <w:rFonts w:hint="default" w:ascii="Times New Roman" w:hAnsi="Times New Roman" w:cs="Times New Roman"/>
                <w:color w:val="auto"/>
                <w:sz w:val="20"/>
                <w:szCs w:val="20"/>
                <w:highlight w:val="none"/>
                <w:vertAlign w:val="superscript"/>
                <w:lang w:val="en-US" w:eastAsia="zh-CN"/>
              </w:rPr>
              <w:t>a</w:t>
            </w:r>
          </w:p>
        </w:tc>
        <w:tc>
          <w:tcPr>
            <w:tcW w:w="628" w:type="pct"/>
            <w:shd w:val="clear" w:color="000000" w:fill="FFFFFF"/>
            <w:noWrap/>
            <w:vAlign w:val="center"/>
          </w:tcPr>
          <w:p w14:paraId="55B0EC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2.122</w:t>
            </w:r>
          </w:p>
        </w:tc>
        <w:tc>
          <w:tcPr>
            <w:tcW w:w="613" w:type="pct"/>
            <w:shd w:val="clear" w:color="000000" w:fill="FFFFFF"/>
            <w:noWrap/>
            <w:vAlign w:val="center"/>
          </w:tcPr>
          <w:p w14:paraId="4301CF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0.037</w:t>
            </w:r>
            <w:r>
              <w:rPr>
                <w:rFonts w:hint="default" w:ascii="Times New Roman" w:hAnsi="Times New Roman" w:cs="Times New Roman"/>
                <w:color w:val="auto"/>
                <w:sz w:val="20"/>
                <w:szCs w:val="20"/>
                <w:highlight w:val="none"/>
                <w:vertAlign w:val="superscript"/>
                <w:lang w:val="en-US" w:eastAsia="zh-CN"/>
              </w:rPr>
              <w:t>b</w:t>
            </w:r>
          </w:p>
        </w:tc>
      </w:tr>
      <w:tr w14:paraId="5DAC2CCA">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667" w:type="pct"/>
            <w:vMerge w:val="restart"/>
            <w:shd w:val="clear" w:color="000000" w:fill="FFFFFF"/>
            <w:noWrap/>
            <w:vAlign w:val="center"/>
          </w:tcPr>
          <w:p w14:paraId="6B1B10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r>
              <w:rPr>
                <w:rFonts w:hint="default" w:ascii="Times New Roman" w:hAnsi="Times New Roman" w:cs="Times New Roman"/>
                <w:color w:val="auto"/>
                <w:sz w:val="20"/>
                <w:szCs w:val="20"/>
                <w:highlight w:val="none"/>
              </w:rPr>
              <w:t>GSRS</w:t>
            </w:r>
          </w:p>
        </w:tc>
        <w:tc>
          <w:tcPr>
            <w:tcW w:w="920" w:type="pct"/>
            <w:shd w:val="clear" w:color="000000" w:fill="FFFFFF"/>
            <w:noWrap/>
            <w:vAlign w:val="center"/>
          </w:tcPr>
          <w:p w14:paraId="7908A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eastAsia="宋体" w:cs="Times New Roman"/>
                <w:color w:val="auto"/>
                <w:kern w:val="2"/>
                <w:sz w:val="20"/>
                <w:szCs w:val="20"/>
                <w:highlight w:val="none"/>
                <w:lang w:val="en-US" w:eastAsia="zh-CN" w:bidi="ar-SA"/>
              </w:rPr>
            </w:pPr>
            <w:r>
              <w:rPr>
                <w:rFonts w:hint="default" w:ascii="Times New Roman" w:hAnsi="Times New Roman" w:cs="Times New Roman"/>
                <w:color w:val="auto"/>
                <w:sz w:val="20"/>
                <w:szCs w:val="20"/>
                <w:highlight w:val="none"/>
                <w:lang w:val="en-US" w:eastAsia="zh-CN"/>
              </w:rPr>
              <w:t>Pre-intervention</w:t>
            </w:r>
          </w:p>
        </w:tc>
        <w:tc>
          <w:tcPr>
            <w:tcW w:w="1027" w:type="pct"/>
            <w:shd w:val="clear" w:color="auto" w:fill="auto"/>
            <w:noWrap/>
            <w:vAlign w:val="bottom"/>
          </w:tcPr>
          <w:p w14:paraId="1A4C46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12.0</w:t>
            </w:r>
            <w:r>
              <w:rPr>
                <w:rFonts w:hint="default" w:ascii="Times New Roman" w:hAnsi="Times New Roman" w:cs="Times New Roman"/>
                <w:color w:val="auto"/>
                <w:sz w:val="20"/>
                <w:szCs w:val="20"/>
                <w:highlight w:val="none"/>
                <w:lang w:val="en-US" w:eastAsia="zh-CN"/>
              </w:rPr>
              <w:t xml:space="preserve"> (</w:t>
            </w:r>
            <w:r>
              <w:rPr>
                <w:rFonts w:hint="default" w:ascii="Times New Roman" w:hAnsi="Times New Roman" w:cs="Times New Roman"/>
                <w:color w:val="auto"/>
                <w:sz w:val="20"/>
                <w:szCs w:val="20"/>
                <w:highlight w:val="none"/>
              </w:rPr>
              <w:t>8.25-14.75</w:t>
            </w:r>
            <w:r>
              <w:rPr>
                <w:rFonts w:hint="default" w:ascii="Times New Roman" w:hAnsi="Times New Roman" w:cs="Times New Roman"/>
                <w:color w:val="auto"/>
                <w:sz w:val="20"/>
                <w:szCs w:val="20"/>
                <w:highlight w:val="none"/>
                <w:lang w:val="en-US" w:eastAsia="zh-CN"/>
              </w:rPr>
              <w:t>)</w:t>
            </w:r>
          </w:p>
        </w:tc>
        <w:tc>
          <w:tcPr>
            <w:tcW w:w="1141" w:type="pct"/>
            <w:shd w:val="clear" w:color="auto" w:fill="auto"/>
            <w:noWrap/>
            <w:vAlign w:val="center"/>
          </w:tcPr>
          <w:p w14:paraId="1CBBFC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11.0</w:t>
            </w:r>
            <w:r>
              <w:rPr>
                <w:rFonts w:hint="default" w:ascii="Times New Roman" w:hAnsi="Times New Roman" w:cs="Times New Roman"/>
                <w:color w:val="auto"/>
                <w:sz w:val="20"/>
                <w:szCs w:val="20"/>
                <w:highlight w:val="none"/>
                <w:lang w:val="en-US" w:eastAsia="zh-CN"/>
              </w:rPr>
              <w:t xml:space="preserve"> (</w:t>
            </w:r>
            <w:r>
              <w:rPr>
                <w:rFonts w:hint="default" w:ascii="Times New Roman" w:hAnsi="Times New Roman" w:cs="Times New Roman"/>
                <w:color w:val="auto"/>
                <w:sz w:val="20"/>
                <w:szCs w:val="20"/>
                <w:highlight w:val="none"/>
              </w:rPr>
              <w:t>8.0-13.75</w:t>
            </w:r>
            <w:r>
              <w:rPr>
                <w:rFonts w:hint="default" w:ascii="Times New Roman" w:hAnsi="Times New Roman" w:cs="Times New Roman"/>
                <w:color w:val="auto"/>
                <w:sz w:val="20"/>
                <w:szCs w:val="20"/>
                <w:highlight w:val="none"/>
                <w:lang w:val="en-US" w:eastAsia="zh-CN"/>
              </w:rPr>
              <w:t>)</w:t>
            </w:r>
          </w:p>
        </w:tc>
        <w:tc>
          <w:tcPr>
            <w:tcW w:w="628" w:type="pct"/>
            <w:shd w:val="clear" w:color="000000" w:fill="FFFFFF"/>
            <w:noWrap/>
            <w:vAlign w:val="center"/>
          </w:tcPr>
          <w:p w14:paraId="4E05A6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-0.903</w:t>
            </w:r>
          </w:p>
        </w:tc>
        <w:tc>
          <w:tcPr>
            <w:tcW w:w="613" w:type="pct"/>
            <w:shd w:val="clear" w:color="000000" w:fill="FFFFFF"/>
            <w:noWrap/>
            <w:vAlign w:val="center"/>
          </w:tcPr>
          <w:p w14:paraId="5533D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0.367</w:t>
            </w:r>
          </w:p>
        </w:tc>
      </w:tr>
      <w:tr w14:paraId="52D532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667" w:type="pct"/>
            <w:vMerge w:val="continue"/>
            <w:tcBorders>
              <w:bottom w:val="single" w:color="auto" w:sz="12" w:space="0"/>
            </w:tcBorders>
            <w:shd w:val="clear" w:color="000000" w:fill="FFFFFF"/>
            <w:noWrap/>
            <w:vAlign w:val="center"/>
          </w:tcPr>
          <w:p w14:paraId="25AD93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rPr>
            </w:pPr>
          </w:p>
        </w:tc>
        <w:tc>
          <w:tcPr>
            <w:tcW w:w="1663" w:type="dxa"/>
            <w:tcBorders>
              <w:bottom w:val="single" w:color="auto" w:sz="12" w:space="0"/>
            </w:tcBorders>
            <w:shd w:val="clear" w:color="000000" w:fill="FFFFFF"/>
            <w:noWrap/>
            <w:vAlign w:val="center"/>
          </w:tcPr>
          <w:p w14:paraId="75C84B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leftChars="0" w:right="0" w:rightChars="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lang w:val="en-US" w:eastAsia="zh-CN"/>
              </w:rPr>
              <w:t>Post-intervention</w:t>
            </w:r>
          </w:p>
        </w:tc>
        <w:tc>
          <w:tcPr>
            <w:tcW w:w="1027" w:type="pct"/>
            <w:tcBorders>
              <w:bottom w:val="single" w:color="auto" w:sz="12" w:space="0"/>
            </w:tcBorders>
            <w:shd w:val="clear" w:color="auto" w:fill="auto"/>
            <w:noWrap/>
            <w:vAlign w:val="bottom"/>
          </w:tcPr>
          <w:p w14:paraId="4802BD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7.0</w:t>
            </w:r>
            <w:r>
              <w:rPr>
                <w:rFonts w:hint="default" w:ascii="Times New Roman" w:hAnsi="Times New Roman" w:cs="Times New Roman"/>
                <w:color w:val="auto"/>
                <w:sz w:val="20"/>
                <w:szCs w:val="20"/>
                <w:highlight w:val="none"/>
                <w:lang w:val="en-US" w:eastAsia="zh-CN"/>
              </w:rPr>
              <w:t xml:space="preserve"> (</w:t>
            </w:r>
            <w:r>
              <w:rPr>
                <w:rFonts w:hint="default" w:ascii="Times New Roman" w:hAnsi="Times New Roman" w:cs="Times New Roman"/>
                <w:color w:val="auto"/>
                <w:sz w:val="20"/>
                <w:szCs w:val="20"/>
                <w:highlight w:val="none"/>
              </w:rPr>
              <w:t>4.25-9.0</w:t>
            </w:r>
            <w:r>
              <w:rPr>
                <w:rFonts w:hint="default" w:ascii="Times New Roman" w:hAnsi="Times New Roman" w:cs="Times New Roman"/>
                <w:color w:val="auto"/>
                <w:sz w:val="20"/>
                <w:szCs w:val="20"/>
                <w:highlight w:val="none"/>
                <w:lang w:val="en-US" w:eastAsia="zh-CN"/>
              </w:rPr>
              <w:t>)</w:t>
            </w:r>
            <w:r>
              <w:rPr>
                <w:rFonts w:hint="default" w:ascii="Times New Roman" w:hAnsi="Times New Roman" w:cs="Times New Roman"/>
                <w:color w:val="auto"/>
                <w:sz w:val="20"/>
                <w:szCs w:val="20"/>
                <w:highlight w:val="none"/>
                <w:vertAlign w:val="superscript"/>
                <w:lang w:val="en-US" w:eastAsia="zh-CN"/>
              </w:rPr>
              <w:t>a</w:t>
            </w:r>
          </w:p>
        </w:tc>
        <w:tc>
          <w:tcPr>
            <w:tcW w:w="1141" w:type="pct"/>
            <w:tcBorders>
              <w:bottom w:val="single" w:color="auto" w:sz="12" w:space="0"/>
            </w:tcBorders>
            <w:shd w:val="clear" w:color="auto" w:fill="auto"/>
            <w:noWrap/>
            <w:vAlign w:val="center"/>
          </w:tcPr>
          <w:p w14:paraId="7CEC9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6.0</w:t>
            </w:r>
            <w:r>
              <w:rPr>
                <w:rFonts w:hint="default" w:ascii="Times New Roman" w:hAnsi="Times New Roman" w:cs="Times New Roman"/>
                <w:color w:val="auto"/>
                <w:sz w:val="20"/>
                <w:szCs w:val="20"/>
                <w:highlight w:val="none"/>
                <w:lang w:val="en-US" w:eastAsia="zh-CN"/>
              </w:rPr>
              <w:t xml:space="preserve"> (</w:t>
            </w:r>
            <w:r>
              <w:rPr>
                <w:rFonts w:hint="default" w:ascii="Times New Roman" w:hAnsi="Times New Roman" w:cs="Times New Roman"/>
                <w:color w:val="auto"/>
                <w:sz w:val="20"/>
                <w:szCs w:val="20"/>
                <w:highlight w:val="none"/>
              </w:rPr>
              <w:t>5.0-10.75</w:t>
            </w:r>
            <w:r>
              <w:rPr>
                <w:rFonts w:hint="default" w:ascii="Times New Roman" w:hAnsi="Times New Roman" w:cs="Times New Roman"/>
                <w:color w:val="auto"/>
                <w:sz w:val="20"/>
                <w:szCs w:val="20"/>
                <w:highlight w:val="none"/>
                <w:lang w:val="en-US" w:eastAsia="zh-CN"/>
              </w:rPr>
              <w:t>)</w:t>
            </w:r>
            <w:r>
              <w:rPr>
                <w:rFonts w:hint="default" w:ascii="Times New Roman" w:hAnsi="Times New Roman" w:cs="Times New Roman"/>
                <w:color w:val="auto"/>
                <w:sz w:val="20"/>
                <w:szCs w:val="20"/>
                <w:highlight w:val="none"/>
                <w:vertAlign w:val="superscript"/>
                <w:lang w:val="en-US" w:eastAsia="zh-CN"/>
              </w:rPr>
              <w:t>a</w:t>
            </w:r>
          </w:p>
        </w:tc>
        <w:tc>
          <w:tcPr>
            <w:tcW w:w="628" w:type="pct"/>
            <w:tcBorders>
              <w:bottom w:val="single" w:color="auto" w:sz="12" w:space="0"/>
            </w:tcBorders>
            <w:shd w:val="clear" w:color="000000" w:fill="FFFFFF"/>
            <w:noWrap/>
            <w:vAlign w:val="center"/>
          </w:tcPr>
          <w:p w14:paraId="331E88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0.271</w:t>
            </w:r>
          </w:p>
        </w:tc>
        <w:tc>
          <w:tcPr>
            <w:tcW w:w="613" w:type="pct"/>
            <w:tcBorders>
              <w:bottom w:val="single" w:color="auto" w:sz="12" w:space="0"/>
            </w:tcBorders>
            <w:shd w:val="clear" w:color="000000" w:fill="FFFFFF"/>
            <w:noWrap/>
            <w:vAlign w:val="center"/>
          </w:tcPr>
          <w:p w14:paraId="57EA5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s="Times New Roman"/>
                <w:color w:val="auto"/>
                <w:sz w:val="20"/>
                <w:szCs w:val="20"/>
                <w:highlight w:val="none"/>
                <w:lang w:val="en-US" w:eastAsia="zh-CN"/>
              </w:rPr>
            </w:pPr>
            <w:r>
              <w:rPr>
                <w:rFonts w:hint="default" w:ascii="Times New Roman" w:hAnsi="Times New Roman" w:cs="Times New Roman"/>
                <w:color w:val="auto"/>
                <w:sz w:val="20"/>
                <w:szCs w:val="20"/>
                <w:highlight w:val="none"/>
              </w:rPr>
              <w:t>0.787</w:t>
            </w:r>
          </w:p>
        </w:tc>
      </w:tr>
    </w:tbl>
    <w:p w14:paraId="2249EEFA">
      <w:pPr>
        <w:rPr>
          <w:rFonts w:ascii="Times New Roman" w:hAnsi="Times New Roman"/>
          <w:i/>
          <w:iCs/>
          <w:color w:val="auto"/>
          <w:sz w:val="18"/>
          <w:szCs w:val="21"/>
          <w:highlight w:val="none"/>
        </w:rPr>
      </w:pPr>
      <w:r>
        <w:rPr>
          <w:rFonts w:ascii="Times New Roman" w:hAnsi="Times New Roman"/>
          <w:i/>
          <w:iCs/>
          <w:color w:val="auto"/>
          <w:sz w:val="18"/>
          <w:szCs w:val="21"/>
          <w:highlight w:val="none"/>
          <w:vertAlign w:val="superscript"/>
        </w:rPr>
        <w:t>a</w:t>
      </w:r>
      <w:r>
        <w:rPr>
          <w:rFonts w:hint="eastAsia" w:ascii="Times New Roman" w:hAnsi="Times New Roman"/>
          <w:i/>
          <w:iCs/>
          <w:color w:val="auto"/>
          <w:sz w:val="18"/>
          <w:szCs w:val="21"/>
          <w:highlight w:val="none"/>
        </w:rPr>
        <w:t>Compared to the pre-intervention within the same group, P &lt; 0.05</w:t>
      </w:r>
      <w:r>
        <w:rPr>
          <w:rFonts w:ascii="Times New Roman" w:hAnsi="Times New Roman"/>
          <w:i/>
          <w:iCs/>
          <w:color w:val="auto"/>
          <w:sz w:val="18"/>
          <w:szCs w:val="21"/>
          <w:highlight w:val="none"/>
        </w:rPr>
        <w:t>.</w:t>
      </w:r>
    </w:p>
    <w:p w14:paraId="4D32AD88">
      <w:pPr>
        <w:spacing w:line="360" w:lineRule="auto"/>
        <w:rPr>
          <w:rFonts w:hint="eastAsia" w:ascii="Times New Roman" w:hAnsi="Times New Roman"/>
          <w:color w:val="auto"/>
          <w:szCs w:val="21"/>
          <w:highlight w:val="none"/>
        </w:rPr>
      </w:pPr>
      <w:r>
        <w:rPr>
          <w:rFonts w:ascii="Times New Roman" w:hAnsi="Times New Roman"/>
          <w:i/>
          <w:iCs/>
          <w:color w:val="auto"/>
          <w:sz w:val="18"/>
          <w:szCs w:val="21"/>
          <w:highlight w:val="none"/>
          <w:vertAlign w:val="superscript"/>
        </w:rPr>
        <w:t>b</w:t>
      </w:r>
      <w:r>
        <w:rPr>
          <w:rFonts w:hint="eastAsia" w:ascii="Times New Roman" w:hAnsi="Times New Roman"/>
          <w:i/>
          <w:iCs/>
          <w:color w:val="auto"/>
          <w:sz w:val="18"/>
          <w:szCs w:val="21"/>
          <w:highlight w:val="none"/>
        </w:rPr>
        <w:t>Compared to the post-intervention in the control group, P &lt; 0.05.</w:t>
      </w:r>
    </w:p>
    <w:p w14:paraId="4F8F9EFC">
      <w:pPr>
        <w:spacing w:line="360" w:lineRule="auto"/>
        <w:ind w:firstLine="400" w:firstLineChars="200"/>
        <w:rPr>
          <w:rFonts w:hint="eastAsia" w:ascii="Times New Roman" w:hAnsi="Times New Roman"/>
          <w:color w:val="auto"/>
          <w:sz w:val="20"/>
          <w:szCs w:val="22"/>
          <w:lang w:val="en-US" w:eastAsia="zh-CN"/>
        </w:rPr>
      </w:pPr>
    </w:p>
    <w:p w14:paraId="5F057A5F">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eastAsia="宋体"/>
          <w:b w:val="0"/>
          <w:bCs w:val="0"/>
          <w:color w:val="auto"/>
          <w:sz w:val="20"/>
          <w:szCs w:val="20"/>
          <w:lang w:val="en-US" w:eastAsia="zh-CN"/>
        </w:rPr>
      </w:pPr>
      <w:r>
        <w:rPr>
          <w:rFonts w:hint="default" w:ascii="Times New Roman" w:hAnsi="Times New Roman" w:cs="Times New Roman"/>
          <w:b/>
          <w:bCs/>
          <w:color w:val="auto"/>
          <w:sz w:val="18"/>
          <w:szCs w:val="18"/>
          <w:highlight w:val="none"/>
        </w:rPr>
        <w:t xml:space="preserve">eTable </w:t>
      </w:r>
      <w:r>
        <w:rPr>
          <w:rFonts w:hint="eastAsia" w:ascii="Times New Roman" w:hAnsi="Times New Roman" w:cs="Times New Roman"/>
          <w:b/>
          <w:bCs/>
          <w:color w:val="auto"/>
          <w:sz w:val="18"/>
          <w:szCs w:val="18"/>
          <w:highlight w:val="none"/>
          <w:lang w:val="en-US" w:eastAsia="zh-CN"/>
        </w:rPr>
        <w:t>2</w:t>
      </w:r>
      <w:r>
        <w:rPr>
          <w:rFonts w:hint="eastAsia" w:ascii="Times New Roman" w:hAnsi="Times New Roman"/>
          <w:b/>
          <w:bCs/>
          <w:color w:val="auto"/>
          <w:sz w:val="20"/>
          <w:szCs w:val="20"/>
          <w:highlight w:val="none"/>
        </w:rPr>
        <w:t xml:space="preserve"> | </w:t>
      </w:r>
      <w:r>
        <w:rPr>
          <w:rFonts w:hint="eastAsia" w:ascii="Times New Roman" w:hAnsi="Times New Roman"/>
          <w:b w:val="0"/>
          <w:bCs w:val="0"/>
          <w:color w:val="auto"/>
          <w:sz w:val="20"/>
          <w:szCs w:val="20"/>
          <w:highlight w:val="none"/>
        </w:rPr>
        <w:t>Comparison of Response Rates and Clinical Remission Rates Between the Two Groups</w:t>
      </w:r>
    </w:p>
    <w:tbl>
      <w:tblPr>
        <w:tblStyle w:val="4"/>
        <w:tblpPr w:leftFromText="180" w:rightFromText="180" w:vertAnchor="text" w:horzAnchor="page" w:tblpX="1823" w:tblpY="19"/>
        <w:tblOverlap w:val="never"/>
        <w:tblW w:w="5000" w:type="pct"/>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436"/>
        <w:gridCol w:w="2209"/>
        <w:gridCol w:w="2361"/>
        <w:gridCol w:w="827"/>
        <w:gridCol w:w="689"/>
      </w:tblGrid>
      <w:tr w14:paraId="2E1BCC8F">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29" w:type="pct"/>
            <w:vMerge w:val="restart"/>
            <w:tcBorders>
              <w:top w:val="single" w:color="auto" w:sz="12" w:space="0"/>
              <w:bottom w:val="single" w:color="auto" w:sz="4" w:space="0"/>
            </w:tcBorders>
            <w:shd w:val="clear" w:color="000000" w:fill="FFFFFF"/>
            <w:noWrap/>
            <w:vAlign w:val="center"/>
          </w:tcPr>
          <w:p w14:paraId="5389AF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eastAsia="宋体"/>
                <w:b/>
                <w:bCs/>
                <w:color w:val="auto"/>
                <w:sz w:val="21"/>
                <w:szCs w:val="21"/>
                <w:lang w:eastAsia="zh-CN"/>
              </w:rPr>
            </w:pPr>
            <w:r>
              <w:rPr>
                <w:rFonts w:hint="eastAsia" w:ascii="Times New Roman" w:hAnsi="Times New Roman"/>
                <w:b/>
                <w:bCs/>
                <w:color w:val="auto"/>
                <w:sz w:val="21"/>
                <w:szCs w:val="21"/>
              </w:rPr>
              <w:t>HAMD-17</w:t>
            </w:r>
          </w:p>
          <w:p w14:paraId="6EBCCB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b/>
                <w:bCs/>
                <w:color w:val="auto"/>
                <w:szCs w:val="21"/>
                <w:highlight w:val="none"/>
              </w:rPr>
              <w:t xml:space="preserve">response </w:t>
            </w:r>
            <w:r>
              <w:rPr>
                <w:rFonts w:hint="eastAsia" w:ascii="Times New Roman" w:hAnsi="Times New Roman"/>
                <w:b/>
                <w:bCs/>
                <w:color w:val="auto"/>
                <w:sz w:val="21"/>
                <w:szCs w:val="21"/>
              </w:rPr>
              <w:t>/</w:t>
            </w:r>
            <w:r>
              <w:rPr>
                <w:rFonts w:hint="eastAsia" w:ascii="Times New Roman" w:hAnsi="Times New Roman"/>
                <w:b/>
                <w:bCs/>
                <w:color w:val="auto"/>
                <w:szCs w:val="21"/>
                <w:highlight w:val="none"/>
              </w:rPr>
              <w:t>remission rate</w:t>
            </w:r>
            <w:r>
              <w:rPr>
                <w:rFonts w:hint="eastAsia" w:ascii="Times New Roman" w:hAnsi="Times New Roman"/>
                <w:color w:val="auto"/>
                <w:szCs w:val="21"/>
                <w:highlight w:val="none"/>
              </w:rPr>
              <w:t xml:space="preserve"> </w:t>
            </w:r>
          </w:p>
        </w:tc>
        <w:tc>
          <w:tcPr>
            <w:tcW w:w="2681" w:type="pct"/>
            <w:gridSpan w:val="2"/>
            <w:tcBorders>
              <w:top w:val="single" w:color="auto" w:sz="12" w:space="0"/>
              <w:bottom w:val="single" w:color="auto" w:sz="4" w:space="0"/>
            </w:tcBorders>
            <w:shd w:val="clear" w:color="000000" w:fill="FFFFFF"/>
            <w:noWrap/>
            <w:vAlign w:val="center"/>
          </w:tcPr>
          <w:p w14:paraId="330B0CC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b/>
                <w:bCs/>
                <w:color w:val="auto"/>
                <w:szCs w:val="21"/>
                <w:highlight w:val="none"/>
                <w:lang w:val="en-US" w:eastAsia="zh-CN"/>
              </w:rPr>
              <w:t>G</w:t>
            </w:r>
            <w:r>
              <w:rPr>
                <w:rFonts w:hint="eastAsia" w:ascii="Times New Roman" w:hAnsi="Times New Roman"/>
                <w:b/>
                <w:bCs/>
                <w:color w:val="auto"/>
                <w:szCs w:val="21"/>
                <w:highlight w:val="none"/>
              </w:rPr>
              <w:t>roup</w:t>
            </w:r>
          </w:p>
        </w:tc>
        <w:tc>
          <w:tcPr>
            <w:tcW w:w="485" w:type="pct"/>
            <w:vMerge w:val="restart"/>
            <w:tcBorders>
              <w:top w:val="single" w:color="auto" w:sz="12" w:space="0"/>
              <w:bottom w:val="single" w:color="auto" w:sz="4" w:space="0"/>
            </w:tcBorders>
            <w:shd w:val="clear" w:color="000000" w:fill="FFFFFF"/>
            <w:noWrap/>
            <w:vAlign w:val="center"/>
          </w:tcPr>
          <w:p w14:paraId="3B0C1DA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default" w:ascii="Times New Roman" w:hAnsi="Times New Roman"/>
                <w:i/>
                <w:iCs/>
                <w:color w:val="auto"/>
                <w:sz w:val="21"/>
                <w:szCs w:val="21"/>
              </w:rPr>
              <w:t>X</w:t>
            </w:r>
            <w:r>
              <w:rPr>
                <w:rFonts w:hint="default" w:ascii="Times New Roman" w:hAnsi="Times New Roman"/>
                <w:i/>
                <w:iCs/>
                <w:color w:val="auto"/>
                <w:sz w:val="21"/>
                <w:szCs w:val="21"/>
                <w:vertAlign w:val="superscript"/>
              </w:rPr>
              <w:t>2</w:t>
            </w:r>
          </w:p>
        </w:tc>
        <w:tc>
          <w:tcPr>
            <w:tcW w:w="404" w:type="pct"/>
            <w:vMerge w:val="restart"/>
            <w:tcBorders>
              <w:top w:val="single" w:color="auto" w:sz="12" w:space="0"/>
              <w:bottom w:val="single" w:color="auto" w:sz="4" w:space="0"/>
            </w:tcBorders>
            <w:shd w:val="clear" w:color="000000" w:fill="FFFFFF"/>
            <w:noWrap/>
            <w:vAlign w:val="center"/>
          </w:tcPr>
          <w:p w14:paraId="040084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i/>
                <w:iCs/>
                <w:color w:val="auto"/>
                <w:sz w:val="21"/>
                <w:szCs w:val="21"/>
              </w:rPr>
              <w:t>P</w:t>
            </w:r>
          </w:p>
        </w:tc>
      </w:tr>
      <w:tr w14:paraId="6FB5D91C">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29" w:type="pct"/>
            <w:vMerge w:val="continue"/>
            <w:tcBorders>
              <w:top w:val="single" w:color="auto" w:sz="4" w:space="0"/>
              <w:bottom w:val="single" w:color="auto" w:sz="4" w:space="0"/>
            </w:tcBorders>
            <w:vAlign w:val="center"/>
          </w:tcPr>
          <w:p w14:paraId="129F8BF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p>
        </w:tc>
        <w:tc>
          <w:tcPr>
            <w:tcW w:w="1296" w:type="pct"/>
            <w:tcBorders>
              <w:top w:val="single" w:color="auto" w:sz="4" w:space="0"/>
              <w:bottom w:val="single" w:color="auto" w:sz="4" w:space="0"/>
            </w:tcBorders>
            <w:shd w:val="clear" w:color="000000" w:fill="FFFFFF"/>
            <w:noWrap/>
            <w:vAlign w:val="center"/>
          </w:tcPr>
          <w:p w14:paraId="0089EB0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eastAsia="宋体" w:cs="宋体"/>
                <w:b/>
                <w:bCs/>
                <w:color w:val="auto"/>
                <w:kern w:val="2"/>
                <w:sz w:val="21"/>
                <w:szCs w:val="21"/>
                <w:lang w:val="en-US" w:eastAsia="zh-CN" w:bidi="ar"/>
              </w:rPr>
              <w:t>taVNS(</w:t>
            </w:r>
            <w:r>
              <w:rPr>
                <w:rFonts w:hint="default" w:ascii="Times New Roman" w:hAnsi="Times New Roman" w:eastAsia="宋体" w:cs="Times New Roman"/>
                <w:b/>
                <w:bCs/>
                <w:color w:val="auto"/>
                <w:kern w:val="2"/>
                <w:sz w:val="21"/>
                <w:szCs w:val="21"/>
                <w:lang w:val="en-US" w:eastAsia="zh-CN" w:bidi="ar"/>
              </w:rPr>
              <w:t>n=40</w:t>
            </w:r>
            <w:r>
              <w:rPr>
                <w:rFonts w:hint="eastAsia" w:ascii="Times New Roman" w:hAnsi="Times New Roman" w:eastAsia="宋体" w:cs="Times New Roman"/>
                <w:b/>
                <w:bCs/>
                <w:color w:val="auto"/>
                <w:kern w:val="2"/>
                <w:sz w:val="21"/>
                <w:szCs w:val="21"/>
                <w:lang w:val="en-US" w:eastAsia="zh-CN" w:bidi="ar"/>
              </w:rPr>
              <w:t>)</w:t>
            </w:r>
          </w:p>
        </w:tc>
        <w:tc>
          <w:tcPr>
            <w:tcW w:w="1384" w:type="pct"/>
            <w:tcBorders>
              <w:top w:val="single" w:color="auto" w:sz="4" w:space="0"/>
              <w:bottom w:val="single" w:color="auto" w:sz="4" w:space="0"/>
            </w:tcBorders>
            <w:shd w:val="clear" w:color="000000" w:fill="FFFFFF"/>
            <w:noWrap/>
            <w:vAlign w:val="center"/>
          </w:tcPr>
          <w:p w14:paraId="727DD5E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eastAsia="宋体" w:cs="宋体"/>
                <w:b/>
                <w:bCs/>
                <w:color w:val="auto"/>
                <w:kern w:val="2"/>
                <w:sz w:val="21"/>
                <w:szCs w:val="21"/>
                <w:lang w:val="en-US" w:eastAsia="zh-CN" w:bidi="ar"/>
              </w:rPr>
              <w:t>sham-taVNS(</w:t>
            </w:r>
            <w:r>
              <w:rPr>
                <w:rFonts w:hint="default" w:ascii="Times New Roman" w:hAnsi="Times New Roman" w:eastAsia="宋体" w:cs="Times New Roman"/>
                <w:b/>
                <w:bCs/>
                <w:color w:val="auto"/>
                <w:kern w:val="2"/>
                <w:sz w:val="21"/>
                <w:szCs w:val="21"/>
                <w:lang w:val="en-US" w:eastAsia="zh-CN" w:bidi="ar"/>
              </w:rPr>
              <w:t>n=40</w:t>
            </w:r>
            <w:r>
              <w:rPr>
                <w:rFonts w:hint="eastAsia" w:ascii="Times New Roman" w:hAnsi="Times New Roman" w:eastAsia="宋体" w:cs="Times New Roman"/>
                <w:b/>
                <w:bCs/>
                <w:color w:val="auto"/>
                <w:kern w:val="2"/>
                <w:sz w:val="21"/>
                <w:szCs w:val="21"/>
                <w:lang w:val="en-US" w:eastAsia="zh-CN" w:bidi="ar"/>
              </w:rPr>
              <w:t>)</w:t>
            </w:r>
          </w:p>
        </w:tc>
        <w:tc>
          <w:tcPr>
            <w:tcW w:w="485" w:type="pct"/>
            <w:vMerge w:val="continue"/>
            <w:tcBorders>
              <w:top w:val="single" w:color="auto" w:sz="4" w:space="0"/>
              <w:bottom w:val="single" w:color="auto" w:sz="4" w:space="0"/>
            </w:tcBorders>
            <w:vAlign w:val="center"/>
          </w:tcPr>
          <w:p w14:paraId="0598E5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p>
        </w:tc>
        <w:tc>
          <w:tcPr>
            <w:tcW w:w="404" w:type="pct"/>
            <w:vMerge w:val="continue"/>
            <w:tcBorders>
              <w:top w:val="single" w:color="auto" w:sz="4" w:space="0"/>
              <w:bottom w:val="single" w:color="auto" w:sz="4" w:space="0"/>
            </w:tcBorders>
            <w:vAlign w:val="center"/>
          </w:tcPr>
          <w:p w14:paraId="02C2707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p>
        </w:tc>
      </w:tr>
      <w:tr w14:paraId="34E88799">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29" w:type="pct"/>
            <w:tcBorders>
              <w:top w:val="single" w:color="auto" w:sz="4" w:space="0"/>
              <w:bottom w:val="nil"/>
            </w:tcBorders>
            <w:shd w:val="clear" w:color="000000" w:fill="FFFFFF"/>
            <w:noWrap/>
            <w:vAlign w:val="center"/>
          </w:tcPr>
          <w:p w14:paraId="1B86DFD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default" w:ascii="Times New Roman" w:hAnsi="Times New Roman"/>
                <w:color w:val="auto"/>
                <w:sz w:val="21"/>
                <w:szCs w:val="21"/>
              </w:rPr>
              <w:t>Response</w:t>
            </w:r>
          </w:p>
        </w:tc>
        <w:tc>
          <w:tcPr>
            <w:tcW w:w="1296" w:type="pct"/>
            <w:tcBorders>
              <w:top w:val="single" w:color="auto" w:sz="4" w:space="0"/>
              <w:bottom w:val="nil"/>
            </w:tcBorders>
            <w:shd w:val="clear" w:color="000000" w:fill="FFFFFF"/>
            <w:noWrap/>
            <w:vAlign w:val="center"/>
          </w:tcPr>
          <w:p w14:paraId="237549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25（62.50%）</w:t>
            </w:r>
          </w:p>
        </w:tc>
        <w:tc>
          <w:tcPr>
            <w:tcW w:w="1384" w:type="pct"/>
            <w:tcBorders>
              <w:top w:val="single" w:color="auto" w:sz="4" w:space="0"/>
              <w:bottom w:val="nil"/>
            </w:tcBorders>
            <w:shd w:val="clear" w:color="000000" w:fill="FFFFFF"/>
            <w:noWrap/>
            <w:vAlign w:val="center"/>
          </w:tcPr>
          <w:p w14:paraId="49B14C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12（30.00%）</w:t>
            </w:r>
          </w:p>
        </w:tc>
        <w:tc>
          <w:tcPr>
            <w:tcW w:w="485" w:type="pct"/>
            <w:vMerge w:val="restart"/>
            <w:tcBorders>
              <w:top w:val="single" w:color="auto" w:sz="4" w:space="0"/>
            </w:tcBorders>
            <w:shd w:val="clear" w:color="000000" w:fill="FFFFFF"/>
            <w:noWrap/>
            <w:vAlign w:val="center"/>
          </w:tcPr>
          <w:p w14:paraId="2A91B22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8.495</w:t>
            </w:r>
          </w:p>
        </w:tc>
        <w:tc>
          <w:tcPr>
            <w:tcW w:w="404" w:type="pct"/>
            <w:vMerge w:val="restart"/>
            <w:tcBorders>
              <w:top w:val="single" w:color="auto" w:sz="4" w:space="0"/>
            </w:tcBorders>
            <w:shd w:val="clear" w:color="000000" w:fill="FFFFFF"/>
            <w:noWrap/>
            <w:vAlign w:val="center"/>
          </w:tcPr>
          <w:p w14:paraId="5B6605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0.004</w:t>
            </w:r>
          </w:p>
        </w:tc>
      </w:tr>
      <w:tr w14:paraId="06BCBA68">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29" w:type="pct"/>
            <w:tcBorders>
              <w:top w:val="nil"/>
              <w:bottom w:val="nil"/>
            </w:tcBorders>
            <w:shd w:val="clear" w:color="000000" w:fill="FFFFFF"/>
            <w:noWrap/>
            <w:vAlign w:val="center"/>
          </w:tcPr>
          <w:p w14:paraId="396023A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default" w:ascii="Times New Roman" w:hAnsi="Times New Roman"/>
                <w:color w:val="auto"/>
                <w:sz w:val="21"/>
                <w:szCs w:val="21"/>
              </w:rPr>
              <w:t>Non-response</w:t>
            </w:r>
          </w:p>
        </w:tc>
        <w:tc>
          <w:tcPr>
            <w:tcW w:w="1296" w:type="pct"/>
            <w:tcBorders>
              <w:top w:val="nil"/>
              <w:bottom w:val="nil"/>
            </w:tcBorders>
            <w:shd w:val="clear" w:color="000000" w:fill="FFFFFF"/>
            <w:noWrap/>
            <w:vAlign w:val="center"/>
          </w:tcPr>
          <w:p w14:paraId="132F3F6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15（37.50%）</w:t>
            </w:r>
          </w:p>
        </w:tc>
        <w:tc>
          <w:tcPr>
            <w:tcW w:w="1384" w:type="pct"/>
            <w:tcBorders>
              <w:top w:val="nil"/>
              <w:bottom w:val="nil"/>
            </w:tcBorders>
            <w:shd w:val="clear" w:color="000000" w:fill="FFFFFF"/>
            <w:noWrap/>
            <w:vAlign w:val="center"/>
          </w:tcPr>
          <w:p w14:paraId="1ACBB0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28（70.00%）</w:t>
            </w:r>
          </w:p>
        </w:tc>
        <w:tc>
          <w:tcPr>
            <w:tcW w:w="485" w:type="pct"/>
            <w:vMerge w:val="continue"/>
            <w:tcBorders>
              <w:bottom w:val="nil"/>
            </w:tcBorders>
            <w:shd w:val="clear" w:color="000000" w:fill="FFFFFF"/>
            <w:noWrap/>
            <w:vAlign w:val="center"/>
          </w:tcPr>
          <w:p w14:paraId="72314F2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p>
        </w:tc>
        <w:tc>
          <w:tcPr>
            <w:tcW w:w="404" w:type="pct"/>
            <w:vMerge w:val="continue"/>
            <w:tcBorders>
              <w:bottom w:val="nil"/>
            </w:tcBorders>
            <w:shd w:val="clear" w:color="000000" w:fill="FFFFFF"/>
            <w:noWrap/>
            <w:vAlign w:val="center"/>
          </w:tcPr>
          <w:p w14:paraId="7E5729A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p>
        </w:tc>
      </w:tr>
      <w:tr w14:paraId="57836F96">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29" w:type="pct"/>
            <w:shd w:val="clear" w:color="000000" w:fill="FFFFFF"/>
            <w:noWrap/>
            <w:vAlign w:val="center"/>
          </w:tcPr>
          <w:p w14:paraId="0FAEBC6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default" w:ascii="Times New Roman" w:hAnsi="Times New Roman"/>
                <w:color w:val="auto"/>
                <w:sz w:val="21"/>
                <w:szCs w:val="21"/>
              </w:rPr>
              <w:t>Remission</w:t>
            </w:r>
          </w:p>
        </w:tc>
        <w:tc>
          <w:tcPr>
            <w:tcW w:w="1296" w:type="pct"/>
            <w:shd w:val="clear" w:color="000000" w:fill="FFFFFF"/>
            <w:noWrap/>
            <w:vAlign w:val="center"/>
          </w:tcPr>
          <w:p w14:paraId="03A0B39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14（35.00%）</w:t>
            </w:r>
          </w:p>
        </w:tc>
        <w:tc>
          <w:tcPr>
            <w:tcW w:w="1384" w:type="pct"/>
            <w:shd w:val="clear" w:color="000000" w:fill="FFFFFF"/>
            <w:noWrap/>
            <w:vAlign w:val="center"/>
          </w:tcPr>
          <w:p w14:paraId="0EB9FBC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1（2.50%）</w:t>
            </w:r>
          </w:p>
        </w:tc>
        <w:tc>
          <w:tcPr>
            <w:tcW w:w="485" w:type="pct"/>
            <w:vMerge w:val="restart"/>
            <w:shd w:val="clear" w:color="000000" w:fill="FFFFFF"/>
            <w:noWrap/>
            <w:vAlign w:val="center"/>
          </w:tcPr>
          <w:p w14:paraId="79E8D45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olor w:val="auto"/>
                <w:sz w:val="21"/>
                <w:szCs w:val="21"/>
                <w:lang w:val="en-US" w:eastAsia="zh-CN"/>
              </w:rPr>
            </w:pPr>
            <w:r>
              <w:rPr>
                <w:rFonts w:hint="eastAsia" w:ascii="Times New Roman" w:hAnsi="Times New Roman"/>
                <w:color w:val="auto"/>
                <w:sz w:val="21"/>
                <w:szCs w:val="21"/>
                <w:lang w:val="en-US" w:eastAsia="zh-CN"/>
              </w:rPr>
              <w:t>11.815</w:t>
            </w:r>
          </w:p>
        </w:tc>
        <w:tc>
          <w:tcPr>
            <w:tcW w:w="404" w:type="pct"/>
            <w:vMerge w:val="restart"/>
            <w:shd w:val="clear" w:color="000000" w:fill="FFFFFF"/>
            <w:noWrap/>
            <w:vAlign w:val="center"/>
          </w:tcPr>
          <w:p w14:paraId="0892A12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eastAsia="宋体"/>
                <w:color w:val="auto"/>
                <w:sz w:val="21"/>
                <w:szCs w:val="21"/>
                <w:lang w:eastAsia="zh-CN"/>
              </w:rPr>
            </w:pPr>
            <w:r>
              <w:rPr>
                <w:rFonts w:hint="eastAsia" w:ascii="Times New Roman" w:hAnsi="Times New Roman"/>
                <w:color w:val="auto"/>
                <w:sz w:val="21"/>
                <w:szCs w:val="21"/>
              </w:rPr>
              <w:t>0.00</w:t>
            </w:r>
            <w:r>
              <w:rPr>
                <w:rFonts w:hint="eastAsia" w:ascii="Times New Roman" w:hAnsi="Times New Roman"/>
                <w:color w:val="auto"/>
                <w:sz w:val="21"/>
                <w:szCs w:val="21"/>
                <w:lang w:val="en-US" w:eastAsia="zh-CN"/>
              </w:rPr>
              <w:t>1</w:t>
            </w:r>
          </w:p>
        </w:tc>
      </w:tr>
      <w:tr w14:paraId="03B92281">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429" w:type="pct"/>
            <w:tcBorders>
              <w:bottom w:val="single" w:color="auto" w:sz="12" w:space="0"/>
            </w:tcBorders>
            <w:shd w:val="clear" w:color="000000" w:fill="FFFFFF"/>
            <w:noWrap/>
            <w:vAlign w:val="center"/>
          </w:tcPr>
          <w:p w14:paraId="1015FDF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default" w:ascii="Times New Roman" w:hAnsi="Times New Roman"/>
                <w:color w:val="auto"/>
                <w:sz w:val="21"/>
                <w:szCs w:val="21"/>
              </w:rPr>
              <w:t>Non-remission</w:t>
            </w:r>
          </w:p>
        </w:tc>
        <w:tc>
          <w:tcPr>
            <w:tcW w:w="1296" w:type="pct"/>
            <w:tcBorders>
              <w:bottom w:val="single" w:color="auto" w:sz="12" w:space="0"/>
            </w:tcBorders>
            <w:shd w:val="clear" w:color="000000" w:fill="FFFFFF"/>
            <w:noWrap/>
            <w:vAlign w:val="center"/>
          </w:tcPr>
          <w:p w14:paraId="31B14D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26（65.00%）</w:t>
            </w:r>
          </w:p>
        </w:tc>
        <w:tc>
          <w:tcPr>
            <w:tcW w:w="1384" w:type="pct"/>
            <w:tcBorders>
              <w:bottom w:val="single" w:color="auto" w:sz="12" w:space="0"/>
            </w:tcBorders>
            <w:shd w:val="clear" w:color="000000" w:fill="FFFFFF"/>
            <w:noWrap/>
            <w:vAlign w:val="center"/>
          </w:tcPr>
          <w:p w14:paraId="070DE7F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r>
              <w:rPr>
                <w:rFonts w:hint="eastAsia" w:ascii="Times New Roman" w:hAnsi="Times New Roman"/>
                <w:color w:val="auto"/>
                <w:sz w:val="21"/>
                <w:szCs w:val="21"/>
              </w:rPr>
              <w:t>39（97.50%）</w:t>
            </w:r>
          </w:p>
        </w:tc>
        <w:tc>
          <w:tcPr>
            <w:tcW w:w="485" w:type="pct"/>
            <w:vMerge w:val="continue"/>
            <w:tcBorders>
              <w:bottom w:val="single" w:color="auto" w:sz="12" w:space="0"/>
            </w:tcBorders>
            <w:shd w:val="clear" w:color="000000" w:fill="FFFFFF"/>
            <w:noWrap/>
            <w:vAlign w:val="center"/>
          </w:tcPr>
          <w:p w14:paraId="3905667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p>
        </w:tc>
        <w:tc>
          <w:tcPr>
            <w:tcW w:w="404" w:type="pct"/>
            <w:vMerge w:val="continue"/>
            <w:tcBorders>
              <w:bottom w:val="single" w:color="auto" w:sz="12" w:space="0"/>
            </w:tcBorders>
            <w:shd w:val="clear" w:color="000000" w:fill="FFFFFF"/>
            <w:noWrap/>
            <w:vAlign w:val="center"/>
          </w:tcPr>
          <w:p w14:paraId="0F7D745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1"/>
                <w:szCs w:val="21"/>
              </w:rPr>
            </w:pPr>
          </w:p>
        </w:tc>
      </w:tr>
    </w:tbl>
    <w:p w14:paraId="26FA87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eastAsia" w:ascii="Times New Roman" w:hAnsi="Times New Roman" w:eastAsia="宋体"/>
          <w:color w:val="auto"/>
          <w:sz w:val="21"/>
          <w:szCs w:val="21"/>
          <w:lang w:val="en-US" w:eastAsia="zh-CN"/>
        </w:rPr>
      </w:pPr>
    </w:p>
    <w:p w14:paraId="52C591F8">
      <w:pPr>
        <w:keepNext w:val="0"/>
        <w:keepLines w:val="0"/>
        <w:pageBreakBefore w:val="0"/>
        <w:kinsoku/>
        <w:wordWrap/>
        <w:overflowPunct/>
        <w:topLinePunct w:val="0"/>
        <w:autoSpaceDE/>
        <w:autoSpaceDN/>
        <w:bidi w:val="0"/>
        <w:adjustRightInd/>
        <w:snapToGrid/>
        <w:spacing w:line="360" w:lineRule="auto"/>
        <w:ind w:firstLine="0"/>
        <w:jc w:val="center"/>
        <w:rPr>
          <w:rFonts w:hint="default" w:ascii="Times New Roman" w:hAnsi="Times New Roman" w:cs="Times New Roman"/>
          <w:color w:val="auto"/>
          <w:sz w:val="20"/>
          <w:szCs w:val="20"/>
        </w:rPr>
      </w:pPr>
      <w:r>
        <w:rPr>
          <w:rFonts w:hint="default" w:ascii="Times New Roman" w:hAnsi="Times New Roman" w:cs="Times New Roman"/>
          <w:b/>
          <w:bCs/>
          <w:color w:val="auto"/>
          <w:sz w:val="20"/>
          <w:szCs w:val="20"/>
          <w:highlight w:val="none"/>
        </w:rPr>
        <w:t xml:space="preserve">eTable </w:t>
      </w:r>
      <w:r>
        <w:rPr>
          <w:rFonts w:hint="eastAsia" w:ascii="Times New Roman" w:hAnsi="Times New Roman" w:cs="Times New Roman"/>
          <w:b/>
          <w:bCs/>
          <w:color w:val="auto"/>
          <w:sz w:val="20"/>
          <w:szCs w:val="20"/>
          <w:highlight w:val="none"/>
          <w:lang w:val="en-US" w:eastAsia="zh-CN"/>
        </w:rPr>
        <w:t>3</w:t>
      </w:r>
      <w:r>
        <w:rPr>
          <w:rFonts w:hint="default" w:ascii="Times New Roman" w:hAnsi="Times New Roman" w:cs="Times New Roman"/>
          <w:color w:val="auto"/>
          <w:sz w:val="20"/>
          <w:szCs w:val="20"/>
        </w:rPr>
        <w:t xml:space="preserve"> | Differences in ALFF and fALFF Between the Two Groups Pre and Post Intervention</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3"/>
        <w:gridCol w:w="1599"/>
        <w:gridCol w:w="2002"/>
        <w:gridCol w:w="646"/>
        <w:gridCol w:w="646"/>
        <w:gridCol w:w="654"/>
        <w:gridCol w:w="1026"/>
        <w:gridCol w:w="893"/>
      </w:tblGrid>
      <w:tr w14:paraId="765D1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vMerge w:val="restart"/>
            <w:tcBorders>
              <w:top w:val="single" w:color="auto" w:sz="12" w:space="0"/>
              <w:left w:val="nil"/>
              <w:right w:val="nil"/>
            </w:tcBorders>
            <w:shd w:val="clear" w:color="auto" w:fill="auto"/>
            <w:vAlign w:val="center"/>
          </w:tcPr>
          <w:p w14:paraId="39111A5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b/>
                <w:bCs/>
                <w:color w:val="auto"/>
                <w:sz w:val="20"/>
                <w:szCs w:val="20"/>
              </w:rPr>
            </w:pPr>
            <w:r>
              <w:rPr>
                <w:rFonts w:hint="default" w:ascii="Times New Roman" w:hAnsi="Times New Roman"/>
                <w:b/>
                <w:bCs/>
                <w:color w:val="auto"/>
                <w:sz w:val="20"/>
                <w:szCs w:val="20"/>
              </w:rPr>
              <w:t>Metric</w:t>
            </w:r>
          </w:p>
        </w:tc>
        <w:tc>
          <w:tcPr>
            <w:tcW w:w="938" w:type="pct"/>
            <w:vMerge w:val="restart"/>
            <w:tcBorders>
              <w:top w:val="single" w:color="auto" w:sz="12" w:space="0"/>
              <w:left w:val="nil"/>
              <w:bottom w:val="nil"/>
              <w:right w:val="nil"/>
            </w:tcBorders>
            <w:shd w:val="clear" w:color="auto" w:fill="auto"/>
            <w:vAlign w:val="center"/>
          </w:tcPr>
          <w:p w14:paraId="46522FD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b/>
                <w:bCs/>
                <w:color w:val="auto"/>
                <w:sz w:val="20"/>
                <w:szCs w:val="20"/>
              </w:rPr>
            </w:pPr>
            <w:r>
              <w:rPr>
                <w:rFonts w:hint="default" w:ascii="Times New Roman" w:hAnsi="Times New Roman"/>
                <w:b/>
                <w:bCs/>
                <w:color w:val="auto"/>
                <w:sz w:val="20"/>
                <w:szCs w:val="20"/>
              </w:rPr>
              <w:t>Functional connectivity</w:t>
            </w:r>
          </w:p>
        </w:tc>
        <w:tc>
          <w:tcPr>
            <w:tcW w:w="1175" w:type="pct"/>
            <w:vMerge w:val="restart"/>
            <w:tcBorders>
              <w:top w:val="single" w:color="auto" w:sz="12" w:space="0"/>
              <w:left w:val="nil"/>
              <w:bottom w:val="nil"/>
              <w:right w:val="nil"/>
            </w:tcBorders>
            <w:shd w:val="clear" w:color="auto" w:fill="auto"/>
            <w:vAlign w:val="center"/>
          </w:tcPr>
          <w:p w14:paraId="7C69650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b/>
                <w:bCs/>
                <w:color w:val="auto"/>
                <w:sz w:val="20"/>
                <w:szCs w:val="20"/>
              </w:rPr>
            </w:pPr>
            <w:r>
              <w:rPr>
                <w:rFonts w:hint="eastAsia" w:ascii="Times New Roman" w:hAnsi="Times New Roman"/>
                <w:b/>
                <w:bCs/>
                <w:color w:val="auto"/>
                <w:sz w:val="20"/>
                <w:szCs w:val="20"/>
              </w:rPr>
              <w:t>Brodmann Area</w:t>
            </w:r>
          </w:p>
        </w:tc>
        <w:tc>
          <w:tcPr>
            <w:tcW w:w="1142" w:type="pct"/>
            <w:gridSpan w:val="3"/>
            <w:tcBorders>
              <w:top w:val="single" w:color="auto" w:sz="12" w:space="0"/>
              <w:left w:val="nil"/>
              <w:bottom w:val="single" w:color="auto" w:sz="8" w:space="0"/>
              <w:right w:val="nil"/>
            </w:tcBorders>
            <w:shd w:val="clear" w:color="auto" w:fill="auto"/>
            <w:vAlign w:val="center"/>
          </w:tcPr>
          <w:p w14:paraId="17C0652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eastAsia="宋体"/>
                <w:b/>
                <w:bCs/>
                <w:color w:val="auto"/>
                <w:sz w:val="20"/>
                <w:szCs w:val="20"/>
                <w:lang w:val="en-US" w:eastAsia="zh-CN"/>
              </w:rPr>
            </w:pPr>
            <w:r>
              <w:rPr>
                <w:rFonts w:hint="eastAsia" w:ascii="Times New Roman" w:hAnsi="Times New Roman"/>
                <w:b/>
                <w:bCs/>
                <w:color w:val="auto"/>
                <w:sz w:val="20"/>
                <w:szCs w:val="20"/>
              </w:rPr>
              <w:t xml:space="preserve">MNI </w:t>
            </w:r>
            <w:r>
              <w:rPr>
                <w:rFonts w:hint="eastAsia" w:ascii="Times New Roman" w:hAnsi="Times New Roman"/>
                <w:b/>
                <w:bCs/>
                <w:color w:val="auto"/>
                <w:sz w:val="20"/>
                <w:szCs w:val="20"/>
                <w:lang w:val="en-US" w:eastAsia="zh-CN"/>
              </w:rPr>
              <w:t>Peak</w:t>
            </w:r>
          </w:p>
        </w:tc>
        <w:tc>
          <w:tcPr>
            <w:tcW w:w="602" w:type="pct"/>
            <w:vMerge w:val="restart"/>
            <w:tcBorders>
              <w:top w:val="single" w:color="auto" w:sz="12" w:space="0"/>
              <w:left w:val="nil"/>
              <w:bottom w:val="nil"/>
              <w:right w:val="nil"/>
            </w:tcBorders>
            <w:shd w:val="clear" w:color="auto" w:fill="auto"/>
            <w:vAlign w:val="center"/>
          </w:tcPr>
          <w:p w14:paraId="6CBF71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eastAsia="宋体"/>
                <w:b/>
                <w:bCs/>
                <w:color w:val="auto"/>
                <w:sz w:val="20"/>
                <w:szCs w:val="20"/>
                <w:lang w:val="en-US" w:eastAsia="zh-CN"/>
              </w:rPr>
            </w:pPr>
            <w:r>
              <w:rPr>
                <w:rFonts w:hint="default" w:ascii="Times New Roman" w:hAnsi="Times New Roman"/>
                <w:b/>
                <w:bCs/>
                <w:color w:val="auto"/>
                <w:sz w:val="20"/>
                <w:szCs w:val="20"/>
              </w:rPr>
              <w:t>Voxel</w:t>
            </w:r>
            <w:r>
              <w:rPr>
                <w:rFonts w:hint="eastAsia" w:ascii="Times New Roman" w:hAnsi="Times New Roman"/>
                <w:b/>
                <w:bCs/>
                <w:color w:val="auto"/>
                <w:sz w:val="20"/>
                <w:szCs w:val="20"/>
                <w:lang w:val="en-US" w:eastAsia="zh-CN"/>
              </w:rPr>
              <w:t xml:space="preserve"> Size</w:t>
            </w:r>
          </w:p>
        </w:tc>
        <w:tc>
          <w:tcPr>
            <w:tcW w:w="524" w:type="pct"/>
            <w:vMerge w:val="restart"/>
            <w:tcBorders>
              <w:top w:val="single" w:color="auto" w:sz="12" w:space="0"/>
              <w:left w:val="nil"/>
              <w:bottom w:val="nil"/>
              <w:right w:val="nil"/>
            </w:tcBorders>
            <w:shd w:val="clear" w:color="auto" w:fill="auto"/>
            <w:vAlign w:val="center"/>
          </w:tcPr>
          <w:p w14:paraId="3C3358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eastAsia="宋体"/>
                <w:b/>
                <w:bCs/>
                <w:color w:val="auto"/>
                <w:sz w:val="20"/>
                <w:szCs w:val="20"/>
                <w:lang w:val="en-US" w:eastAsia="zh-CN"/>
              </w:rPr>
            </w:pPr>
            <w:r>
              <w:rPr>
                <w:rFonts w:hint="eastAsia" w:ascii="Times New Roman" w:hAnsi="Times New Roman"/>
                <w:b/>
                <w:bCs/>
                <w:i/>
                <w:iCs/>
                <w:color w:val="auto"/>
                <w:sz w:val="20"/>
                <w:szCs w:val="20"/>
              </w:rPr>
              <w:t>F</w:t>
            </w:r>
            <w:r>
              <w:rPr>
                <w:rFonts w:hint="eastAsia" w:ascii="Times New Roman" w:hAnsi="Times New Roman"/>
                <w:b/>
                <w:bCs/>
                <w:i/>
                <w:iCs/>
                <w:color w:val="auto"/>
                <w:sz w:val="20"/>
                <w:szCs w:val="20"/>
                <w:lang w:val="en-US" w:eastAsia="zh-CN"/>
              </w:rPr>
              <w:t>-value</w:t>
            </w:r>
          </w:p>
        </w:tc>
      </w:tr>
      <w:tr w14:paraId="15635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vMerge w:val="continue"/>
            <w:tcBorders>
              <w:left w:val="nil"/>
              <w:bottom w:val="single" w:color="auto" w:sz="8" w:space="0"/>
              <w:right w:val="nil"/>
            </w:tcBorders>
            <w:shd w:val="clear" w:color="auto" w:fill="auto"/>
          </w:tcPr>
          <w:p w14:paraId="67D4AAB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p>
        </w:tc>
        <w:tc>
          <w:tcPr>
            <w:tcW w:w="938" w:type="pct"/>
            <w:vMerge w:val="continue"/>
            <w:tcBorders>
              <w:top w:val="nil"/>
              <w:left w:val="nil"/>
              <w:bottom w:val="single" w:color="auto" w:sz="8" w:space="0"/>
              <w:right w:val="nil"/>
            </w:tcBorders>
            <w:shd w:val="clear" w:color="auto" w:fill="auto"/>
          </w:tcPr>
          <w:p w14:paraId="6446747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p>
        </w:tc>
        <w:tc>
          <w:tcPr>
            <w:tcW w:w="1175" w:type="pct"/>
            <w:vMerge w:val="continue"/>
            <w:tcBorders>
              <w:top w:val="nil"/>
              <w:left w:val="nil"/>
              <w:bottom w:val="single" w:color="auto" w:sz="8" w:space="0"/>
              <w:right w:val="nil"/>
            </w:tcBorders>
            <w:shd w:val="clear" w:color="auto" w:fill="auto"/>
          </w:tcPr>
          <w:p w14:paraId="7F431D3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p>
        </w:tc>
        <w:tc>
          <w:tcPr>
            <w:tcW w:w="379" w:type="pct"/>
            <w:tcBorders>
              <w:top w:val="single" w:color="auto" w:sz="8" w:space="0"/>
              <w:left w:val="nil"/>
              <w:bottom w:val="single" w:color="auto" w:sz="8" w:space="0"/>
              <w:right w:val="nil"/>
            </w:tcBorders>
            <w:shd w:val="clear" w:color="auto" w:fill="auto"/>
          </w:tcPr>
          <w:p w14:paraId="664B152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b/>
                <w:bCs/>
                <w:color w:val="auto"/>
                <w:sz w:val="20"/>
                <w:szCs w:val="20"/>
              </w:rPr>
            </w:pPr>
            <w:r>
              <w:rPr>
                <w:rFonts w:hint="eastAsia" w:ascii="Times New Roman" w:hAnsi="Times New Roman"/>
                <w:b/>
                <w:bCs/>
                <w:color w:val="auto"/>
                <w:sz w:val="20"/>
                <w:szCs w:val="20"/>
              </w:rPr>
              <w:t>X</w:t>
            </w:r>
          </w:p>
        </w:tc>
        <w:tc>
          <w:tcPr>
            <w:tcW w:w="379" w:type="pct"/>
            <w:tcBorders>
              <w:top w:val="single" w:color="auto" w:sz="8" w:space="0"/>
              <w:left w:val="nil"/>
              <w:bottom w:val="single" w:color="auto" w:sz="8" w:space="0"/>
              <w:right w:val="nil"/>
            </w:tcBorders>
            <w:shd w:val="clear" w:color="auto" w:fill="auto"/>
          </w:tcPr>
          <w:p w14:paraId="5937FE0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b/>
                <w:bCs/>
                <w:color w:val="auto"/>
                <w:sz w:val="20"/>
                <w:szCs w:val="20"/>
              </w:rPr>
            </w:pPr>
            <w:r>
              <w:rPr>
                <w:rFonts w:hint="eastAsia" w:ascii="Times New Roman" w:hAnsi="Times New Roman"/>
                <w:b/>
                <w:bCs/>
                <w:color w:val="auto"/>
                <w:sz w:val="20"/>
                <w:szCs w:val="20"/>
              </w:rPr>
              <w:t>Y</w:t>
            </w:r>
          </w:p>
        </w:tc>
        <w:tc>
          <w:tcPr>
            <w:tcW w:w="383" w:type="pct"/>
            <w:tcBorders>
              <w:top w:val="single" w:color="auto" w:sz="8" w:space="0"/>
              <w:left w:val="nil"/>
              <w:bottom w:val="single" w:color="auto" w:sz="8" w:space="0"/>
              <w:right w:val="nil"/>
            </w:tcBorders>
            <w:shd w:val="clear" w:color="auto" w:fill="auto"/>
          </w:tcPr>
          <w:p w14:paraId="77AEE7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b/>
                <w:bCs/>
                <w:color w:val="auto"/>
                <w:sz w:val="20"/>
                <w:szCs w:val="20"/>
              </w:rPr>
            </w:pPr>
            <w:r>
              <w:rPr>
                <w:rFonts w:hint="eastAsia" w:ascii="Times New Roman" w:hAnsi="Times New Roman"/>
                <w:b/>
                <w:bCs/>
                <w:color w:val="auto"/>
                <w:sz w:val="20"/>
                <w:szCs w:val="20"/>
              </w:rPr>
              <w:t>Z</w:t>
            </w:r>
          </w:p>
        </w:tc>
        <w:tc>
          <w:tcPr>
            <w:tcW w:w="602" w:type="pct"/>
            <w:vMerge w:val="continue"/>
            <w:tcBorders>
              <w:top w:val="nil"/>
              <w:left w:val="nil"/>
              <w:bottom w:val="single" w:color="auto" w:sz="8" w:space="0"/>
              <w:right w:val="nil"/>
            </w:tcBorders>
            <w:shd w:val="clear" w:color="auto" w:fill="auto"/>
          </w:tcPr>
          <w:p w14:paraId="0F8F08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p>
        </w:tc>
        <w:tc>
          <w:tcPr>
            <w:tcW w:w="524" w:type="pct"/>
            <w:vMerge w:val="continue"/>
            <w:tcBorders>
              <w:top w:val="nil"/>
              <w:left w:val="nil"/>
              <w:bottom w:val="single" w:color="auto" w:sz="8" w:space="0"/>
              <w:right w:val="nil"/>
            </w:tcBorders>
            <w:shd w:val="clear" w:color="auto" w:fill="auto"/>
          </w:tcPr>
          <w:p w14:paraId="3870DC3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p>
        </w:tc>
      </w:tr>
      <w:tr w14:paraId="2A555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single" w:color="auto" w:sz="8" w:space="0"/>
              <w:left w:val="nil"/>
              <w:bottom w:val="nil"/>
              <w:right w:val="nil"/>
            </w:tcBorders>
            <w:shd w:val="clear" w:color="auto" w:fill="auto"/>
          </w:tcPr>
          <w:p w14:paraId="6A7946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rPr>
              <w:t>ALFF</w:t>
            </w:r>
          </w:p>
        </w:tc>
        <w:tc>
          <w:tcPr>
            <w:tcW w:w="938" w:type="pct"/>
            <w:tcBorders>
              <w:top w:val="single" w:color="auto" w:sz="8" w:space="0"/>
              <w:left w:val="nil"/>
              <w:bottom w:val="nil"/>
              <w:right w:val="nil"/>
            </w:tcBorders>
            <w:shd w:val="clear" w:color="auto" w:fill="auto"/>
          </w:tcPr>
          <w:p w14:paraId="4624D0B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highlight w:val="none"/>
              </w:rPr>
              <w:t>Occipital_Inf_R</w:t>
            </w:r>
          </w:p>
        </w:tc>
        <w:tc>
          <w:tcPr>
            <w:tcW w:w="1175" w:type="pct"/>
            <w:tcBorders>
              <w:top w:val="single" w:color="auto" w:sz="8" w:space="0"/>
              <w:left w:val="nil"/>
              <w:bottom w:val="nil"/>
              <w:right w:val="nil"/>
            </w:tcBorders>
            <w:shd w:val="clear" w:color="auto" w:fill="auto"/>
            <w:vAlign w:val="center"/>
          </w:tcPr>
          <w:p w14:paraId="2CFAC7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19</w:t>
            </w:r>
          </w:p>
        </w:tc>
        <w:tc>
          <w:tcPr>
            <w:tcW w:w="379" w:type="pct"/>
            <w:tcBorders>
              <w:top w:val="single" w:color="auto" w:sz="8" w:space="0"/>
              <w:left w:val="nil"/>
              <w:bottom w:val="nil"/>
              <w:right w:val="nil"/>
            </w:tcBorders>
            <w:shd w:val="clear" w:color="auto" w:fill="auto"/>
            <w:vAlign w:val="center"/>
          </w:tcPr>
          <w:p w14:paraId="292EB6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eastAsia="宋体"/>
                <w:color w:val="auto"/>
                <w:sz w:val="20"/>
                <w:szCs w:val="20"/>
                <w:lang w:val="en-US" w:eastAsia="zh-CN"/>
              </w:rPr>
            </w:pPr>
            <w:r>
              <w:rPr>
                <w:rFonts w:hint="eastAsia" w:ascii="Times New Roman" w:hAnsi="Times New Roman"/>
                <w:color w:val="auto"/>
                <w:sz w:val="20"/>
                <w:szCs w:val="20"/>
                <w:lang w:val="en-US" w:eastAsia="zh-CN"/>
              </w:rPr>
              <w:t>49</w:t>
            </w:r>
          </w:p>
        </w:tc>
        <w:tc>
          <w:tcPr>
            <w:tcW w:w="379" w:type="pct"/>
            <w:tcBorders>
              <w:top w:val="single" w:color="auto" w:sz="8" w:space="0"/>
              <w:left w:val="nil"/>
              <w:bottom w:val="nil"/>
              <w:right w:val="nil"/>
            </w:tcBorders>
            <w:shd w:val="clear" w:color="auto" w:fill="auto"/>
            <w:vAlign w:val="center"/>
          </w:tcPr>
          <w:p w14:paraId="4FAAF2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eastAsia" w:ascii="Times New Roman" w:hAnsi="Times New Roman" w:eastAsia="宋体"/>
                <w:color w:val="auto"/>
                <w:sz w:val="20"/>
                <w:szCs w:val="20"/>
                <w:lang w:eastAsia="zh-CN"/>
              </w:rPr>
            </w:pPr>
            <w:r>
              <w:rPr>
                <w:rFonts w:hint="eastAsia" w:ascii="Times New Roman" w:hAnsi="Times New Roman"/>
                <w:color w:val="auto"/>
                <w:kern w:val="0"/>
                <w:sz w:val="20"/>
                <w:szCs w:val="20"/>
                <w:lang w:bidi="ar"/>
              </w:rPr>
              <w:t>-7</w:t>
            </w:r>
            <w:r>
              <w:rPr>
                <w:rFonts w:hint="eastAsia" w:ascii="Times New Roman" w:hAnsi="Times New Roman"/>
                <w:color w:val="auto"/>
                <w:kern w:val="0"/>
                <w:sz w:val="20"/>
                <w:szCs w:val="20"/>
                <w:lang w:val="en-US" w:eastAsia="zh-CN" w:bidi="ar"/>
              </w:rPr>
              <w:t>4</w:t>
            </w:r>
          </w:p>
        </w:tc>
        <w:tc>
          <w:tcPr>
            <w:tcW w:w="383" w:type="pct"/>
            <w:tcBorders>
              <w:top w:val="single" w:color="auto" w:sz="8" w:space="0"/>
              <w:left w:val="nil"/>
              <w:bottom w:val="nil"/>
              <w:right w:val="nil"/>
            </w:tcBorders>
            <w:shd w:val="clear" w:color="auto" w:fill="auto"/>
            <w:vAlign w:val="center"/>
          </w:tcPr>
          <w:p w14:paraId="1AE796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eastAsia" w:ascii="Times New Roman" w:hAnsi="Times New Roman" w:eastAsia="宋体"/>
                <w:color w:val="auto"/>
                <w:sz w:val="20"/>
                <w:szCs w:val="20"/>
                <w:lang w:eastAsia="zh-CN"/>
              </w:rPr>
            </w:pPr>
            <w:r>
              <w:rPr>
                <w:rFonts w:hint="eastAsia" w:ascii="Times New Roman" w:hAnsi="Times New Roman"/>
                <w:color w:val="auto"/>
                <w:kern w:val="0"/>
                <w:sz w:val="20"/>
                <w:szCs w:val="20"/>
                <w:lang w:bidi="ar"/>
              </w:rPr>
              <w:t>-1</w:t>
            </w:r>
            <w:r>
              <w:rPr>
                <w:rFonts w:hint="eastAsia" w:ascii="Times New Roman" w:hAnsi="Times New Roman"/>
                <w:color w:val="auto"/>
                <w:kern w:val="0"/>
                <w:sz w:val="20"/>
                <w:szCs w:val="20"/>
                <w:lang w:val="en-US" w:eastAsia="zh-CN" w:bidi="ar"/>
              </w:rPr>
              <w:t>6</w:t>
            </w:r>
          </w:p>
        </w:tc>
        <w:tc>
          <w:tcPr>
            <w:tcW w:w="602" w:type="pct"/>
            <w:tcBorders>
              <w:top w:val="single" w:color="auto" w:sz="8" w:space="0"/>
              <w:left w:val="nil"/>
              <w:bottom w:val="nil"/>
              <w:right w:val="nil"/>
            </w:tcBorders>
            <w:shd w:val="clear" w:color="auto" w:fill="auto"/>
            <w:vAlign w:val="center"/>
          </w:tcPr>
          <w:p w14:paraId="3DC629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43</w:t>
            </w:r>
          </w:p>
        </w:tc>
        <w:tc>
          <w:tcPr>
            <w:tcW w:w="524" w:type="pct"/>
            <w:tcBorders>
              <w:top w:val="single" w:color="auto" w:sz="8" w:space="0"/>
              <w:left w:val="nil"/>
              <w:bottom w:val="nil"/>
              <w:right w:val="nil"/>
            </w:tcBorders>
            <w:shd w:val="clear" w:color="auto" w:fill="auto"/>
            <w:vAlign w:val="center"/>
          </w:tcPr>
          <w:p w14:paraId="116A26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default" w:ascii="Times New Roman" w:hAnsi="Times New Roman"/>
                <w:color w:val="auto"/>
                <w:kern w:val="0"/>
                <w:sz w:val="20"/>
                <w:szCs w:val="20"/>
                <w:lang w:bidi="ar"/>
              </w:rPr>
              <w:t>16.</w:t>
            </w:r>
            <w:r>
              <w:rPr>
                <w:rFonts w:hint="eastAsia" w:ascii="Times New Roman" w:hAnsi="Times New Roman"/>
                <w:color w:val="auto"/>
                <w:kern w:val="0"/>
                <w:sz w:val="20"/>
                <w:szCs w:val="20"/>
                <w:lang w:bidi="ar"/>
              </w:rPr>
              <w:t>64</w:t>
            </w:r>
          </w:p>
        </w:tc>
      </w:tr>
      <w:tr w14:paraId="31A26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nil"/>
              <w:left w:val="nil"/>
              <w:bottom w:val="nil"/>
              <w:right w:val="nil"/>
            </w:tcBorders>
            <w:shd w:val="clear" w:color="auto" w:fill="auto"/>
          </w:tcPr>
          <w:p w14:paraId="025CDB9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rPr>
              <w:t>fALFF</w:t>
            </w:r>
          </w:p>
        </w:tc>
        <w:tc>
          <w:tcPr>
            <w:tcW w:w="938" w:type="pct"/>
            <w:tcBorders>
              <w:top w:val="nil"/>
              <w:left w:val="nil"/>
              <w:bottom w:val="nil"/>
              <w:right w:val="nil"/>
            </w:tcBorders>
            <w:shd w:val="clear" w:color="auto" w:fill="auto"/>
          </w:tcPr>
          <w:p w14:paraId="053FF32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highlight w:val="none"/>
              </w:rPr>
              <w:t>Temporal_Inf_R</w:t>
            </w:r>
          </w:p>
        </w:tc>
        <w:tc>
          <w:tcPr>
            <w:tcW w:w="1175" w:type="pct"/>
            <w:tcBorders>
              <w:top w:val="nil"/>
              <w:left w:val="nil"/>
              <w:bottom w:val="nil"/>
              <w:right w:val="nil"/>
            </w:tcBorders>
            <w:shd w:val="clear" w:color="auto" w:fill="auto"/>
            <w:vAlign w:val="center"/>
          </w:tcPr>
          <w:p w14:paraId="11008E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eastAsia="宋体"/>
                <w:color w:val="auto"/>
                <w:sz w:val="20"/>
                <w:szCs w:val="20"/>
                <w:lang w:val="en-US" w:eastAsia="zh-CN"/>
              </w:rPr>
            </w:pPr>
            <w:r>
              <w:rPr>
                <w:rFonts w:hint="eastAsia" w:ascii="Times New Roman" w:hAnsi="Times New Roman"/>
                <w:color w:val="auto"/>
                <w:kern w:val="0"/>
                <w:sz w:val="20"/>
                <w:szCs w:val="20"/>
                <w:lang w:val="en-US" w:eastAsia="zh-CN" w:bidi="ar"/>
              </w:rPr>
              <w:t>37</w:t>
            </w:r>
          </w:p>
        </w:tc>
        <w:tc>
          <w:tcPr>
            <w:tcW w:w="379" w:type="pct"/>
            <w:tcBorders>
              <w:top w:val="nil"/>
              <w:left w:val="nil"/>
              <w:bottom w:val="nil"/>
              <w:right w:val="nil"/>
            </w:tcBorders>
            <w:shd w:val="clear" w:color="auto" w:fill="auto"/>
            <w:vAlign w:val="center"/>
          </w:tcPr>
          <w:p w14:paraId="0C9EBC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eastAsia="宋体"/>
                <w:color w:val="auto"/>
                <w:sz w:val="20"/>
                <w:szCs w:val="20"/>
                <w:lang w:val="en-US" w:eastAsia="zh-CN"/>
              </w:rPr>
            </w:pPr>
            <w:r>
              <w:rPr>
                <w:rFonts w:hint="eastAsia" w:ascii="Times New Roman" w:hAnsi="Times New Roman"/>
                <w:color w:val="auto"/>
                <w:kern w:val="0"/>
                <w:sz w:val="20"/>
                <w:szCs w:val="20"/>
                <w:lang w:val="en-US" w:eastAsia="zh-CN" w:bidi="ar"/>
              </w:rPr>
              <w:t>42</w:t>
            </w:r>
          </w:p>
        </w:tc>
        <w:tc>
          <w:tcPr>
            <w:tcW w:w="379" w:type="pct"/>
            <w:tcBorders>
              <w:top w:val="nil"/>
              <w:left w:val="nil"/>
              <w:bottom w:val="nil"/>
              <w:right w:val="nil"/>
            </w:tcBorders>
            <w:shd w:val="clear" w:color="auto" w:fill="auto"/>
            <w:vAlign w:val="center"/>
          </w:tcPr>
          <w:p w14:paraId="7F19AC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eastAsia="宋体"/>
                <w:color w:val="auto"/>
                <w:sz w:val="20"/>
                <w:szCs w:val="20"/>
                <w:lang w:val="en-US" w:eastAsia="zh-CN"/>
              </w:rPr>
            </w:pPr>
            <w:r>
              <w:rPr>
                <w:rFonts w:hint="eastAsia" w:ascii="Times New Roman" w:hAnsi="Times New Roman"/>
                <w:color w:val="auto"/>
                <w:kern w:val="0"/>
                <w:sz w:val="20"/>
                <w:szCs w:val="20"/>
                <w:lang w:bidi="ar"/>
              </w:rPr>
              <w:t>-</w:t>
            </w:r>
            <w:r>
              <w:rPr>
                <w:rFonts w:hint="eastAsia" w:ascii="Times New Roman" w:hAnsi="Times New Roman"/>
                <w:color w:val="auto"/>
                <w:kern w:val="0"/>
                <w:sz w:val="20"/>
                <w:szCs w:val="20"/>
                <w:lang w:val="en-US" w:eastAsia="zh-CN" w:bidi="ar"/>
              </w:rPr>
              <w:t>66</w:t>
            </w:r>
          </w:p>
        </w:tc>
        <w:tc>
          <w:tcPr>
            <w:tcW w:w="383" w:type="pct"/>
            <w:tcBorders>
              <w:top w:val="nil"/>
              <w:left w:val="nil"/>
              <w:bottom w:val="nil"/>
              <w:right w:val="nil"/>
            </w:tcBorders>
            <w:shd w:val="clear" w:color="auto" w:fill="auto"/>
            <w:vAlign w:val="center"/>
          </w:tcPr>
          <w:p w14:paraId="37282B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eastAsia" w:ascii="Times New Roman" w:hAnsi="Times New Roman" w:eastAsia="宋体"/>
                <w:color w:val="auto"/>
                <w:sz w:val="20"/>
                <w:szCs w:val="20"/>
                <w:lang w:eastAsia="zh-CN"/>
              </w:rPr>
            </w:pPr>
            <w:r>
              <w:rPr>
                <w:rFonts w:hint="eastAsia" w:ascii="Times New Roman" w:hAnsi="Times New Roman"/>
                <w:color w:val="auto"/>
                <w:kern w:val="0"/>
                <w:sz w:val="20"/>
                <w:szCs w:val="20"/>
                <w:lang w:bidi="ar"/>
              </w:rPr>
              <w:t>-</w:t>
            </w:r>
            <w:r>
              <w:rPr>
                <w:rFonts w:hint="eastAsia" w:ascii="Times New Roman" w:hAnsi="Times New Roman"/>
                <w:color w:val="auto"/>
                <w:kern w:val="0"/>
                <w:sz w:val="20"/>
                <w:szCs w:val="20"/>
                <w:lang w:val="en-US" w:eastAsia="zh-CN" w:bidi="ar"/>
              </w:rPr>
              <w:t>4</w:t>
            </w:r>
          </w:p>
        </w:tc>
        <w:tc>
          <w:tcPr>
            <w:tcW w:w="602" w:type="pct"/>
            <w:tcBorders>
              <w:top w:val="nil"/>
              <w:left w:val="nil"/>
              <w:bottom w:val="nil"/>
              <w:right w:val="nil"/>
            </w:tcBorders>
            <w:shd w:val="clear" w:color="auto" w:fill="auto"/>
            <w:vAlign w:val="center"/>
          </w:tcPr>
          <w:p w14:paraId="561F5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54</w:t>
            </w:r>
          </w:p>
        </w:tc>
        <w:tc>
          <w:tcPr>
            <w:tcW w:w="524" w:type="pct"/>
            <w:tcBorders>
              <w:top w:val="nil"/>
              <w:left w:val="nil"/>
              <w:bottom w:val="nil"/>
              <w:right w:val="nil"/>
            </w:tcBorders>
            <w:shd w:val="clear" w:color="auto" w:fill="auto"/>
            <w:vAlign w:val="center"/>
          </w:tcPr>
          <w:p w14:paraId="1A3D61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25.69</w:t>
            </w:r>
          </w:p>
        </w:tc>
      </w:tr>
      <w:tr w14:paraId="30794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nil"/>
              <w:left w:val="nil"/>
              <w:bottom w:val="nil"/>
              <w:right w:val="nil"/>
            </w:tcBorders>
            <w:shd w:val="clear" w:color="auto" w:fill="auto"/>
          </w:tcPr>
          <w:p w14:paraId="4119D6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rPr>
              <w:t>fALFF</w:t>
            </w:r>
          </w:p>
        </w:tc>
        <w:tc>
          <w:tcPr>
            <w:tcW w:w="938" w:type="pct"/>
            <w:tcBorders>
              <w:top w:val="nil"/>
              <w:left w:val="nil"/>
              <w:bottom w:val="nil"/>
              <w:right w:val="nil"/>
            </w:tcBorders>
            <w:shd w:val="clear" w:color="auto" w:fill="auto"/>
          </w:tcPr>
          <w:p w14:paraId="111838F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highlight w:val="none"/>
              </w:rPr>
              <w:t>Calcarine_L</w:t>
            </w:r>
          </w:p>
        </w:tc>
        <w:tc>
          <w:tcPr>
            <w:tcW w:w="1175" w:type="pct"/>
            <w:tcBorders>
              <w:top w:val="nil"/>
              <w:left w:val="nil"/>
              <w:bottom w:val="nil"/>
              <w:right w:val="nil"/>
            </w:tcBorders>
            <w:shd w:val="clear" w:color="auto" w:fill="auto"/>
            <w:vAlign w:val="center"/>
          </w:tcPr>
          <w:p w14:paraId="082424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17</w:t>
            </w:r>
          </w:p>
        </w:tc>
        <w:tc>
          <w:tcPr>
            <w:tcW w:w="379" w:type="pct"/>
            <w:tcBorders>
              <w:top w:val="nil"/>
              <w:left w:val="nil"/>
              <w:bottom w:val="nil"/>
              <w:right w:val="nil"/>
            </w:tcBorders>
            <w:shd w:val="clear" w:color="auto" w:fill="auto"/>
            <w:vAlign w:val="center"/>
          </w:tcPr>
          <w:p w14:paraId="344E08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-1</w:t>
            </w:r>
          </w:p>
        </w:tc>
        <w:tc>
          <w:tcPr>
            <w:tcW w:w="379" w:type="pct"/>
            <w:tcBorders>
              <w:top w:val="nil"/>
              <w:left w:val="nil"/>
              <w:bottom w:val="nil"/>
              <w:right w:val="nil"/>
            </w:tcBorders>
            <w:shd w:val="clear" w:color="auto" w:fill="auto"/>
            <w:vAlign w:val="center"/>
          </w:tcPr>
          <w:p w14:paraId="4CD4CF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-93</w:t>
            </w:r>
          </w:p>
        </w:tc>
        <w:tc>
          <w:tcPr>
            <w:tcW w:w="383" w:type="pct"/>
            <w:tcBorders>
              <w:top w:val="nil"/>
              <w:left w:val="nil"/>
              <w:bottom w:val="nil"/>
              <w:right w:val="nil"/>
            </w:tcBorders>
            <w:shd w:val="clear" w:color="auto" w:fill="auto"/>
            <w:vAlign w:val="center"/>
          </w:tcPr>
          <w:p w14:paraId="4D888A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-3</w:t>
            </w:r>
          </w:p>
        </w:tc>
        <w:tc>
          <w:tcPr>
            <w:tcW w:w="602" w:type="pct"/>
            <w:tcBorders>
              <w:top w:val="nil"/>
              <w:left w:val="nil"/>
              <w:bottom w:val="nil"/>
              <w:right w:val="nil"/>
            </w:tcBorders>
            <w:shd w:val="clear" w:color="auto" w:fill="auto"/>
            <w:vAlign w:val="center"/>
          </w:tcPr>
          <w:p w14:paraId="07E9DC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51</w:t>
            </w:r>
          </w:p>
        </w:tc>
        <w:tc>
          <w:tcPr>
            <w:tcW w:w="524" w:type="pct"/>
            <w:tcBorders>
              <w:top w:val="nil"/>
              <w:left w:val="nil"/>
              <w:bottom w:val="nil"/>
              <w:right w:val="nil"/>
            </w:tcBorders>
            <w:shd w:val="clear" w:color="auto" w:fill="auto"/>
            <w:vAlign w:val="center"/>
          </w:tcPr>
          <w:p w14:paraId="70C7E7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14.79</w:t>
            </w:r>
          </w:p>
        </w:tc>
      </w:tr>
      <w:tr w14:paraId="4F6FD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nil"/>
              <w:left w:val="nil"/>
              <w:bottom w:val="nil"/>
              <w:right w:val="nil"/>
            </w:tcBorders>
            <w:shd w:val="clear" w:color="auto" w:fill="auto"/>
          </w:tcPr>
          <w:p w14:paraId="65AECF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rPr>
              <w:t>fALFF</w:t>
            </w:r>
          </w:p>
        </w:tc>
        <w:tc>
          <w:tcPr>
            <w:tcW w:w="938" w:type="pct"/>
            <w:tcBorders>
              <w:top w:val="nil"/>
              <w:left w:val="nil"/>
              <w:bottom w:val="nil"/>
              <w:right w:val="nil"/>
            </w:tcBorders>
            <w:shd w:val="clear" w:color="auto" w:fill="auto"/>
          </w:tcPr>
          <w:p w14:paraId="1667E2D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highlight w:val="none"/>
              </w:rPr>
              <w:t>Frontal_Sup_R</w:t>
            </w:r>
          </w:p>
        </w:tc>
        <w:tc>
          <w:tcPr>
            <w:tcW w:w="1175" w:type="pct"/>
            <w:tcBorders>
              <w:top w:val="nil"/>
              <w:left w:val="nil"/>
              <w:bottom w:val="nil"/>
              <w:right w:val="nil"/>
            </w:tcBorders>
            <w:shd w:val="clear" w:color="auto" w:fill="auto"/>
            <w:vAlign w:val="center"/>
          </w:tcPr>
          <w:p w14:paraId="2F41E0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10</w:t>
            </w:r>
          </w:p>
        </w:tc>
        <w:tc>
          <w:tcPr>
            <w:tcW w:w="379" w:type="pct"/>
            <w:tcBorders>
              <w:top w:val="nil"/>
              <w:left w:val="nil"/>
              <w:bottom w:val="nil"/>
              <w:right w:val="nil"/>
            </w:tcBorders>
            <w:shd w:val="clear" w:color="auto" w:fill="auto"/>
            <w:vAlign w:val="center"/>
          </w:tcPr>
          <w:p w14:paraId="414F16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27</w:t>
            </w:r>
          </w:p>
        </w:tc>
        <w:tc>
          <w:tcPr>
            <w:tcW w:w="379" w:type="pct"/>
            <w:tcBorders>
              <w:top w:val="nil"/>
              <w:left w:val="nil"/>
              <w:bottom w:val="nil"/>
              <w:right w:val="nil"/>
            </w:tcBorders>
            <w:shd w:val="clear" w:color="auto" w:fill="auto"/>
            <w:vAlign w:val="center"/>
          </w:tcPr>
          <w:p w14:paraId="7252FC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63</w:t>
            </w:r>
          </w:p>
        </w:tc>
        <w:tc>
          <w:tcPr>
            <w:tcW w:w="383" w:type="pct"/>
            <w:tcBorders>
              <w:top w:val="nil"/>
              <w:left w:val="nil"/>
              <w:bottom w:val="nil"/>
              <w:right w:val="nil"/>
            </w:tcBorders>
            <w:shd w:val="clear" w:color="auto" w:fill="auto"/>
            <w:vAlign w:val="center"/>
          </w:tcPr>
          <w:p w14:paraId="14D8B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9</w:t>
            </w:r>
          </w:p>
        </w:tc>
        <w:tc>
          <w:tcPr>
            <w:tcW w:w="602" w:type="pct"/>
            <w:tcBorders>
              <w:top w:val="nil"/>
              <w:left w:val="nil"/>
              <w:bottom w:val="nil"/>
              <w:right w:val="nil"/>
            </w:tcBorders>
            <w:shd w:val="clear" w:color="auto" w:fill="auto"/>
            <w:vAlign w:val="center"/>
          </w:tcPr>
          <w:p w14:paraId="2251D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46</w:t>
            </w:r>
          </w:p>
        </w:tc>
        <w:tc>
          <w:tcPr>
            <w:tcW w:w="524" w:type="pct"/>
            <w:tcBorders>
              <w:top w:val="nil"/>
              <w:left w:val="nil"/>
              <w:bottom w:val="nil"/>
              <w:right w:val="nil"/>
            </w:tcBorders>
            <w:shd w:val="clear" w:color="auto" w:fill="auto"/>
            <w:vAlign w:val="center"/>
          </w:tcPr>
          <w:p w14:paraId="62C418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17.73</w:t>
            </w:r>
          </w:p>
        </w:tc>
      </w:tr>
      <w:tr w14:paraId="36FAB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18" w:type="pct"/>
            <w:tcBorders>
              <w:top w:val="nil"/>
              <w:left w:val="nil"/>
              <w:bottom w:val="single" w:color="auto" w:sz="12" w:space="0"/>
              <w:right w:val="nil"/>
            </w:tcBorders>
            <w:shd w:val="clear" w:color="auto" w:fill="auto"/>
          </w:tcPr>
          <w:p w14:paraId="18183AE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rPr>
              <w:t>fALFF</w:t>
            </w:r>
          </w:p>
        </w:tc>
        <w:tc>
          <w:tcPr>
            <w:tcW w:w="938" w:type="pct"/>
            <w:tcBorders>
              <w:top w:val="nil"/>
              <w:left w:val="nil"/>
              <w:bottom w:val="single" w:color="auto" w:sz="12" w:space="0"/>
              <w:right w:val="nil"/>
            </w:tcBorders>
            <w:shd w:val="clear" w:color="auto" w:fill="auto"/>
          </w:tcPr>
          <w:p w14:paraId="5896ECE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rPr>
                <w:rFonts w:hint="default" w:ascii="Times New Roman" w:hAnsi="Times New Roman"/>
                <w:color w:val="auto"/>
                <w:sz w:val="20"/>
                <w:szCs w:val="20"/>
              </w:rPr>
            </w:pPr>
            <w:r>
              <w:rPr>
                <w:rFonts w:hint="eastAsia" w:ascii="Times New Roman" w:hAnsi="Times New Roman"/>
                <w:color w:val="auto"/>
                <w:sz w:val="20"/>
                <w:szCs w:val="20"/>
                <w:highlight w:val="none"/>
              </w:rPr>
              <w:t>Angular_R</w:t>
            </w:r>
          </w:p>
        </w:tc>
        <w:tc>
          <w:tcPr>
            <w:tcW w:w="1175" w:type="pct"/>
            <w:tcBorders>
              <w:top w:val="nil"/>
              <w:left w:val="nil"/>
              <w:bottom w:val="single" w:color="auto" w:sz="12" w:space="0"/>
              <w:right w:val="nil"/>
            </w:tcBorders>
            <w:shd w:val="clear" w:color="auto" w:fill="auto"/>
            <w:vAlign w:val="center"/>
          </w:tcPr>
          <w:p w14:paraId="0625B9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7</w:t>
            </w:r>
          </w:p>
        </w:tc>
        <w:tc>
          <w:tcPr>
            <w:tcW w:w="379" w:type="pct"/>
            <w:tcBorders>
              <w:top w:val="nil"/>
              <w:left w:val="nil"/>
              <w:bottom w:val="single" w:color="auto" w:sz="12" w:space="0"/>
              <w:right w:val="nil"/>
            </w:tcBorders>
            <w:shd w:val="clear" w:color="auto" w:fill="auto"/>
            <w:vAlign w:val="center"/>
          </w:tcPr>
          <w:p w14:paraId="7FBC43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33</w:t>
            </w:r>
          </w:p>
        </w:tc>
        <w:tc>
          <w:tcPr>
            <w:tcW w:w="379" w:type="pct"/>
            <w:tcBorders>
              <w:top w:val="nil"/>
              <w:left w:val="nil"/>
              <w:bottom w:val="single" w:color="auto" w:sz="12" w:space="0"/>
              <w:right w:val="nil"/>
            </w:tcBorders>
            <w:shd w:val="clear" w:color="auto" w:fill="auto"/>
            <w:vAlign w:val="center"/>
          </w:tcPr>
          <w:p w14:paraId="38F79E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default" w:ascii="Times New Roman" w:hAnsi="Times New Roman"/>
                <w:color w:val="auto"/>
                <w:kern w:val="0"/>
                <w:sz w:val="20"/>
                <w:szCs w:val="20"/>
                <w:lang w:bidi="ar"/>
              </w:rPr>
              <w:t>-6</w:t>
            </w:r>
            <w:r>
              <w:rPr>
                <w:rFonts w:hint="eastAsia" w:ascii="Times New Roman" w:hAnsi="Times New Roman"/>
                <w:color w:val="auto"/>
                <w:kern w:val="0"/>
                <w:sz w:val="20"/>
                <w:szCs w:val="20"/>
                <w:lang w:bidi="ar"/>
              </w:rPr>
              <w:t>6</w:t>
            </w:r>
          </w:p>
        </w:tc>
        <w:tc>
          <w:tcPr>
            <w:tcW w:w="383" w:type="pct"/>
            <w:tcBorders>
              <w:top w:val="nil"/>
              <w:left w:val="nil"/>
              <w:bottom w:val="single" w:color="auto" w:sz="12" w:space="0"/>
              <w:right w:val="nil"/>
            </w:tcBorders>
            <w:shd w:val="clear" w:color="auto" w:fill="auto"/>
            <w:vAlign w:val="center"/>
          </w:tcPr>
          <w:p w14:paraId="665C64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45</w:t>
            </w:r>
          </w:p>
        </w:tc>
        <w:tc>
          <w:tcPr>
            <w:tcW w:w="602" w:type="pct"/>
            <w:tcBorders>
              <w:top w:val="nil"/>
              <w:left w:val="nil"/>
              <w:bottom w:val="single" w:color="auto" w:sz="12" w:space="0"/>
              <w:right w:val="nil"/>
            </w:tcBorders>
            <w:shd w:val="clear" w:color="auto" w:fill="auto"/>
            <w:vAlign w:val="center"/>
          </w:tcPr>
          <w:p w14:paraId="766C45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116</w:t>
            </w:r>
          </w:p>
        </w:tc>
        <w:tc>
          <w:tcPr>
            <w:tcW w:w="524" w:type="pct"/>
            <w:tcBorders>
              <w:top w:val="nil"/>
              <w:left w:val="nil"/>
              <w:bottom w:val="single" w:color="auto" w:sz="12" w:space="0"/>
              <w:right w:val="nil"/>
            </w:tcBorders>
            <w:shd w:val="clear" w:color="auto" w:fill="auto"/>
            <w:vAlign w:val="center"/>
          </w:tcPr>
          <w:p w14:paraId="40E6CB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center"/>
              <w:rPr>
                <w:rFonts w:hint="default" w:ascii="Times New Roman" w:hAnsi="Times New Roman"/>
                <w:color w:val="auto"/>
                <w:sz w:val="20"/>
                <w:szCs w:val="20"/>
              </w:rPr>
            </w:pPr>
            <w:r>
              <w:rPr>
                <w:rFonts w:hint="eastAsia" w:ascii="Times New Roman" w:hAnsi="Times New Roman"/>
                <w:color w:val="auto"/>
                <w:kern w:val="0"/>
                <w:sz w:val="20"/>
                <w:szCs w:val="20"/>
                <w:lang w:bidi="ar"/>
              </w:rPr>
              <w:t>20.45</w:t>
            </w:r>
          </w:p>
        </w:tc>
      </w:tr>
    </w:tbl>
    <w:p w14:paraId="0DEE69D7">
      <w:pPr>
        <w:rPr>
          <w:rFonts w:hint="eastAsia" w:ascii="Times New Roman" w:hAnsi="Times New Roman"/>
          <w:i/>
          <w:iCs/>
          <w:color w:val="auto"/>
          <w:sz w:val="18"/>
          <w:szCs w:val="21"/>
          <w:highlight w:val="none"/>
          <w:lang w:eastAsia="zh-CN"/>
        </w:rPr>
      </w:pPr>
      <w:r>
        <w:rPr>
          <w:rFonts w:hint="eastAsia" w:ascii="Times New Roman" w:hAnsi="Times New Roman"/>
          <w:i/>
          <w:iCs/>
          <w:color w:val="auto"/>
          <w:sz w:val="18"/>
          <w:szCs w:val="21"/>
          <w:highlight w:val="none"/>
          <w:lang w:eastAsia="zh-CN"/>
        </w:rPr>
        <w:t xml:space="preserve">F-value of the peak voxel showing functional connectivity differences among the three groups. </w:t>
      </w:r>
    </w:p>
    <w:p w14:paraId="1261515F">
      <w:pPr>
        <w:rPr>
          <w:rFonts w:hint="eastAsia" w:ascii="Times New Roman" w:hAnsi="Times New Roman"/>
          <w:i/>
          <w:iCs/>
          <w:color w:val="auto"/>
          <w:sz w:val="18"/>
          <w:szCs w:val="21"/>
          <w:highlight w:val="none"/>
          <w:lang w:eastAsia="zh-CN"/>
        </w:rPr>
      </w:pPr>
      <w:r>
        <w:rPr>
          <w:rFonts w:hint="eastAsia" w:ascii="Times New Roman" w:hAnsi="Times New Roman"/>
          <w:i/>
          <w:iCs/>
          <w:color w:val="auto"/>
          <w:sz w:val="18"/>
          <w:szCs w:val="21"/>
          <w:highlight w:val="none"/>
          <w:lang w:eastAsia="zh-CN"/>
        </w:rPr>
        <w:t xml:space="preserve">MNI Peak, Coordinates of primary peak locations in the Montreal Neurological Institute space. </w:t>
      </w:r>
    </w:p>
    <w:p w14:paraId="17A73936">
      <w:pPr>
        <w:rPr>
          <w:rFonts w:hint="eastAsia" w:ascii="Times New Roman" w:hAnsi="Times New Roman"/>
          <w:i/>
          <w:iCs/>
          <w:color w:val="auto"/>
          <w:sz w:val="18"/>
          <w:szCs w:val="21"/>
          <w:highlight w:val="none"/>
          <w:lang w:val="en-US" w:eastAsia="zh-CN"/>
        </w:rPr>
      </w:pPr>
      <w:r>
        <w:rPr>
          <w:rFonts w:hint="eastAsia" w:ascii="Times New Roman" w:hAnsi="Times New Roman"/>
          <w:i/>
          <w:iCs/>
          <w:color w:val="auto"/>
          <w:sz w:val="18"/>
          <w:szCs w:val="21"/>
          <w:highlight w:val="none"/>
          <w:lang w:eastAsia="zh-CN"/>
        </w:rPr>
        <w:t>fMRI results were subjected to GRF correction, with a corrected cluster level established at P &lt; 0.01 (two-tailed). The threshold voxel levels were set at P &lt; 0.005, ensuring the statistical integrity of the finding</w:t>
      </w:r>
      <w:r>
        <w:rPr>
          <w:rFonts w:hint="eastAsia" w:ascii="Times New Roman" w:hAnsi="Times New Roman"/>
          <w:i/>
          <w:iCs/>
          <w:color w:val="auto"/>
          <w:sz w:val="18"/>
          <w:szCs w:val="21"/>
          <w:highlight w:val="none"/>
          <w:lang w:val="en-US" w:eastAsia="zh-CN"/>
        </w:rPr>
        <w:t>.</w:t>
      </w:r>
    </w:p>
    <w:p w14:paraId="6ED59AAD">
      <w:pPr>
        <w:spacing w:line="360" w:lineRule="auto"/>
        <w:jc w:val="both"/>
        <w:rPr>
          <w:rFonts w:hint="eastAsia" w:ascii="Times New Roman" w:hAnsi="Times New Roman"/>
          <w:color w:val="auto"/>
          <w:highlight w:val="none"/>
          <w:lang w:val="en-US" w:eastAsia="zh-CN"/>
        </w:rPr>
      </w:pPr>
    </w:p>
    <w:p w14:paraId="550EAD01">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cs="Times New Roman"/>
          <w:b/>
          <w:bCs/>
          <w:color w:val="auto"/>
          <w:sz w:val="20"/>
          <w:szCs w:val="20"/>
          <w:highlight w:val="none"/>
        </w:rPr>
        <w:t xml:space="preserve">eTable </w:t>
      </w:r>
      <w:r>
        <w:rPr>
          <w:rFonts w:hint="eastAsia" w:ascii="Times New Roman" w:hAnsi="Times New Roman" w:cs="Times New Roman"/>
          <w:b/>
          <w:bCs/>
          <w:color w:val="auto"/>
          <w:sz w:val="20"/>
          <w:szCs w:val="20"/>
          <w:highlight w:val="none"/>
          <w:lang w:val="en-US" w:eastAsia="zh-CN"/>
        </w:rPr>
        <w:t>4</w:t>
      </w:r>
      <w:r>
        <w:rPr>
          <w:rFonts w:hint="default" w:ascii="Times New Roman" w:hAnsi="Times New Roman" w:eastAsia="WPS灵秀黑" w:cs="Times New Roman"/>
          <w:color w:val="auto"/>
          <w:sz w:val="20"/>
          <w:szCs w:val="20"/>
          <w:lang w:val="en-US" w:eastAsia="zh-CN"/>
        </w:rPr>
        <w:t xml:space="preserve"> |</w:t>
      </w:r>
      <w:r>
        <w:rPr>
          <w:rFonts w:hint="default" w:ascii="Times New Roman" w:hAnsi="Times New Roman" w:eastAsia="WPS灵秀黑" w:cs="Times New Roman"/>
          <w:color w:val="auto"/>
          <w:sz w:val="20"/>
          <w:szCs w:val="20"/>
        </w:rPr>
        <w:t xml:space="preserve"> Differences in ReHo and DC Between the Two Groups Pre and Post Intervention</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94"/>
        <w:gridCol w:w="1931"/>
        <w:gridCol w:w="1868"/>
        <w:gridCol w:w="672"/>
        <w:gridCol w:w="672"/>
        <w:gridCol w:w="678"/>
        <w:gridCol w:w="977"/>
        <w:gridCol w:w="827"/>
      </w:tblGrid>
      <w:tr w14:paraId="5C9BC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restart"/>
            <w:tcBorders>
              <w:top w:val="single" w:color="auto" w:sz="12" w:space="0"/>
              <w:left w:val="nil"/>
              <w:right w:val="nil"/>
            </w:tcBorders>
            <w:shd w:val="clear" w:color="auto" w:fill="auto"/>
            <w:vAlign w:val="center"/>
          </w:tcPr>
          <w:p w14:paraId="08B4F6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Metric</w:t>
            </w:r>
          </w:p>
        </w:tc>
        <w:tc>
          <w:tcPr>
            <w:tcW w:w="1133" w:type="pct"/>
            <w:vMerge w:val="restart"/>
            <w:tcBorders>
              <w:top w:val="single" w:color="auto" w:sz="12" w:space="0"/>
              <w:left w:val="nil"/>
              <w:bottom w:val="nil"/>
              <w:right w:val="nil"/>
            </w:tcBorders>
            <w:shd w:val="clear" w:color="auto" w:fill="auto"/>
            <w:vAlign w:val="center"/>
          </w:tcPr>
          <w:p w14:paraId="1663A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Functional connectivity</w:t>
            </w:r>
          </w:p>
        </w:tc>
        <w:tc>
          <w:tcPr>
            <w:tcW w:w="1096" w:type="pct"/>
            <w:vMerge w:val="restart"/>
            <w:tcBorders>
              <w:top w:val="single" w:color="auto" w:sz="12" w:space="0"/>
              <w:left w:val="nil"/>
              <w:bottom w:val="nil"/>
              <w:right w:val="nil"/>
            </w:tcBorders>
            <w:shd w:val="clear" w:color="auto" w:fill="auto"/>
            <w:vAlign w:val="center"/>
          </w:tcPr>
          <w:p w14:paraId="504E4C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Brodmann Area</w:t>
            </w:r>
          </w:p>
        </w:tc>
        <w:tc>
          <w:tcPr>
            <w:tcW w:w="1186" w:type="pct"/>
            <w:gridSpan w:val="3"/>
            <w:tcBorders>
              <w:top w:val="single" w:color="auto" w:sz="12" w:space="0"/>
              <w:left w:val="nil"/>
              <w:bottom w:val="single" w:color="auto" w:sz="8" w:space="0"/>
              <w:right w:val="nil"/>
            </w:tcBorders>
            <w:shd w:val="clear" w:color="auto" w:fill="auto"/>
            <w:vAlign w:val="center"/>
          </w:tcPr>
          <w:p w14:paraId="715DD8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 xml:space="preserve">MNI </w:t>
            </w:r>
            <w:r>
              <w:rPr>
                <w:rFonts w:hint="default" w:ascii="Times New Roman" w:hAnsi="Times New Roman" w:eastAsia="WPS灵秀黑" w:cs="Times New Roman"/>
                <w:color w:val="auto"/>
                <w:sz w:val="20"/>
                <w:szCs w:val="20"/>
                <w:lang w:val="en-US" w:eastAsia="zh-CN"/>
              </w:rPr>
              <w:t>Peak</w:t>
            </w:r>
          </w:p>
        </w:tc>
        <w:tc>
          <w:tcPr>
            <w:tcW w:w="573" w:type="pct"/>
            <w:vMerge w:val="restart"/>
            <w:tcBorders>
              <w:top w:val="single" w:color="auto" w:sz="12" w:space="0"/>
              <w:left w:val="nil"/>
              <w:bottom w:val="nil"/>
              <w:right w:val="nil"/>
            </w:tcBorders>
            <w:shd w:val="clear" w:color="auto" w:fill="auto"/>
            <w:vAlign w:val="center"/>
          </w:tcPr>
          <w:p w14:paraId="4D1F8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Voxel</w:t>
            </w:r>
            <w:r>
              <w:rPr>
                <w:rFonts w:hint="default" w:ascii="Times New Roman" w:hAnsi="Times New Roman" w:eastAsia="WPS灵秀黑" w:cs="Times New Roman"/>
                <w:color w:val="auto"/>
                <w:sz w:val="20"/>
                <w:szCs w:val="20"/>
                <w:lang w:val="en-US" w:eastAsia="zh-CN"/>
              </w:rPr>
              <w:t xml:space="preserve"> Size</w:t>
            </w:r>
          </w:p>
        </w:tc>
        <w:tc>
          <w:tcPr>
            <w:tcW w:w="485" w:type="pct"/>
            <w:vMerge w:val="restart"/>
            <w:tcBorders>
              <w:top w:val="single" w:color="auto" w:sz="12" w:space="0"/>
              <w:left w:val="nil"/>
              <w:bottom w:val="nil"/>
              <w:right w:val="nil"/>
            </w:tcBorders>
            <w:shd w:val="clear" w:color="auto" w:fill="auto"/>
            <w:vAlign w:val="center"/>
          </w:tcPr>
          <w:p w14:paraId="667B41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i/>
                <w:iCs/>
                <w:color w:val="auto"/>
                <w:sz w:val="20"/>
                <w:szCs w:val="20"/>
              </w:rPr>
              <w:t>F</w:t>
            </w:r>
          </w:p>
        </w:tc>
      </w:tr>
      <w:tr w14:paraId="7154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vMerge w:val="continue"/>
            <w:tcBorders>
              <w:left w:val="nil"/>
              <w:bottom w:val="single" w:color="auto" w:sz="8" w:space="0"/>
              <w:right w:val="nil"/>
            </w:tcBorders>
            <w:shd w:val="clear" w:color="auto" w:fill="auto"/>
          </w:tcPr>
          <w:p w14:paraId="2890E6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p>
        </w:tc>
        <w:tc>
          <w:tcPr>
            <w:tcW w:w="1133" w:type="pct"/>
            <w:vMerge w:val="continue"/>
            <w:tcBorders>
              <w:top w:val="nil"/>
              <w:left w:val="nil"/>
              <w:bottom w:val="single" w:color="auto" w:sz="8" w:space="0"/>
              <w:right w:val="nil"/>
            </w:tcBorders>
            <w:shd w:val="clear" w:color="auto" w:fill="auto"/>
          </w:tcPr>
          <w:p w14:paraId="46DEE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p>
        </w:tc>
        <w:tc>
          <w:tcPr>
            <w:tcW w:w="1096" w:type="pct"/>
            <w:vMerge w:val="continue"/>
            <w:tcBorders>
              <w:top w:val="nil"/>
              <w:left w:val="nil"/>
              <w:bottom w:val="single" w:color="auto" w:sz="8" w:space="0"/>
              <w:right w:val="nil"/>
            </w:tcBorders>
            <w:shd w:val="clear" w:color="auto" w:fill="auto"/>
          </w:tcPr>
          <w:p w14:paraId="0EB1D8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p>
        </w:tc>
        <w:tc>
          <w:tcPr>
            <w:tcW w:w="394" w:type="pct"/>
            <w:tcBorders>
              <w:top w:val="single" w:color="auto" w:sz="8" w:space="0"/>
              <w:left w:val="nil"/>
              <w:bottom w:val="single" w:color="auto" w:sz="8" w:space="0"/>
              <w:right w:val="nil"/>
            </w:tcBorders>
            <w:shd w:val="clear" w:color="auto" w:fill="auto"/>
          </w:tcPr>
          <w:p w14:paraId="7BAB77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X</w:t>
            </w:r>
          </w:p>
        </w:tc>
        <w:tc>
          <w:tcPr>
            <w:tcW w:w="394" w:type="pct"/>
            <w:tcBorders>
              <w:top w:val="single" w:color="auto" w:sz="8" w:space="0"/>
              <w:left w:val="nil"/>
              <w:bottom w:val="single" w:color="auto" w:sz="8" w:space="0"/>
              <w:right w:val="nil"/>
            </w:tcBorders>
            <w:shd w:val="clear" w:color="auto" w:fill="auto"/>
          </w:tcPr>
          <w:p w14:paraId="1086EF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Y</w:t>
            </w:r>
          </w:p>
        </w:tc>
        <w:tc>
          <w:tcPr>
            <w:tcW w:w="396" w:type="pct"/>
            <w:tcBorders>
              <w:top w:val="single" w:color="auto" w:sz="8" w:space="0"/>
              <w:left w:val="nil"/>
              <w:bottom w:val="single" w:color="auto" w:sz="8" w:space="0"/>
              <w:right w:val="nil"/>
            </w:tcBorders>
            <w:shd w:val="clear" w:color="auto" w:fill="auto"/>
          </w:tcPr>
          <w:p w14:paraId="0D5C29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Z</w:t>
            </w:r>
          </w:p>
        </w:tc>
        <w:tc>
          <w:tcPr>
            <w:tcW w:w="573" w:type="pct"/>
            <w:vMerge w:val="continue"/>
            <w:tcBorders>
              <w:top w:val="nil"/>
              <w:left w:val="nil"/>
              <w:bottom w:val="single" w:color="auto" w:sz="8" w:space="0"/>
              <w:right w:val="nil"/>
            </w:tcBorders>
            <w:shd w:val="clear" w:color="auto" w:fill="auto"/>
          </w:tcPr>
          <w:p w14:paraId="64DD4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p>
        </w:tc>
        <w:tc>
          <w:tcPr>
            <w:tcW w:w="485" w:type="pct"/>
            <w:vMerge w:val="continue"/>
            <w:tcBorders>
              <w:top w:val="nil"/>
              <w:left w:val="nil"/>
              <w:bottom w:val="single" w:color="auto" w:sz="8" w:space="0"/>
              <w:right w:val="nil"/>
            </w:tcBorders>
            <w:shd w:val="clear" w:color="auto" w:fill="auto"/>
          </w:tcPr>
          <w:p w14:paraId="0F36D4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p>
        </w:tc>
      </w:tr>
      <w:tr w14:paraId="37690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tcBorders>
              <w:top w:val="single" w:color="auto" w:sz="8" w:space="0"/>
              <w:left w:val="nil"/>
              <w:bottom w:val="nil"/>
              <w:right w:val="nil"/>
            </w:tcBorders>
            <w:shd w:val="clear" w:color="auto" w:fill="auto"/>
          </w:tcPr>
          <w:p w14:paraId="42F32E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ReHo</w:t>
            </w:r>
          </w:p>
        </w:tc>
        <w:tc>
          <w:tcPr>
            <w:tcW w:w="1133" w:type="pct"/>
            <w:tcBorders>
              <w:top w:val="single" w:color="auto" w:sz="8" w:space="0"/>
              <w:left w:val="nil"/>
              <w:bottom w:val="nil"/>
              <w:right w:val="nil"/>
            </w:tcBorders>
            <w:shd w:val="clear" w:color="auto" w:fill="auto"/>
          </w:tcPr>
          <w:p w14:paraId="74C9E0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highlight w:val="none"/>
              </w:rPr>
              <w:t>Occipital_Inf_R</w:t>
            </w:r>
          </w:p>
        </w:tc>
        <w:tc>
          <w:tcPr>
            <w:tcW w:w="1096" w:type="pct"/>
            <w:tcBorders>
              <w:top w:val="single" w:color="auto" w:sz="8" w:space="0"/>
              <w:left w:val="nil"/>
              <w:bottom w:val="nil"/>
              <w:right w:val="nil"/>
            </w:tcBorders>
            <w:shd w:val="clear" w:color="auto" w:fill="auto"/>
            <w:vAlign w:val="center"/>
          </w:tcPr>
          <w:p w14:paraId="48EB49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19</w:t>
            </w:r>
          </w:p>
        </w:tc>
        <w:tc>
          <w:tcPr>
            <w:tcW w:w="394" w:type="pct"/>
            <w:tcBorders>
              <w:top w:val="single" w:color="auto" w:sz="8" w:space="0"/>
              <w:left w:val="nil"/>
              <w:bottom w:val="nil"/>
              <w:right w:val="nil"/>
            </w:tcBorders>
            <w:shd w:val="clear" w:color="auto" w:fill="auto"/>
            <w:vAlign w:val="center"/>
          </w:tcPr>
          <w:p w14:paraId="154B85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48</w:t>
            </w:r>
          </w:p>
        </w:tc>
        <w:tc>
          <w:tcPr>
            <w:tcW w:w="394" w:type="pct"/>
            <w:tcBorders>
              <w:top w:val="single" w:color="auto" w:sz="8" w:space="0"/>
              <w:left w:val="nil"/>
              <w:bottom w:val="nil"/>
              <w:right w:val="nil"/>
            </w:tcBorders>
            <w:shd w:val="clear" w:color="auto" w:fill="auto"/>
            <w:vAlign w:val="center"/>
          </w:tcPr>
          <w:p w14:paraId="1A2C90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lang w:val="en-US" w:eastAsia="zh-CN"/>
              </w:rPr>
              <w:t>-</w:t>
            </w:r>
            <w:r>
              <w:rPr>
                <w:rFonts w:hint="default" w:ascii="Times New Roman" w:hAnsi="Times New Roman" w:eastAsia="WPS灵秀黑" w:cs="Times New Roman"/>
                <w:color w:val="auto"/>
                <w:sz w:val="20"/>
                <w:szCs w:val="20"/>
              </w:rPr>
              <w:t>72</w:t>
            </w:r>
          </w:p>
        </w:tc>
        <w:tc>
          <w:tcPr>
            <w:tcW w:w="396" w:type="pct"/>
            <w:tcBorders>
              <w:top w:val="single" w:color="auto" w:sz="8" w:space="0"/>
              <w:left w:val="nil"/>
              <w:bottom w:val="nil"/>
              <w:right w:val="nil"/>
            </w:tcBorders>
            <w:shd w:val="clear" w:color="auto" w:fill="auto"/>
            <w:vAlign w:val="center"/>
          </w:tcPr>
          <w:p w14:paraId="10F06D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lang w:val="en-US" w:eastAsia="zh-CN"/>
              </w:rPr>
              <w:t>-</w:t>
            </w:r>
            <w:r>
              <w:rPr>
                <w:rFonts w:hint="default" w:ascii="Times New Roman" w:hAnsi="Times New Roman" w:eastAsia="WPS灵秀黑" w:cs="Times New Roman"/>
                <w:color w:val="auto"/>
                <w:sz w:val="20"/>
                <w:szCs w:val="20"/>
              </w:rPr>
              <w:t>15</w:t>
            </w:r>
          </w:p>
        </w:tc>
        <w:tc>
          <w:tcPr>
            <w:tcW w:w="573" w:type="pct"/>
            <w:tcBorders>
              <w:top w:val="single" w:color="auto" w:sz="8" w:space="0"/>
              <w:left w:val="nil"/>
              <w:bottom w:val="nil"/>
              <w:right w:val="nil"/>
            </w:tcBorders>
            <w:shd w:val="clear" w:color="auto" w:fill="auto"/>
            <w:vAlign w:val="center"/>
          </w:tcPr>
          <w:p w14:paraId="01C149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38</w:t>
            </w:r>
          </w:p>
        </w:tc>
        <w:tc>
          <w:tcPr>
            <w:tcW w:w="485" w:type="pct"/>
            <w:tcBorders>
              <w:top w:val="single" w:color="auto" w:sz="8" w:space="0"/>
              <w:left w:val="nil"/>
              <w:bottom w:val="nil"/>
              <w:right w:val="nil"/>
            </w:tcBorders>
            <w:shd w:val="clear" w:color="auto" w:fill="auto"/>
            <w:vAlign w:val="center"/>
          </w:tcPr>
          <w:p w14:paraId="644FC0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20.30</w:t>
            </w:r>
          </w:p>
        </w:tc>
      </w:tr>
      <w:tr w14:paraId="08CFB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25" w:type="pct"/>
            <w:tcBorders>
              <w:top w:val="nil"/>
              <w:left w:val="nil"/>
              <w:bottom w:val="nil"/>
              <w:right w:val="nil"/>
            </w:tcBorders>
            <w:shd w:val="clear" w:color="auto" w:fill="auto"/>
          </w:tcPr>
          <w:p w14:paraId="65F415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ReHo</w:t>
            </w:r>
          </w:p>
        </w:tc>
        <w:tc>
          <w:tcPr>
            <w:tcW w:w="1133" w:type="pct"/>
            <w:tcBorders>
              <w:top w:val="nil"/>
              <w:left w:val="nil"/>
              <w:bottom w:val="nil"/>
              <w:right w:val="nil"/>
            </w:tcBorders>
            <w:shd w:val="clear" w:color="auto" w:fill="auto"/>
          </w:tcPr>
          <w:p w14:paraId="129D55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highlight w:val="none"/>
              </w:rPr>
              <w:t>Insula_R</w:t>
            </w:r>
          </w:p>
        </w:tc>
        <w:tc>
          <w:tcPr>
            <w:tcW w:w="1096" w:type="pct"/>
            <w:tcBorders>
              <w:top w:val="nil"/>
              <w:left w:val="nil"/>
              <w:bottom w:val="nil"/>
              <w:right w:val="nil"/>
            </w:tcBorders>
            <w:shd w:val="clear" w:color="auto" w:fill="auto"/>
            <w:vAlign w:val="center"/>
          </w:tcPr>
          <w:p w14:paraId="46CEC4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48</w:t>
            </w:r>
          </w:p>
        </w:tc>
        <w:tc>
          <w:tcPr>
            <w:tcW w:w="394" w:type="pct"/>
            <w:tcBorders>
              <w:top w:val="nil"/>
              <w:left w:val="nil"/>
              <w:bottom w:val="nil"/>
              <w:right w:val="nil"/>
            </w:tcBorders>
            <w:shd w:val="clear" w:color="auto" w:fill="auto"/>
            <w:vAlign w:val="center"/>
          </w:tcPr>
          <w:p w14:paraId="7884DB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36</w:t>
            </w:r>
          </w:p>
        </w:tc>
        <w:tc>
          <w:tcPr>
            <w:tcW w:w="394" w:type="pct"/>
            <w:tcBorders>
              <w:top w:val="nil"/>
              <w:left w:val="nil"/>
              <w:bottom w:val="nil"/>
              <w:right w:val="nil"/>
            </w:tcBorders>
            <w:shd w:val="clear" w:color="auto" w:fill="auto"/>
            <w:vAlign w:val="center"/>
          </w:tcPr>
          <w:p w14:paraId="1A560A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9</w:t>
            </w:r>
          </w:p>
        </w:tc>
        <w:tc>
          <w:tcPr>
            <w:tcW w:w="396" w:type="pct"/>
            <w:tcBorders>
              <w:top w:val="nil"/>
              <w:left w:val="nil"/>
              <w:bottom w:val="nil"/>
              <w:right w:val="nil"/>
            </w:tcBorders>
            <w:shd w:val="clear" w:color="auto" w:fill="auto"/>
            <w:vAlign w:val="center"/>
          </w:tcPr>
          <w:p w14:paraId="3BE412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6</w:t>
            </w:r>
          </w:p>
        </w:tc>
        <w:tc>
          <w:tcPr>
            <w:tcW w:w="573" w:type="pct"/>
            <w:tcBorders>
              <w:top w:val="nil"/>
              <w:left w:val="nil"/>
              <w:bottom w:val="nil"/>
              <w:right w:val="nil"/>
            </w:tcBorders>
            <w:shd w:val="clear" w:color="auto" w:fill="auto"/>
            <w:vAlign w:val="center"/>
          </w:tcPr>
          <w:p w14:paraId="496ED2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66</w:t>
            </w:r>
          </w:p>
        </w:tc>
        <w:tc>
          <w:tcPr>
            <w:tcW w:w="485" w:type="pct"/>
            <w:tcBorders>
              <w:top w:val="nil"/>
              <w:left w:val="nil"/>
              <w:bottom w:val="nil"/>
              <w:right w:val="nil"/>
            </w:tcBorders>
            <w:shd w:val="clear" w:color="auto" w:fill="auto"/>
            <w:vAlign w:val="center"/>
          </w:tcPr>
          <w:p w14:paraId="76F6DA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13.18</w:t>
            </w:r>
          </w:p>
        </w:tc>
      </w:tr>
      <w:tr w14:paraId="44A89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tcBorders>
              <w:top w:val="nil"/>
              <w:left w:val="nil"/>
              <w:bottom w:val="nil"/>
              <w:right w:val="nil"/>
            </w:tcBorders>
            <w:shd w:val="clear" w:color="auto" w:fill="auto"/>
          </w:tcPr>
          <w:p w14:paraId="5AABB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ReHo</w:t>
            </w:r>
          </w:p>
        </w:tc>
        <w:tc>
          <w:tcPr>
            <w:tcW w:w="1133" w:type="pct"/>
            <w:tcBorders>
              <w:top w:val="nil"/>
              <w:left w:val="nil"/>
              <w:bottom w:val="nil"/>
              <w:right w:val="nil"/>
            </w:tcBorders>
            <w:shd w:val="clear" w:color="auto" w:fill="auto"/>
          </w:tcPr>
          <w:p w14:paraId="43114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highlight w:val="none"/>
              </w:rPr>
              <w:t>Insula_L</w:t>
            </w:r>
          </w:p>
        </w:tc>
        <w:tc>
          <w:tcPr>
            <w:tcW w:w="1096" w:type="pct"/>
            <w:tcBorders>
              <w:top w:val="nil"/>
              <w:left w:val="nil"/>
              <w:bottom w:val="nil"/>
              <w:right w:val="nil"/>
            </w:tcBorders>
            <w:shd w:val="clear" w:color="auto" w:fill="auto"/>
            <w:vAlign w:val="center"/>
          </w:tcPr>
          <w:p w14:paraId="3AECB1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48</w:t>
            </w:r>
          </w:p>
        </w:tc>
        <w:tc>
          <w:tcPr>
            <w:tcW w:w="394" w:type="pct"/>
            <w:tcBorders>
              <w:top w:val="nil"/>
              <w:left w:val="nil"/>
              <w:bottom w:val="nil"/>
              <w:right w:val="nil"/>
            </w:tcBorders>
            <w:shd w:val="clear" w:color="auto" w:fill="auto"/>
            <w:vAlign w:val="center"/>
          </w:tcPr>
          <w:p w14:paraId="558D6D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-39</w:t>
            </w:r>
          </w:p>
        </w:tc>
        <w:tc>
          <w:tcPr>
            <w:tcW w:w="394" w:type="pct"/>
            <w:tcBorders>
              <w:top w:val="nil"/>
              <w:left w:val="nil"/>
              <w:bottom w:val="nil"/>
              <w:right w:val="nil"/>
            </w:tcBorders>
            <w:shd w:val="clear" w:color="auto" w:fill="auto"/>
            <w:vAlign w:val="center"/>
          </w:tcPr>
          <w:p w14:paraId="4D9577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9</w:t>
            </w:r>
          </w:p>
        </w:tc>
        <w:tc>
          <w:tcPr>
            <w:tcW w:w="396" w:type="pct"/>
            <w:tcBorders>
              <w:top w:val="nil"/>
              <w:left w:val="nil"/>
              <w:bottom w:val="nil"/>
              <w:right w:val="nil"/>
            </w:tcBorders>
            <w:shd w:val="clear" w:color="auto" w:fill="auto"/>
            <w:vAlign w:val="center"/>
          </w:tcPr>
          <w:p w14:paraId="566847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6</w:t>
            </w:r>
          </w:p>
        </w:tc>
        <w:tc>
          <w:tcPr>
            <w:tcW w:w="573" w:type="pct"/>
            <w:tcBorders>
              <w:top w:val="nil"/>
              <w:left w:val="nil"/>
              <w:bottom w:val="nil"/>
              <w:right w:val="nil"/>
            </w:tcBorders>
            <w:shd w:val="clear" w:color="auto" w:fill="auto"/>
            <w:vAlign w:val="center"/>
          </w:tcPr>
          <w:p w14:paraId="4F7BAA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50</w:t>
            </w:r>
          </w:p>
        </w:tc>
        <w:tc>
          <w:tcPr>
            <w:tcW w:w="485" w:type="pct"/>
            <w:tcBorders>
              <w:top w:val="nil"/>
              <w:left w:val="nil"/>
              <w:bottom w:val="nil"/>
              <w:right w:val="nil"/>
            </w:tcBorders>
            <w:shd w:val="clear" w:color="auto" w:fill="auto"/>
            <w:vAlign w:val="center"/>
          </w:tcPr>
          <w:p w14:paraId="414462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13.80</w:t>
            </w:r>
          </w:p>
        </w:tc>
      </w:tr>
      <w:tr w14:paraId="0DFF1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5" w:type="pct"/>
            <w:tcBorders>
              <w:top w:val="nil"/>
              <w:left w:val="nil"/>
              <w:bottom w:val="nil"/>
              <w:right w:val="nil"/>
            </w:tcBorders>
            <w:shd w:val="clear" w:color="auto" w:fill="auto"/>
          </w:tcPr>
          <w:p w14:paraId="3227A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DC</w:t>
            </w:r>
          </w:p>
        </w:tc>
        <w:tc>
          <w:tcPr>
            <w:tcW w:w="1133" w:type="pct"/>
            <w:tcBorders>
              <w:top w:val="nil"/>
              <w:left w:val="nil"/>
              <w:bottom w:val="nil"/>
              <w:right w:val="nil"/>
            </w:tcBorders>
            <w:shd w:val="clear" w:color="auto" w:fill="auto"/>
          </w:tcPr>
          <w:p w14:paraId="0CC55B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highlight w:val="none"/>
              </w:rPr>
              <w:t>Caudate_R</w:t>
            </w:r>
          </w:p>
        </w:tc>
        <w:tc>
          <w:tcPr>
            <w:tcW w:w="1096" w:type="pct"/>
            <w:tcBorders>
              <w:top w:val="nil"/>
              <w:left w:val="nil"/>
              <w:bottom w:val="nil"/>
              <w:right w:val="nil"/>
            </w:tcBorders>
            <w:shd w:val="clear" w:color="auto" w:fill="auto"/>
            <w:vAlign w:val="center"/>
          </w:tcPr>
          <w:p w14:paraId="374FA2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39</w:t>
            </w:r>
          </w:p>
        </w:tc>
        <w:tc>
          <w:tcPr>
            <w:tcW w:w="394" w:type="pct"/>
            <w:tcBorders>
              <w:top w:val="nil"/>
              <w:left w:val="nil"/>
              <w:bottom w:val="nil"/>
              <w:right w:val="nil"/>
            </w:tcBorders>
            <w:shd w:val="clear" w:color="auto" w:fill="auto"/>
            <w:vAlign w:val="center"/>
          </w:tcPr>
          <w:p w14:paraId="3D870E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18</w:t>
            </w:r>
          </w:p>
        </w:tc>
        <w:tc>
          <w:tcPr>
            <w:tcW w:w="394" w:type="pct"/>
            <w:tcBorders>
              <w:top w:val="nil"/>
              <w:left w:val="nil"/>
              <w:bottom w:val="nil"/>
              <w:right w:val="nil"/>
            </w:tcBorders>
            <w:shd w:val="clear" w:color="auto" w:fill="auto"/>
            <w:vAlign w:val="center"/>
          </w:tcPr>
          <w:p w14:paraId="06CDDB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24</w:t>
            </w:r>
          </w:p>
        </w:tc>
        <w:tc>
          <w:tcPr>
            <w:tcW w:w="396" w:type="pct"/>
            <w:tcBorders>
              <w:top w:val="nil"/>
              <w:left w:val="nil"/>
              <w:bottom w:val="nil"/>
              <w:right w:val="nil"/>
            </w:tcBorders>
            <w:shd w:val="clear" w:color="auto" w:fill="auto"/>
            <w:vAlign w:val="center"/>
          </w:tcPr>
          <w:p w14:paraId="751E88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lang w:val="en-US" w:eastAsia="zh-CN"/>
              </w:rPr>
              <w:t>1</w:t>
            </w:r>
            <w:r>
              <w:rPr>
                <w:rFonts w:hint="default" w:ascii="Times New Roman" w:hAnsi="Times New Roman" w:eastAsia="WPS灵秀黑" w:cs="Times New Roman"/>
                <w:color w:val="auto"/>
                <w:sz w:val="20"/>
                <w:szCs w:val="20"/>
              </w:rPr>
              <w:t>2</w:t>
            </w:r>
          </w:p>
        </w:tc>
        <w:tc>
          <w:tcPr>
            <w:tcW w:w="573" w:type="pct"/>
            <w:tcBorders>
              <w:top w:val="nil"/>
              <w:left w:val="nil"/>
              <w:bottom w:val="nil"/>
              <w:right w:val="nil"/>
            </w:tcBorders>
            <w:shd w:val="clear" w:color="auto" w:fill="auto"/>
            <w:vAlign w:val="center"/>
          </w:tcPr>
          <w:p w14:paraId="76182C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70</w:t>
            </w:r>
          </w:p>
        </w:tc>
        <w:tc>
          <w:tcPr>
            <w:tcW w:w="485" w:type="pct"/>
            <w:tcBorders>
              <w:top w:val="nil"/>
              <w:left w:val="nil"/>
              <w:bottom w:val="nil"/>
              <w:right w:val="nil"/>
            </w:tcBorders>
            <w:shd w:val="clear" w:color="auto" w:fill="auto"/>
            <w:vAlign w:val="center"/>
          </w:tcPr>
          <w:p w14:paraId="3148D6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10.95</w:t>
            </w:r>
          </w:p>
        </w:tc>
      </w:tr>
      <w:tr w14:paraId="4E459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5" w:type="pct"/>
            <w:tcBorders>
              <w:top w:val="nil"/>
              <w:left w:val="nil"/>
              <w:bottom w:val="single" w:color="auto" w:sz="12" w:space="0"/>
              <w:right w:val="nil"/>
            </w:tcBorders>
            <w:shd w:val="clear" w:color="auto" w:fill="auto"/>
          </w:tcPr>
          <w:p w14:paraId="321877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DC</w:t>
            </w:r>
          </w:p>
        </w:tc>
        <w:tc>
          <w:tcPr>
            <w:tcW w:w="1133" w:type="pct"/>
            <w:tcBorders>
              <w:top w:val="nil"/>
              <w:left w:val="nil"/>
              <w:bottom w:val="single" w:color="auto" w:sz="12" w:space="0"/>
              <w:right w:val="nil"/>
            </w:tcBorders>
            <w:shd w:val="clear" w:color="auto" w:fill="auto"/>
          </w:tcPr>
          <w:p w14:paraId="5A9363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highlight w:val="none"/>
              </w:rPr>
              <w:t>ACC_L</w:t>
            </w:r>
          </w:p>
        </w:tc>
        <w:tc>
          <w:tcPr>
            <w:tcW w:w="1096" w:type="pct"/>
            <w:tcBorders>
              <w:top w:val="nil"/>
              <w:left w:val="nil"/>
              <w:bottom w:val="single" w:color="auto" w:sz="12" w:space="0"/>
              <w:right w:val="nil"/>
            </w:tcBorders>
            <w:shd w:val="clear" w:color="auto" w:fill="auto"/>
            <w:vAlign w:val="center"/>
          </w:tcPr>
          <w:p w14:paraId="646EBE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34</w:t>
            </w:r>
          </w:p>
        </w:tc>
        <w:tc>
          <w:tcPr>
            <w:tcW w:w="394" w:type="pct"/>
            <w:tcBorders>
              <w:top w:val="nil"/>
              <w:left w:val="nil"/>
              <w:bottom w:val="single" w:color="auto" w:sz="12" w:space="0"/>
              <w:right w:val="nil"/>
            </w:tcBorders>
            <w:shd w:val="clear" w:color="auto" w:fill="auto"/>
            <w:vAlign w:val="center"/>
          </w:tcPr>
          <w:p w14:paraId="5348A9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-5</w:t>
            </w:r>
          </w:p>
        </w:tc>
        <w:tc>
          <w:tcPr>
            <w:tcW w:w="394" w:type="pct"/>
            <w:tcBorders>
              <w:top w:val="nil"/>
              <w:left w:val="nil"/>
              <w:bottom w:val="single" w:color="auto" w:sz="12" w:space="0"/>
              <w:right w:val="nil"/>
            </w:tcBorders>
            <w:shd w:val="clear" w:color="auto" w:fill="auto"/>
            <w:vAlign w:val="center"/>
          </w:tcPr>
          <w:p w14:paraId="1EABB0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8</w:t>
            </w:r>
          </w:p>
        </w:tc>
        <w:tc>
          <w:tcPr>
            <w:tcW w:w="396" w:type="pct"/>
            <w:tcBorders>
              <w:top w:val="nil"/>
              <w:left w:val="nil"/>
              <w:bottom w:val="single" w:color="auto" w:sz="12" w:space="0"/>
              <w:right w:val="nil"/>
            </w:tcBorders>
            <w:shd w:val="clear" w:color="auto" w:fill="auto"/>
            <w:vAlign w:val="center"/>
          </w:tcPr>
          <w:p w14:paraId="3D8CBC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lang w:val="en-US" w:eastAsia="zh-CN"/>
              </w:rPr>
              <w:t>1</w:t>
            </w:r>
            <w:r>
              <w:rPr>
                <w:rFonts w:hint="default" w:ascii="Times New Roman" w:hAnsi="Times New Roman" w:eastAsia="WPS灵秀黑" w:cs="Times New Roman"/>
                <w:color w:val="auto"/>
                <w:sz w:val="20"/>
                <w:szCs w:val="20"/>
              </w:rPr>
              <w:t>2</w:t>
            </w:r>
          </w:p>
        </w:tc>
        <w:tc>
          <w:tcPr>
            <w:tcW w:w="573" w:type="pct"/>
            <w:tcBorders>
              <w:top w:val="nil"/>
              <w:left w:val="nil"/>
              <w:bottom w:val="single" w:color="auto" w:sz="12" w:space="0"/>
              <w:right w:val="nil"/>
            </w:tcBorders>
            <w:shd w:val="clear" w:color="auto" w:fill="auto"/>
            <w:vAlign w:val="center"/>
          </w:tcPr>
          <w:p w14:paraId="544865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18</w:t>
            </w:r>
          </w:p>
        </w:tc>
        <w:tc>
          <w:tcPr>
            <w:tcW w:w="485" w:type="pct"/>
            <w:tcBorders>
              <w:top w:val="nil"/>
              <w:left w:val="nil"/>
              <w:bottom w:val="single" w:color="auto" w:sz="12" w:space="0"/>
              <w:right w:val="nil"/>
            </w:tcBorders>
            <w:shd w:val="clear" w:color="auto" w:fill="auto"/>
            <w:vAlign w:val="center"/>
          </w:tcPr>
          <w:p w14:paraId="6C9D72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default" w:ascii="Times New Roman" w:hAnsi="Times New Roman" w:eastAsia="WPS灵秀黑" w:cs="Times New Roman"/>
                <w:color w:val="auto"/>
                <w:sz w:val="20"/>
                <w:szCs w:val="20"/>
              </w:rPr>
            </w:pPr>
            <w:r>
              <w:rPr>
                <w:rFonts w:hint="default" w:ascii="Times New Roman" w:hAnsi="Times New Roman" w:eastAsia="WPS灵秀黑" w:cs="Times New Roman"/>
                <w:color w:val="auto"/>
                <w:sz w:val="20"/>
                <w:szCs w:val="20"/>
              </w:rPr>
              <w:t>20.45</w:t>
            </w:r>
          </w:p>
        </w:tc>
      </w:tr>
    </w:tbl>
    <w:p w14:paraId="217232C3">
      <w:pPr>
        <w:rPr>
          <w:rFonts w:hint="eastAsia" w:ascii="Times New Roman" w:hAnsi="Times New Roman"/>
          <w:i/>
          <w:iCs/>
          <w:color w:val="auto"/>
          <w:sz w:val="18"/>
          <w:szCs w:val="21"/>
          <w:highlight w:val="none"/>
          <w:lang w:eastAsia="zh-CN"/>
        </w:rPr>
      </w:pPr>
      <w:r>
        <w:rPr>
          <w:rFonts w:hint="eastAsia" w:ascii="Times New Roman" w:hAnsi="Times New Roman"/>
          <w:i/>
          <w:iCs/>
          <w:color w:val="auto"/>
          <w:sz w:val="18"/>
          <w:szCs w:val="21"/>
          <w:highlight w:val="none"/>
          <w:lang w:eastAsia="zh-CN"/>
        </w:rPr>
        <w:t xml:space="preserve">F-value of the peak voxel showing functional connectivity differences among the three groups. </w:t>
      </w:r>
    </w:p>
    <w:p w14:paraId="5D2D4970">
      <w:pPr>
        <w:rPr>
          <w:rFonts w:hint="eastAsia" w:ascii="Times New Roman" w:hAnsi="Times New Roman"/>
          <w:i/>
          <w:iCs/>
          <w:color w:val="auto"/>
          <w:sz w:val="18"/>
          <w:szCs w:val="21"/>
          <w:highlight w:val="none"/>
          <w:lang w:eastAsia="zh-CN"/>
        </w:rPr>
      </w:pPr>
      <w:r>
        <w:rPr>
          <w:rFonts w:hint="eastAsia" w:ascii="Times New Roman" w:hAnsi="Times New Roman"/>
          <w:i/>
          <w:iCs/>
          <w:color w:val="auto"/>
          <w:sz w:val="18"/>
          <w:szCs w:val="21"/>
          <w:highlight w:val="none"/>
          <w:lang w:eastAsia="zh-CN"/>
        </w:rPr>
        <w:t xml:space="preserve">MNI Peak, Coordinates of primary peak locations in the Montreal Neurological Institute space. </w:t>
      </w:r>
    </w:p>
    <w:p w14:paraId="0527533A">
      <w:pPr>
        <w:rPr>
          <w:rFonts w:hint="eastAsia" w:ascii="Times New Roman" w:hAnsi="Times New Roman"/>
          <w:i/>
          <w:iCs/>
          <w:color w:val="auto"/>
          <w:sz w:val="18"/>
          <w:szCs w:val="21"/>
          <w:highlight w:val="none"/>
          <w:lang w:val="en-US" w:eastAsia="zh-CN"/>
        </w:rPr>
      </w:pPr>
      <w:r>
        <w:rPr>
          <w:rFonts w:hint="eastAsia" w:ascii="Times New Roman" w:hAnsi="Times New Roman"/>
          <w:i/>
          <w:iCs/>
          <w:color w:val="auto"/>
          <w:sz w:val="18"/>
          <w:szCs w:val="21"/>
          <w:highlight w:val="none"/>
          <w:lang w:eastAsia="zh-CN"/>
        </w:rPr>
        <w:t>fMRI results were subjected to GRF correction, with a corrected cluster level established at P &lt; 0.01 (two-tailed). The threshold voxel levels were set at P &lt; 0.005, ensurin</w:t>
      </w:r>
      <w:r>
        <w:rPr>
          <w:rFonts w:hint="eastAsia" w:ascii="Times New Roman" w:hAnsi="Times New Roman"/>
          <w:i/>
          <w:iCs/>
          <w:color w:val="auto"/>
          <w:sz w:val="18"/>
          <w:szCs w:val="21"/>
          <w:highlight w:val="none"/>
          <w:lang w:val="en-US" w:eastAsia="zh-CN"/>
        </w:rPr>
        <w:t>g the statist</w:t>
      </w:r>
      <w:r>
        <w:rPr>
          <w:rFonts w:hint="eastAsia" w:ascii="Times New Roman" w:hAnsi="Times New Roman"/>
          <w:i/>
          <w:iCs/>
          <w:color w:val="auto"/>
          <w:sz w:val="18"/>
          <w:szCs w:val="21"/>
          <w:highlight w:val="none"/>
          <w:lang w:eastAsia="zh-CN"/>
        </w:rPr>
        <w:t>ical integrity of the finding</w:t>
      </w:r>
      <w:r>
        <w:rPr>
          <w:rFonts w:hint="eastAsia" w:ascii="Times New Roman" w:hAnsi="Times New Roman"/>
          <w:i/>
          <w:iCs/>
          <w:color w:val="auto"/>
          <w:sz w:val="18"/>
          <w:szCs w:val="21"/>
          <w:highlight w:val="none"/>
          <w:lang w:val="en-US" w:eastAsia="zh-CN"/>
        </w:rPr>
        <w:t>.</w:t>
      </w:r>
    </w:p>
    <w:p w14:paraId="41683287">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hint="eastAsia" w:ascii="Times New Roman" w:hAnsi="Times New Roman"/>
          <w:b/>
          <w:bCs/>
          <w:color w:val="auto"/>
          <w:sz w:val="21"/>
          <w:szCs w:val="21"/>
          <w:lang w:val="en-US" w:eastAsia="zh-CN"/>
        </w:rPr>
      </w:pPr>
    </w:p>
    <w:p w14:paraId="1A710B29">
      <w:pPr>
        <w:keepNext w:val="0"/>
        <w:keepLines w:val="0"/>
        <w:pageBreakBefore w:val="0"/>
        <w:kinsoku/>
        <w:wordWrap/>
        <w:overflowPunct/>
        <w:topLinePunct w:val="0"/>
        <w:autoSpaceDE/>
        <w:autoSpaceDN/>
        <w:bidi w:val="0"/>
        <w:adjustRightInd/>
        <w:snapToGrid/>
        <w:spacing w:line="360" w:lineRule="auto"/>
        <w:ind w:firstLine="0" w:firstLineChars="0"/>
        <w:jc w:val="center"/>
        <w:textAlignment w:val="auto"/>
        <w:rPr>
          <w:rFonts w:ascii="Times New Roman" w:hAnsi="Times New Roman"/>
          <w:color w:val="auto"/>
          <w:sz w:val="20"/>
          <w:szCs w:val="20"/>
        </w:rPr>
      </w:pPr>
      <w:r>
        <w:rPr>
          <w:rFonts w:hint="eastAsia" w:ascii="Times New Roman" w:hAnsi="Times New Roman"/>
          <w:b/>
          <w:bCs/>
          <w:color w:val="auto"/>
          <w:sz w:val="20"/>
          <w:szCs w:val="20"/>
          <w:lang w:val="en-US" w:eastAsia="zh-CN"/>
        </w:rPr>
        <w:t>eTable 5</w:t>
      </w:r>
      <w:r>
        <w:rPr>
          <w:rFonts w:hint="eastAsia" w:ascii="Times New Roman" w:hAnsi="Times New Roman"/>
          <w:color w:val="auto"/>
          <w:sz w:val="20"/>
          <w:szCs w:val="20"/>
          <w:lang w:val="en-US" w:eastAsia="zh-CN"/>
        </w:rPr>
        <w:t xml:space="preserve"> | </w:t>
      </w:r>
      <w:r>
        <w:rPr>
          <w:rFonts w:hint="eastAsia" w:ascii="Times New Roman" w:hAnsi="Times New Roman"/>
          <w:color w:val="auto"/>
          <w:sz w:val="20"/>
          <w:szCs w:val="20"/>
        </w:rPr>
        <w:t>Analysis of Alpha Diversity at the Species Level.</w:t>
      </w:r>
    </w:p>
    <w:tbl>
      <w:tblPr>
        <w:tblStyle w:val="4"/>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0"/>
        <w:gridCol w:w="510"/>
        <w:gridCol w:w="1045"/>
        <w:gridCol w:w="1785"/>
        <w:gridCol w:w="1785"/>
        <w:gridCol w:w="2144"/>
      </w:tblGrid>
      <w:tr w14:paraId="4F2B0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33" w:type="pct"/>
            <w:tcBorders>
              <w:top w:val="single" w:color="auto" w:sz="12" w:space="0"/>
              <w:left w:val="nil"/>
              <w:bottom w:val="single" w:color="auto" w:sz="4" w:space="0"/>
              <w:right w:val="nil"/>
            </w:tcBorders>
            <w:vAlign w:val="center"/>
          </w:tcPr>
          <w:p w14:paraId="33F9B32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Theme="minorEastAsia"/>
                <w:color w:val="auto"/>
                <w:kern w:val="0"/>
                <w:sz w:val="20"/>
                <w:szCs w:val="20"/>
                <w:lang w:val="en-US" w:eastAsia="zh-CN" w:bidi="ar"/>
              </w:rPr>
            </w:pPr>
            <w:r>
              <w:rPr>
                <w:rFonts w:hint="eastAsia" w:ascii="Times New Roman" w:hAnsi="Times New Roman" w:eastAsiaTheme="minorEastAsia"/>
                <w:color w:val="auto"/>
                <w:kern w:val="0"/>
                <w:sz w:val="20"/>
                <w:szCs w:val="20"/>
                <w:lang w:val="en-US" w:eastAsia="zh-CN" w:bidi="ar"/>
              </w:rPr>
              <w:t>Group</w:t>
            </w:r>
          </w:p>
        </w:tc>
        <w:tc>
          <w:tcPr>
            <w:tcW w:w="319" w:type="pct"/>
            <w:tcBorders>
              <w:top w:val="single" w:color="auto" w:sz="12" w:space="0"/>
              <w:left w:val="nil"/>
              <w:bottom w:val="single" w:color="auto" w:sz="4" w:space="0"/>
              <w:right w:val="nil"/>
            </w:tcBorders>
            <w:vAlign w:val="center"/>
          </w:tcPr>
          <w:p w14:paraId="256B97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Theme="minorEastAsia"/>
                <w:color w:val="auto"/>
                <w:kern w:val="0"/>
                <w:sz w:val="20"/>
                <w:szCs w:val="20"/>
                <w:lang w:bidi="ar"/>
              </w:rPr>
            </w:pPr>
            <w:r>
              <w:rPr>
                <w:rFonts w:hint="eastAsia" w:ascii="Times New Roman" w:hAnsi="Times New Roman" w:eastAsiaTheme="minorEastAsia"/>
                <w:color w:val="auto"/>
                <w:kern w:val="0"/>
                <w:sz w:val="20"/>
                <w:szCs w:val="20"/>
                <w:lang w:bidi="ar"/>
              </w:rPr>
              <w:t>N</w:t>
            </w:r>
          </w:p>
        </w:tc>
        <w:tc>
          <w:tcPr>
            <w:tcW w:w="633" w:type="pct"/>
            <w:tcBorders>
              <w:top w:val="single" w:color="auto" w:sz="12" w:space="0"/>
              <w:left w:val="nil"/>
              <w:bottom w:val="single" w:color="auto" w:sz="4" w:space="0"/>
              <w:right w:val="nil"/>
            </w:tcBorders>
            <w:vAlign w:val="center"/>
          </w:tcPr>
          <w:p w14:paraId="2998D8D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olor w:val="auto"/>
                <w:sz w:val="20"/>
                <w:szCs w:val="20"/>
                <w:lang w:val="en-US" w:eastAsia="zh-CN"/>
              </w:rPr>
            </w:pPr>
            <w:r>
              <w:rPr>
                <w:rFonts w:hint="eastAsia" w:ascii="Times New Roman" w:hAnsi="Times New Roman"/>
                <w:color w:val="auto"/>
                <w:sz w:val="20"/>
                <w:szCs w:val="20"/>
                <w:lang w:val="en-US" w:eastAsia="zh-CN"/>
              </w:rPr>
              <w:t>Time Point</w:t>
            </w:r>
          </w:p>
        </w:tc>
        <w:tc>
          <w:tcPr>
            <w:tcW w:w="1067" w:type="pct"/>
            <w:tcBorders>
              <w:top w:val="single" w:color="auto" w:sz="12" w:space="0"/>
              <w:left w:val="nil"/>
              <w:bottom w:val="single" w:color="auto" w:sz="4" w:space="0"/>
              <w:right w:val="nil"/>
            </w:tcBorders>
            <w:vAlign w:val="center"/>
          </w:tcPr>
          <w:p w14:paraId="5C3CF1F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eastAsiaTheme="minorEastAsia"/>
                <w:color w:val="auto"/>
                <w:kern w:val="0"/>
                <w:sz w:val="20"/>
                <w:szCs w:val="20"/>
                <w:lang w:eastAsia="zh-CN" w:bidi="ar"/>
              </w:rPr>
            </w:pPr>
            <w:r>
              <w:rPr>
                <w:rFonts w:hint="eastAsia" w:ascii="Times New Roman" w:hAnsi="Times New Roman" w:eastAsiaTheme="minorEastAsia"/>
                <w:color w:val="auto"/>
                <w:sz w:val="20"/>
                <w:szCs w:val="20"/>
                <w:lang w:eastAsia="zh-CN"/>
              </w:rPr>
              <w:t>Shannon's Diversity Index</w:t>
            </w:r>
          </w:p>
        </w:tc>
        <w:tc>
          <w:tcPr>
            <w:tcW w:w="1067" w:type="pct"/>
            <w:tcBorders>
              <w:top w:val="single" w:color="auto" w:sz="12" w:space="0"/>
              <w:left w:val="nil"/>
              <w:bottom w:val="single" w:color="auto" w:sz="4" w:space="0"/>
              <w:right w:val="nil"/>
            </w:tcBorders>
            <w:vAlign w:val="center"/>
          </w:tcPr>
          <w:p w14:paraId="4D66C23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Theme="minorEastAsia"/>
                <w:color w:val="auto"/>
                <w:kern w:val="0"/>
                <w:sz w:val="20"/>
                <w:szCs w:val="20"/>
                <w:lang w:bidi="ar"/>
              </w:rPr>
            </w:pPr>
            <w:r>
              <w:rPr>
                <w:rFonts w:hint="eastAsia" w:ascii="Times New Roman" w:hAnsi="Times New Roman"/>
                <w:color w:val="auto"/>
                <w:sz w:val="20"/>
                <w:szCs w:val="20"/>
              </w:rPr>
              <w:t>Simpson</w:t>
            </w:r>
            <w:r>
              <w:rPr>
                <w:rFonts w:hint="eastAsia" w:ascii="Times New Roman" w:hAnsi="Times New Roman"/>
                <w:color w:val="auto"/>
                <w:sz w:val="20"/>
                <w:szCs w:val="20"/>
                <w:highlight w:val="none"/>
                <w:lang w:val="en-US" w:eastAsia="zh-CN"/>
              </w:rPr>
              <w:t xml:space="preserve">'s Diversity </w:t>
            </w:r>
            <w:r>
              <w:rPr>
                <w:rFonts w:hint="eastAsia" w:ascii="Times New Roman" w:hAnsi="Times New Roman"/>
                <w:color w:val="auto"/>
                <w:sz w:val="20"/>
                <w:szCs w:val="20"/>
              </w:rPr>
              <w:t>Index</w:t>
            </w:r>
          </w:p>
        </w:tc>
        <w:tc>
          <w:tcPr>
            <w:tcW w:w="1277" w:type="pct"/>
            <w:tcBorders>
              <w:top w:val="single" w:color="auto" w:sz="12" w:space="0"/>
              <w:left w:val="nil"/>
              <w:bottom w:val="single" w:color="auto" w:sz="4" w:space="0"/>
              <w:right w:val="nil"/>
            </w:tcBorders>
            <w:vAlign w:val="center"/>
          </w:tcPr>
          <w:p w14:paraId="061DA9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Theme="minorEastAsia"/>
                <w:i/>
                <w:iCs/>
                <w:color w:val="auto"/>
                <w:kern w:val="0"/>
                <w:sz w:val="20"/>
                <w:szCs w:val="20"/>
                <w:lang w:bidi="ar"/>
              </w:rPr>
            </w:pPr>
            <w:r>
              <w:rPr>
                <w:rFonts w:hint="eastAsia" w:ascii="Times New Roman" w:hAnsi="Times New Roman"/>
                <w:color w:val="auto"/>
                <w:sz w:val="20"/>
                <w:szCs w:val="20"/>
              </w:rPr>
              <w:t>InvSimpson</w:t>
            </w:r>
            <w:r>
              <w:rPr>
                <w:rFonts w:hint="eastAsia" w:ascii="Times New Roman" w:hAnsi="Times New Roman"/>
                <w:color w:val="auto"/>
                <w:sz w:val="20"/>
                <w:szCs w:val="20"/>
                <w:highlight w:val="none"/>
                <w:lang w:val="en-US" w:eastAsia="zh-CN"/>
              </w:rPr>
              <w:t xml:space="preserve">'s Diversity </w:t>
            </w:r>
            <w:r>
              <w:rPr>
                <w:rFonts w:hint="eastAsia" w:ascii="Times New Roman" w:hAnsi="Times New Roman"/>
                <w:color w:val="auto"/>
                <w:sz w:val="20"/>
                <w:szCs w:val="20"/>
              </w:rPr>
              <w:t>Index</w:t>
            </w:r>
          </w:p>
        </w:tc>
      </w:tr>
      <w:tr w14:paraId="17B1A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33" w:type="pct"/>
            <w:vMerge w:val="restart"/>
            <w:tcBorders>
              <w:top w:val="single" w:color="auto" w:sz="4" w:space="0"/>
              <w:left w:val="nil"/>
              <w:right w:val="nil"/>
            </w:tcBorders>
            <w:vAlign w:val="center"/>
          </w:tcPr>
          <w:p w14:paraId="04DEC94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Theme="minorEastAsia"/>
                <w:color w:val="auto"/>
                <w:kern w:val="0"/>
                <w:sz w:val="20"/>
                <w:szCs w:val="20"/>
                <w:lang w:val="en-US" w:eastAsia="zh-CN" w:bidi="ar"/>
              </w:rPr>
            </w:pPr>
            <w:r>
              <w:rPr>
                <w:rFonts w:hint="eastAsia" w:ascii="Times New Roman" w:hAnsi="Times New Roman" w:eastAsiaTheme="minorEastAsia"/>
                <w:color w:val="auto"/>
                <w:kern w:val="0"/>
                <w:sz w:val="20"/>
                <w:szCs w:val="20"/>
                <w:lang w:val="en-US" w:eastAsia="zh-CN" w:bidi="ar"/>
              </w:rPr>
              <w:t>taVNS</w:t>
            </w:r>
          </w:p>
        </w:tc>
        <w:tc>
          <w:tcPr>
            <w:tcW w:w="319" w:type="pct"/>
            <w:vMerge w:val="restart"/>
            <w:tcBorders>
              <w:top w:val="single" w:color="auto" w:sz="4" w:space="0"/>
              <w:left w:val="nil"/>
              <w:right w:val="nil"/>
            </w:tcBorders>
            <w:vAlign w:val="center"/>
          </w:tcPr>
          <w:p w14:paraId="29E05A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sz w:val="20"/>
                <w:szCs w:val="20"/>
              </w:rPr>
              <w:t>40</w:t>
            </w:r>
          </w:p>
        </w:tc>
        <w:tc>
          <w:tcPr>
            <w:tcW w:w="633" w:type="pct"/>
            <w:tcBorders>
              <w:top w:val="single" w:color="auto" w:sz="4" w:space="0"/>
              <w:left w:val="nil"/>
              <w:bottom w:val="nil"/>
              <w:right w:val="nil"/>
            </w:tcBorders>
            <w:vAlign w:val="center"/>
          </w:tcPr>
          <w:p w14:paraId="3A712FA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olor w:val="auto"/>
                <w:kern w:val="0"/>
                <w:sz w:val="20"/>
                <w:szCs w:val="20"/>
                <w:lang w:val="en-US" w:eastAsia="zh-CN" w:bidi="ar"/>
              </w:rPr>
            </w:pPr>
            <w:r>
              <w:rPr>
                <w:rFonts w:hint="eastAsia" w:ascii="Times New Roman" w:hAnsi="Times New Roman"/>
                <w:color w:val="auto"/>
                <w:kern w:val="0"/>
                <w:sz w:val="20"/>
                <w:szCs w:val="20"/>
                <w:lang w:val="en-US" w:eastAsia="zh-CN" w:bidi="ar"/>
              </w:rPr>
              <w:t>Pre</w:t>
            </w:r>
          </w:p>
        </w:tc>
        <w:tc>
          <w:tcPr>
            <w:tcW w:w="1067" w:type="pct"/>
            <w:tcBorders>
              <w:top w:val="single" w:color="auto" w:sz="4" w:space="0"/>
              <w:left w:val="nil"/>
              <w:bottom w:val="nil"/>
              <w:right w:val="nil"/>
            </w:tcBorders>
            <w:vAlign w:val="center"/>
          </w:tcPr>
          <w:p w14:paraId="199BEDD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3.38±0.42</w:t>
            </w:r>
          </w:p>
        </w:tc>
        <w:tc>
          <w:tcPr>
            <w:tcW w:w="1067" w:type="pct"/>
            <w:tcBorders>
              <w:top w:val="single" w:color="auto" w:sz="4" w:space="0"/>
              <w:left w:val="nil"/>
              <w:bottom w:val="nil"/>
              <w:right w:val="nil"/>
            </w:tcBorders>
            <w:vAlign w:val="center"/>
          </w:tcPr>
          <w:p w14:paraId="2644F88D">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0.92±0.03</w:t>
            </w:r>
          </w:p>
        </w:tc>
        <w:tc>
          <w:tcPr>
            <w:tcW w:w="1277" w:type="pct"/>
            <w:tcBorders>
              <w:top w:val="single" w:color="auto" w:sz="4" w:space="0"/>
              <w:left w:val="nil"/>
              <w:bottom w:val="nil"/>
              <w:right w:val="nil"/>
            </w:tcBorders>
            <w:vAlign w:val="center"/>
          </w:tcPr>
          <w:p w14:paraId="4DF0BF5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17.94±9.18</w:t>
            </w:r>
          </w:p>
        </w:tc>
      </w:tr>
      <w:tr w14:paraId="38C8E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633" w:type="pct"/>
            <w:vMerge w:val="continue"/>
            <w:tcBorders>
              <w:left w:val="nil"/>
              <w:bottom w:val="nil"/>
              <w:right w:val="nil"/>
            </w:tcBorders>
            <w:vAlign w:val="center"/>
          </w:tcPr>
          <w:p w14:paraId="459CAAF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p>
        </w:tc>
        <w:tc>
          <w:tcPr>
            <w:tcW w:w="319" w:type="pct"/>
            <w:vMerge w:val="continue"/>
            <w:tcBorders>
              <w:left w:val="nil"/>
              <w:bottom w:val="nil"/>
              <w:right w:val="nil"/>
            </w:tcBorders>
            <w:vAlign w:val="center"/>
          </w:tcPr>
          <w:p w14:paraId="48D9EEB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sz w:val="20"/>
                <w:szCs w:val="20"/>
              </w:rPr>
            </w:pPr>
          </w:p>
        </w:tc>
        <w:tc>
          <w:tcPr>
            <w:tcW w:w="633" w:type="pct"/>
            <w:tcBorders>
              <w:top w:val="nil"/>
              <w:left w:val="nil"/>
              <w:bottom w:val="nil"/>
              <w:right w:val="nil"/>
            </w:tcBorders>
            <w:vAlign w:val="center"/>
          </w:tcPr>
          <w:p w14:paraId="524E5A2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eastAsia="宋体"/>
                <w:color w:val="auto"/>
                <w:kern w:val="0"/>
                <w:sz w:val="20"/>
                <w:szCs w:val="20"/>
                <w:lang w:val="en-US" w:eastAsia="zh-CN" w:bidi="ar"/>
              </w:rPr>
            </w:pPr>
            <w:r>
              <w:rPr>
                <w:rFonts w:hint="eastAsia" w:ascii="Times New Roman" w:hAnsi="Times New Roman"/>
                <w:color w:val="auto"/>
                <w:kern w:val="0"/>
                <w:sz w:val="20"/>
                <w:szCs w:val="20"/>
                <w:lang w:val="en-US" w:eastAsia="zh-CN" w:bidi="ar"/>
              </w:rPr>
              <w:t>Post</w:t>
            </w:r>
          </w:p>
        </w:tc>
        <w:tc>
          <w:tcPr>
            <w:tcW w:w="1067" w:type="pct"/>
            <w:tcBorders>
              <w:top w:val="nil"/>
              <w:left w:val="nil"/>
              <w:bottom w:val="nil"/>
              <w:right w:val="nil"/>
            </w:tcBorders>
            <w:vAlign w:val="center"/>
          </w:tcPr>
          <w:p w14:paraId="47CEF1B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3.33±0.42</w:t>
            </w:r>
          </w:p>
        </w:tc>
        <w:tc>
          <w:tcPr>
            <w:tcW w:w="1067" w:type="pct"/>
            <w:tcBorders>
              <w:top w:val="nil"/>
              <w:left w:val="nil"/>
              <w:bottom w:val="nil"/>
              <w:right w:val="nil"/>
            </w:tcBorders>
            <w:vAlign w:val="center"/>
          </w:tcPr>
          <w:p w14:paraId="7102DC9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0.92±0.05</w:t>
            </w:r>
          </w:p>
        </w:tc>
        <w:tc>
          <w:tcPr>
            <w:tcW w:w="1277" w:type="pct"/>
            <w:tcBorders>
              <w:top w:val="nil"/>
              <w:left w:val="nil"/>
              <w:bottom w:val="nil"/>
              <w:right w:val="nil"/>
            </w:tcBorders>
            <w:vAlign w:val="center"/>
          </w:tcPr>
          <w:p w14:paraId="1C58375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17.11±7.65</w:t>
            </w:r>
          </w:p>
        </w:tc>
      </w:tr>
      <w:tr w14:paraId="4AB06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 w:hRule="atLeast"/>
          <w:jc w:val="center"/>
        </w:trPr>
        <w:tc>
          <w:tcPr>
            <w:tcW w:w="633" w:type="pct"/>
            <w:vMerge w:val="restart"/>
            <w:tcBorders>
              <w:top w:val="nil"/>
              <w:left w:val="nil"/>
              <w:right w:val="nil"/>
            </w:tcBorders>
            <w:vAlign w:val="center"/>
          </w:tcPr>
          <w:p w14:paraId="76F8DF93">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eastAsia="宋体"/>
                <w:color w:val="auto"/>
                <w:kern w:val="0"/>
                <w:sz w:val="20"/>
                <w:szCs w:val="20"/>
                <w:lang w:val="en-US" w:eastAsia="zh-CN" w:bidi="ar"/>
              </w:rPr>
            </w:pPr>
            <w:r>
              <w:rPr>
                <w:rFonts w:hint="eastAsia" w:ascii="Times New Roman" w:hAnsi="Times New Roman"/>
                <w:color w:val="auto"/>
                <w:kern w:val="0"/>
                <w:sz w:val="20"/>
                <w:szCs w:val="20"/>
                <w:lang w:val="en-US" w:eastAsia="zh-CN" w:bidi="ar"/>
              </w:rPr>
              <w:t>sham-taVNS</w:t>
            </w:r>
          </w:p>
        </w:tc>
        <w:tc>
          <w:tcPr>
            <w:tcW w:w="319" w:type="pct"/>
            <w:vMerge w:val="restart"/>
            <w:tcBorders>
              <w:top w:val="nil"/>
              <w:left w:val="nil"/>
              <w:right w:val="nil"/>
            </w:tcBorders>
            <w:vAlign w:val="center"/>
          </w:tcPr>
          <w:p w14:paraId="42DCBC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sz w:val="20"/>
                <w:szCs w:val="20"/>
              </w:rPr>
              <w:t>40</w:t>
            </w:r>
          </w:p>
        </w:tc>
        <w:tc>
          <w:tcPr>
            <w:tcW w:w="633" w:type="pct"/>
            <w:tcBorders>
              <w:top w:val="nil"/>
              <w:left w:val="nil"/>
              <w:bottom w:val="nil"/>
              <w:right w:val="nil"/>
            </w:tcBorders>
            <w:vAlign w:val="center"/>
          </w:tcPr>
          <w:p w14:paraId="36A2718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val="en-US" w:eastAsia="zh-CN" w:bidi="ar"/>
              </w:rPr>
              <w:t>Pre</w:t>
            </w:r>
          </w:p>
        </w:tc>
        <w:tc>
          <w:tcPr>
            <w:tcW w:w="1067" w:type="pct"/>
            <w:tcBorders>
              <w:top w:val="nil"/>
              <w:left w:val="nil"/>
              <w:bottom w:val="nil"/>
              <w:right w:val="nil"/>
            </w:tcBorders>
            <w:vAlign w:val="center"/>
          </w:tcPr>
          <w:p w14:paraId="0A16EB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3.30±0.41</w:t>
            </w:r>
          </w:p>
        </w:tc>
        <w:tc>
          <w:tcPr>
            <w:tcW w:w="1067" w:type="pct"/>
            <w:tcBorders>
              <w:top w:val="nil"/>
              <w:left w:val="nil"/>
              <w:bottom w:val="nil"/>
              <w:right w:val="nil"/>
            </w:tcBorders>
            <w:vAlign w:val="center"/>
          </w:tcPr>
          <w:p w14:paraId="7E5BC61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0.91±0.05</w:t>
            </w:r>
          </w:p>
        </w:tc>
        <w:tc>
          <w:tcPr>
            <w:tcW w:w="1277" w:type="pct"/>
            <w:tcBorders>
              <w:top w:val="nil"/>
              <w:left w:val="nil"/>
              <w:bottom w:val="nil"/>
              <w:right w:val="nil"/>
            </w:tcBorders>
            <w:vAlign w:val="center"/>
          </w:tcPr>
          <w:p w14:paraId="0B576FC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17.34±6.67</w:t>
            </w:r>
          </w:p>
        </w:tc>
      </w:tr>
      <w:tr w14:paraId="1F453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jc w:val="center"/>
        </w:trPr>
        <w:tc>
          <w:tcPr>
            <w:tcW w:w="633" w:type="pct"/>
            <w:vMerge w:val="continue"/>
            <w:tcBorders>
              <w:left w:val="nil"/>
              <w:bottom w:val="single" w:color="auto" w:sz="12" w:space="0"/>
              <w:right w:val="nil"/>
            </w:tcBorders>
            <w:vAlign w:val="center"/>
          </w:tcPr>
          <w:p w14:paraId="4F8920D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p>
        </w:tc>
        <w:tc>
          <w:tcPr>
            <w:tcW w:w="319" w:type="pct"/>
            <w:vMerge w:val="continue"/>
            <w:tcBorders>
              <w:left w:val="nil"/>
              <w:bottom w:val="single" w:color="auto" w:sz="12" w:space="0"/>
              <w:right w:val="nil"/>
            </w:tcBorders>
            <w:vAlign w:val="center"/>
          </w:tcPr>
          <w:p w14:paraId="7B1A728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p>
        </w:tc>
        <w:tc>
          <w:tcPr>
            <w:tcW w:w="633" w:type="pct"/>
            <w:tcBorders>
              <w:top w:val="nil"/>
              <w:left w:val="nil"/>
              <w:bottom w:val="single" w:color="auto" w:sz="12" w:space="0"/>
              <w:right w:val="nil"/>
            </w:tcBorders>
            <w:vAlign w:val="center"/>
          </w:tcPr>
          <w:p w14:paraId="710B767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eastAsia" w:ascii="Times New Roman" w:hAnsi="Times New Roman" w:eastAsia="宋体"/>
                <w:color w:val="auto"/>
                <w:kern w:val="0"/>
                <w:sz w:val="20"/>
                <w:szCs w:val="20"/>
                <w:lang w:val="en-US" w:eastAsia="zh-CN" w:bidi="ar"/>
              </w:rPr>
            </w:pPr>
            <w:r>
              <w:rPr>
                <w:rFonts w:hint="eastAsia" w:ascii="Times New Roman" w:hAnsi="Times New Roman"/>
                <w:color w:val="auto"/>
                <w:kern w:val="0"/>
                <w:sz w:val="20"/>
                <w:szCs w:val="20"/>
                <w:lang w:val="en-US" w:eastAsia="zh-CN" w:bidi="ar"/>
              </w:rPr>
              <w:t>Post</w:t>
            </w:r>
          </w:p>
        </w:tc>
        <w:tc>
          <w:tcPr>
            <w:tcW w:w="1067" w:type="pct"/>
            <w:tcBorders>
              <w:top w:val="nil"/>
              <w:left w:val="nil"/>
              <w:bottom w:val="single" w:color="auto" w:sz="12" w:space="0"/>
              <w:right w:val="nil"/>
            </w:tcBorders>
            <w:vAlign w:val="center"/>
          </w:tcPr>
          <w:p w14:paraId="62F184B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3.19±0.60</w:t>
            </w:r>
          </w:p>
        </w:tc>
        <w:tc>
          <w:tcPr>
            <w:tcW w:w="1067" w:type="pct"/>
            <w:tcBorders>
              <w:top w:val="nil"/>
              <w:left w:val="nil"/>
              <w:bottom w:val="single" w:color="auto" w:sz="12" w:space="0"/>
              <w:right w:val="nil"/>
            </w:tcBorders>
            <w:vAlign w:val="center"/>
          </w:tcPr>
          <w:p w14:paraId="2E87C5EB">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0.90±0.09</w:t>
            </w:r>
          </w:p>
        </w:tc>
        <w:tc>
          <w:tcPr>
            <w:tcW w:w="1277" w:type="pct"/>
            <w:tcBorders>
              <w:top w:val="nil"/>
              <w:left w:val="nil"/>
              <w:bottom w:val="single" w:color="auto" w:sz="12" w:space="0"/>
              <w:right w:val="nil"/>
            </w:tcBorders>
            <w:vAlign w:val="center"/>
          </w:tcPr>
          <w:p w14:paraId="557F03A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firstLine="0" w:firstLineChars="0"/>
              <w:jc w:val="center"/>
              <w:textAlignment w:val="auto"/>
              <w:rPr>
                <w:rFonts w:hint="default" w:ascii="Times New Roman" w:hAnsi="Times New Roman"/>
                <w:color w:val="auto"/>
                <w:kern w:val="0"/>
                <w:sz w:val="20"/>
                <w:szCs w:val="20"/>
                <w:lang w:bidi="ar"/>
              </w:rPr>
            </w:pPr>
            <w:r>
              <w:rPr>
                <w:rFonts w:hint="eastAsia" w:ascii="Times New Roman" w:hAnsi="Times New Roman"/>
                <w:color w:val="auto"/>
                <w:kern w:val="0"/>
                <w:sz w:val="20"/>
                <w:szCs w:val="20"/>
                <w:lang w:bidi="ar"/>
              </w:rPr>
              <w:t>17.49±7.70</w:t>
            </w:r>
          </w:p>
        </w:tc>
      </w:tr>
    </w:tbl>
    <w:p w14:paraId="1069FB1C">
      <w:pPr>
        <w:keepNext w:val="0"/>
        <w:keepLines w:val="0"/>
        <w:pageBreakBefore w:val="0"/>
        <w:widowControl w:val="0"/>
        <w:kinsoku/>
        <w:wordWrap/>
        <w:overflowPunct/>
        <w:topLinePunct w:val="0"/>
        <w:autoSpaceDE/>
        <w:autoSpaceDN/>
        <w:bidi w:val="0"/>
        <w:adjustRightInd/>
        <w:snapToGrid/>
        <w:spacing w:line="360" w:lineRule="auto"/>
        <w:ind w:firstLine="0"/>
        <w:jc w:val="both"/>
        <w:textAlignment w:val="auto"/>
        <w:rPr>
          <w:rFonts w:hint="eastAsia" w:ascii="Times New Roman" w:hAnsi="Times New Roman"/>
          <w:color w:val="auto"/>
          <w:sz w:val="21"/>
          <w:szCs w:val="21"/>
        </w:rPr>
      </w:pPr>
    </w:p>
    <w:p w14:paraId="4172DA58">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PS灵秀黑">
    <w:panose1 w:val="00000000000000000000"/>
    <w:charset w:val="86"/>
    <w:family w:val="auto"/>
    <w:pitch w:val="default"/>
    <w:sig w:usb0="00000001" w:usb1="08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A315B6"/>
    <w:rsid w:val="0DA315B6"/>
    <w:rsid w:val="265A3939"/>
    <w:rsid w:val="4E0F2217"/>
    <w:rsid w:val="5FA805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767</Words>
  <Characters>4052</Characters>
  <Lines>0</Lines>
  <Paragraphs>0</Paragraphs>
  <TotalTime>4</TotalTime>
  <ScaleCrop>false</ScaleCrop>
  <LinksUpToDate>false</LinksUpToDate>
  <CharactersWithSpaces>4559</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2025-04-01T14:42:00Z</dcterms:created>
  <dc:creator>Mâyuè__</dc:creator>
  <cp:lastModifiedBy>Mâyuè__</cp:lastModifiedBy>
  <dcterms:modified xsi:type="dcterms:W3CDTF">2025-06-05T05:21:13Z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7BE5EDDA5E5948F8821C5E802AA9F6B2_11</vt:lpwstr>
  </property>
  <property fmtid="{D5CDD505-2E9C-101B-9397-08002B2CF9AE}" pid="4" name="KSOTemplateDocerSaveRecord">
    <vt:lpwstr>eyJoZGlkIjoiMzgzNjQ2MTc5N2ZhNDU5Y2ZhM2RmMTYwMGM1NjA2N2QiLCJ1c2VySWQiOiIzNDM0NDQzNTMifQ==</vt:lpwstr>
  </property>
</Properties>
</file>