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85B8D">
      <w:pPr>
        <w:spacing w:line="360" w:lineRule="auto"/>
        <w:jc w:val="center"/>
        <w:rPr>
          <w:rFonts w:hint="default" w:ascii="Arial" w:hAnsi="Arial" w:cs="Arial"/>
          <w:b/>
          <w:bCs/>
          <w:sz w:val="22"/>
          <w:szCs w:val="22"/>
        </w:rPr>
      </w:pP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Supplementary</w:t>
      </w: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 xml:space="preserve"> Table 1</w:t>
      </w:r>
      <w:r>
        <w:rPr>
          <w:rFonts w:hint="default" w:ascii="Arial" w:hAnsi="Arial" w:cs="Arial"/>
          <w:b/>
          <w:bCs/>
          <w:sz w:val="22"/>
          <w:szCs w:val="22"/>
        </w:rPr>
        <w:t xml:space="preserve">. Descriptive Statistics of Clinical Outcome Measures Across </w:t>
      </w: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>All</w:t>
      </w:r>
      <w:r>
        <w:rPr>
          <w:rFonts w:hint="default" w:ascii="Arial" w:hAnsi="Arial" w:cs="Arial"/>
          <w:b/>
          <w:bCs/>
          <w:sz w:val="22"/>
          <w:szCs w:val="22"/>
        </w:rPr>
        <w:t xml:space="preserve"> Assessment Time Points</w:t>
      </w:r>
      <w:bookmarkStart w:id="0" w:name="_GoBack"/>
      <w:bookmarkEnd w:id="0"/>
    </w:p>
    <w:tbl>
      <w:tblPr>
        <w:tblStyle w:val="5"/>
        <w:tblW w:w="10482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9"/>
        <w:gridCol w:w="1596"/>
        <w:gridCol w:w="2057"/>
        <w:gridCol w:w="4520"/>
      </w:tblGrid>
      <w:tr w14:paraId="5598AA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30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AF0C86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b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59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2E2CA6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b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Me</w:t>
            </w:r>
            <w:r>
              <w:rPr>
                <w:rFonts w:hint="default" w:ascii="Arial" w:hAnsi="Arial" w:cs="Arial"/>
                <w:b/>
                <w:bCs/>
                <w:sz w:val="22"/>
                <w:szCs w:val="22"/>
                <w:lang w:val="en-US" w:eastAsia="zh-CN"/>
              </w:rPr>
              <w:t>an</w:t>
            </w: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±</w:t>
            </w:r>
            <w:r>
              <w:rPr>
                <w:rFonts w:hint="default" w:ascii="Arial" w:hAnsi="Arial" w:cs="Arial"/>
                <w:b/>
                <w:bCs/>
                <w:sz w:val="22"/>
                <w:szCs w:val="22"/>
                <w:lang w:val="en-US" w:eastAsia="zh-CN"/>
              </w:rPr>
              <w:t>SD</w:t>
            </w:r>
          </w:p>
        </w:tc>
        <w:tc>
          <w:tcPr>
            <w:tcW w:w="205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78EECA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Missing (</w:t>
            </w:r>
            <w:r>
              <w:rPr>
                <w:rFonts w:hint="default" w:ascii="Arial" w:hAnsi="Arial" w:cs="Arial"/>
                <w:b/>
                <w:bCs/>
                <w:i/>
                <w:iCs/>
                <w:sz w:val="22"/>
                <w:szCs w:val="22"/>
              </w:rPr>
              <w:t>n</w:t>
            </w: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, %)</w:t>
            </w:r>
          </w:p>
        </w:tc>
        <w:tc>
          <w:tcPr>
            <w:tcW w:w="452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C7A008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hint="eastAsia" w:ascii="Arial" w:hAnsi="Arial" w:cs="Arial"/>
                <w:b/>
                <w:bCs/>
                <w:sz w:val="22"/>
                <w:szCs w:val="22"/>
                <w:lang w:val="en-US" w:eastAsia="zh-CN"/>
              </w:rPr>
              <w:t xml:space="preserve">Missing </w:t>
            </w:r>
            <w:r>
              <w:rPr>
                <w:rFonts w:hint="default" w:ascii="Arial" w:hAnsi="Arial" w:cs="Arial"/>
                <w:b/>
                <w:bCs/>
                <w:sz w:val="22"/>
                <w:szCs w:val="22"/>
                <w:lang w:val="en-US" w:eastAsia="zh-CN"/>
              </w:rPr>
              <w:t>Reasons</w:t>
            </w:r>
          </w:p>
        </w:tc>
      </w:tr>
      <w:tr w14:paraId="1A652D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tcBorders>
              <w:top w:val="single" w:color="auto" w:sz="6" w:space="0"/>
              <w:bottom w:val="nil"/>
            </w:tcBorders>
            <w:vAlign w:val="center"/>
          </w:tcPr>
          <w:p w14:paraId="6AB672F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Style w:val="7"/>
                <w:rFonts w:hint="default" w:ascii="Arial" w:hAnsi="Arial" w:cs="Arial"/>
                <w:sz w:val="22"/>
                <w:szCs w:val="22"/>
              </w:rPr>
              <w:t>HAMD-17</w:t>
            </w:r>
          </w:p>
        </w:tc>
        <w:tc>
          <w:tcPr>
            <w:tcW w:w="1596" w:type="dxa"/>
            <w:tcBorders>
              <w:top w:val="single" w:color="auto" w:sz="6" w:space="0"/>
              <w:bottom w:val="nil"/>
            </w:tcBorders>
            <w:vAlign w:val="center"/>
          </w:tcPr>
          <w:p w14:paraId="7D10E66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color="auto" w:sz="6" w:space="0"/>
              <w:bottom w:val="nil"/>
            </w:tcBorders>
            <w:vAlign w:val="center"/>
          </w:tcPr>
          <w:p w14:paraId="7EB1E6A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4520" w:type="dxa"/>
            <w:tcBorders>
              <w:top w:val="single" w:color="auto" w:sz="6" w:space="0"/>
              <w:bottom w:val="nil"/>
            </w:tcBorders>
            <w:vAlign w:val="center"/>
          </w:tcPr>
          <w:p w14:paraId="6014BDC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31D3D7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tcBorders>
              <w:top w:val="nil"/>
              <w:bottom w:val="nil"/>
            </w:tcBorders>
            <w:vAlign w:val="center"/>
          </w:tcPr>
          <w:p w14:paraId="1284D4D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T0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=32)</w:t>
            </w:r>
          </w:p>
        </w:tc>
        <w:tc>
          <w:tcPr>
            <w:tcW w:w="1596" w:type="dxa"/>
            <w:tcBorders>
              <w:top w:val="nil"/>
              <w:bottom w:val="nil"/>
            </w:tcBorders>
            <w:vAlign w:val="center"/>
          </w:tcPr>
          <w:p w14:paraId="1CA0CA9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23.1±5.78</w:t>
            </w:r>
          </w:p>
        </w:tc>
        <w:tc>
          <w:tcPr>
            <w:tcW w:w="2057" w:type="dxa"/>
            <w:tcBorders>
              <w:top w:val="nil"/>
              <w:bottom w:val="nil"/>
            </w:tcBorders>
            <w:shd w:val="clear"/>
            <w:vAlign w:val="center"/>
          </w:tcPr>
          <w:p w14:paraId="199666D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 (0%)</w:t>
            </w:r>
          </w:p>
        </w:tc>
        <w:tc>
          <w:tcPr>
            <w:tcW w:w="4520" w:type="dxa"/>
            <w:tcBorders>
              <w:top w:val="nil"/>
              <w:bottom w:val="nil"/>
            </w:tcBorders>
            <w:shd w:val="clear"/>
            <w:vAlign w:val="center"/>
          </w:tcPr>
          <w:p w14:paraId="6D9B257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-</w:t>
            </w:r>
          </w:p>
        </w:tc>
      </w:tr>
      <w:tr w14:paraId="49EA82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tcBorders>
              <w:top w:val="nil"/>
              <w:bottom w:val="nil"/>
            </w:tcBorders>
            <w:vAlign w:val="center"/>
          </w:tcPr>
          <w:p w14:paraId="7379A96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T1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=32)</w:t>
            </w:r>
          </w:p>
        </w:tc>
        <w:tc>
          <w:tcPr>
            <w:tcW w:w="1596" w:type="dxa"/>
            <w:tcBorders>
              <w:top w:val="nil"/>
              <w:bottom w:val="nil"/>
            </w:tcBorders>
            <w:vAlign w:val="center"/>
          </w:tcPr>
          <w:p w14:paraId="70279CD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11.3±5.83</w:t>
            </w:r>
          </w:p>
        </w:tc>
        <w:tc>
          <w:tcPr>
            <w:tcW w:w="2057" w:type="dxa"/>
            <w:tcBorders>
              <w:top w:val="nil"/>
              <w:bottom w:val="nil"/>
            </w:tcBorders>
            <w:shd w:val="clear"/>
            <w:vAlign w:val="center"/>
          </w:tcPr>
          <w:p w14:paraId="661A89F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 (0%)</w:t>
            </w:r>
          </w:p>
        </w:tc>
        <w:tc>
          <w:tcPr>
            <w:tcW w:w="4520" w:type="dxa"/>
            <w:tcBorders>
              <w:top w:val="nil"/>
              <w:bottom w:val="nil"/>
            </w:tcBorders>
            <w:shd w:val="clear"/>
            <w:vAlign w:val="center"/>
          </w:tcPr>
          <w:p w14:paraId="52801F8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-</w:t>
            </w:r>
          </w:p>
        </w:tc>
      </w:tr>
      <w:tr w14:paraId="502D89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tcBorders>
              <w:top w:val="nil"/>
              <w:bottom w:val="nil"/>
            </w:tcBorders>
            <w:vAlign w:val="center"/>
          </w:tcPr>
          <w:p w14:paraId="6D4CBDB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T2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=26)</w:t>
            </w:r>
          </w:p>
        </w:tc>
        <w:tc>
          <w:tcPr>
            <w:tcW w:w="1596" w:type="dxa"/>
            <w:tcBorders>
              <w:top w:val="nil"/>
              <w:bottom w:val="nil"/>
            </w:tcBorders>
            <w:vAlign w:val="center"/>
          </w:tcPr>
          <w:p w14:paraId="0E80243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11.4±6.51</w:t>
            </w:r>
          </w:p>
        </w:tc>
        <w:tc>
          <w:tcPr>
            <w:tcW w:w="2057" w:type="dxa"/>
            <w:tcBorders>
              <w:top w:val="nil"/>
              <w:bottom w:val="nil"/>
            </w:tcBorders>
            <w:shd w:val="clear"/>
            <w:vAlign w:val="center"/>
          </w:tcPr>
          <w:p w14:paraId="671FA4E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6 (18.8%)</w:t>
            </w:r>
          </w:p>
        </w:tc>
        <w:tc>
          <w:tcPr>
            <w:tcW w:w="4520" w:type="dxa"/>
            <w:tcBorders>
              <w:top w:val="nil"/>
              <w:bottom w:val="nil"/>
            </w:tcBorders>
            <w:shd w:val="clear"/>
            <w:vAlign w:val="center"/>
          </w:tcPr>
          <w:p w14:paraId="5B09F62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Not able to contact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=6)</w:t>
            </w:r>
          </w:p>
        </w:tc>
      </w:tr>
      <w:tr w14:paraId="69B991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tcBorders>
              <w:top w:val="nil"/>
              <w:bottom w:val="nil"/>
            </w:tcBorders>
            <w:vAlign w:val="center"/>
          </w:tcPr>
          <w:p w14:paraId="3E2E6D5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T3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=30)</w:t>
            </w:r>
          </w:p>
        </w:tc>
        <w:tc>
          <w:tcPr>
            <w:tcW w:w="1596" w:type="dxa"/>
            <w:tcBorders>
              <w:top w:val="nil"/>
              <w:bottom w:val="nil"/>
            </w:tcBorders>
            <w:vAlign w:val="center"/>
          </w:tcPr>
          <w:p w14:paraId="579B8BB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12.0±6.72</w:t>
            </w:r>
          </w:p>
        </w:tc>
        <w:tc>
          <w:tcPr>
            <w:tcW w:w="2057" w:type="dxa"/>
            <w:tcBorders>
              <w:top w:val="nil"/>
              <w:bottom w:val="nil"/>
            </w:tcBorders>
            <w:shd w:val="clear"/>
            <w:vAlign w:val="center"/>
          </w:tcPr>
          <w:p w14:paraId="4D3B0CC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2(6.3%)</w:t>
            </w:r>
          </w:p>
        </w:tc>
        <w:tc>
          <w:tcPr>
            <w:tcW w:w="4520" w:type="dxa"/>
            <w:tcBorders>
              <w:top w:val="nil"/>
              <w:bottom w:val="nil"/>
            </w:tcBorders>
            <w:shd w:val="clear"/>
            <w:vAlign w:val="center"/>
          </w:tcPr>
          <w:p w14:paraId="62E5A9A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Not able to contact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=2)</w:t>
            </w:r>
          </w:p>
        </w:tc>
      </w:tr>
      <w:tr w14:paraId="3F91DC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tcBorders>
              <w:top w:val="nil"/>
            </w:tcBorders>
            <w:vAlign w:val="center"/>
          </w:tcPr>
          <w:p w14:paraId="2813DC0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Style w:val="7"/>
                <w:rFonts w:hint="default" w:ascii="Arial" w:hAnsi="Arial" w:cs="Arial"/>
                <w:sz w:val="22"/>
                <w:szCs w:val="22"/>
              </w:rPr>
              <w:t>MADRS</w:t>
            </w:r>
          </w:p>
        </w:tc>
        <w:tc>
          <w:tcPr>
            <w:tcW w:w="1596" w:type="dxa"/>
            <w:tcBorders>
              <w:top w:val="nil"/>
            </w:tcBorders>
            <w:vAlign w:val="center"/>
          </w:tcPr>
          <w:p w14:paraId="530BA57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nil"/>
            </w:tcBorders>
            <w:vAlign w:val="center"/>
          </w:tcPr>
          <w:p w14:paraId="1F83302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4520" w:type="dxa"/>
            <w:tcBorders>
              <w:top w:val="nil"/>
            </w:tcBorders>
            <w:vAlign w:val="center"/>
          </w:tcPr>
          <w:p w14:paraId="38E317F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78846E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2EAEE8B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T0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=32)</w:t>
            </w:r>
          </w:p>
        </w:tc>
        <w:tc>
          <w:tcPr>
            <w:tcW w:w="1596" w:type="dxa"/>
            <w:vAlign w:val="center"/>
          </w:tcPr>
          <w:p w14:paraId="4D471E3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31.6±8.20</w:t>
            </w:r>
          </w:p>
        </w:tc>
        <w:tc>
          <w:tcPr>
            <w:tcW w:w="2057" w:type="dxa"/>
            <w:shd w:val="clear"/>
            <w:vAlign w:val="center"/>
          </w:tcPr>
          <w:p w14:paraId="62ADBEA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 (0%)</w:t>
            </w:r>
          </w:p>
        </w:tc>
        <w:tc>
          <w:tcPr>
            <w:tcW w:w="4520" w:type="dxa"/>
            <w:shd w:val="clear"/>
            <w:vAlign w:val="center"/>
          </w:tcPr>
          <w:p w14:paraId="519620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-</w:t>
            </w:r>
          </w:p>
        </w:tc>
      </w:tr>
      <w:tr w14:paraId="5A5E00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613E18A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T1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=32)</w:t>
            </w:r>
          </w:p>
        </w:tc>
        <w:tc>
          <w:tcPr>
            <w:tcW w:w="1596" w:type="dxa"/>
            <w:vAlign w:val="center"/>
          </w:tcPr>
          <w:p w14:paraId="6353A14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15.7±9.00</w:t>
            </w:r>
          </w:p>
        </w:tc>
        <w:tc>
          <w:tcPr>
            <w:tcW w:w="2057" w:type="dxa"/>
            <w:shd w:val="clear"/>
            <w:vAlign w:val="center"/>
          </w:tcPr>
          <w:p w14:paraId="1CBCEE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 (0%)</w:t>
            </w:r>
          </w:p>
        </w:tc>
        <w:tc>
          <w:tcPr>
            <w:tcW w:w="4520" w:type="dxa"/>
            <w:shd w:val="clear"/>
            <w:vAlign w:val="center"/>
          </w:tcPr>
          <w:p w14:paraId="65D517C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-</w:t>
            </w:r>
          </w:p>
        </w:tc>
      </w:tr>
      <w:tr w14:paraId="7F4B7C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23EC061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T2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=26)</w:t>
            </w:r>
          </w:p>
        </w:tc>
        <w:tc>
          <w:tcPr>
            <w:tcW w:w="1596" w:type="dxa"/>
            <w:vAlign w:val="center"/>
          </w:tcPr>
          <w:p w14:paraId="3FA6CAB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15.2±10.57</w:t>
            </w:r>
          </w:p>
        </w:tc>
        <w:tc>
          <w:tcPr>
            <w:tcW w:w="2057" w:type="dxa"/>
            <w:shd w:val="clear"/>
            <w:vAlign w:val="center"/>
          </w:tcPr>
          <w:p w14:paraId="4FBFD85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6(18.8%)</w:t>
            </w:r>
          </w:p>
        </w:tc>
        <w:tc>
          <w:tcPr>
            <w:tcW w:w="4520" w:type="dxa"/>
            <w:shd w:val="clear"/>
            <w:vAlign w:val="center"/>
          </w:tcPr>
          <w:p w14:paraId="6D95109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Not able to contact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=6)</w:t>
            </w:r>
          </w:p>
        </w:tc>
      </w:tr>
      <w:tr w14:paraId="0F2C31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5FEB6CD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T3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=29)</w:t>
            </w:r>
          </w:p>
        </w:tc>
        <w:tc>
          <w:tcPr>
            <w:tcW w:w="1596" w:type="dxa"/>
            <w:vAlign w:val="center"/>
          </w:tcPr>
          <w:p w14:paraId="141D5FB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15.7±9.67</w:t>
            </w:r>
          </w:p>
        </w:tc>
        <w:tc>
          <w:tcPr>
            <w:tcW w:w="2057" w:type="dxa"/>
            <w:shd w:val="clear"/>
            <w:vAlign w:val="center"/>
          </w:tcPr>
          <w:p w14:paraId="4E49173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3(9.4%)</w:t>
            </w:r>
          </w:p>
        </w:tc>
        <w:tc>
          <w:tcPr>
            <w:tcW w:w="4520" w:type="dxa"/>
            <w:shd w:val="clear"/>
            <w:vAlign w:val="center"/>
          </w:tcPr>
          <w:p w14:paraId="72D853C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Not able to contact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=2)</w:t>
            </w:r>
          </w:p>
          <w:p w14:paraId="58D716A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Refused due to time constrain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=1)</w:t>
            </w:r>
          </w:p>
        </w:tc>
      </w:tr>
      <w:tr w14:paraId="6F859F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70F0526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Style w:val="7"/>
                <w:rFonts w:hint="default" w:ascii="Arial" w:hAnsi="Arial" w:cs="Arial"/>
                <w:sz w:val="22"/>
                <w:szCs w:val="22"/>
              </w:rPr>
              <w:t>HAMA</w:t>
            </w:r>
          </w:p>
        </w:tc>
        <w:tc>
          <w:tcPr>
            <w:tcW w:w="1596" w:type="dxa"/>
            <w:vAlign w:val="center"/>
          </w:tcPr>
          <w:p w14:paraId="1B63EBF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057" w:type="dxa"/>
            <w:vAlign w:val="center"/>
          </w:tcPr>
          <w:p w14:paraId="700E944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4520" w:type="dxa"/>
            <w:vAlign w:val="center"/>
          </w:tcPr>
          <w:p w14:paraId="55AAB88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363AF3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0025590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T0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=32)</w:t>
            </w:r>
          </w:p>
        </w:tc>
        <w:tc>
          <w:tcPr>
            <w:tcW w:w="1596" w:type="dxa"/>
            <w:vAlign w:val="center"/>
          </w:tcPr>
          <w:p w14:paraId="17E00F6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24.1±8.31</w:t>
            </w:r>
          </w:p>
        </w:tc>
        <w:tc>
          <w:tcPr>
            <w:tcW w:w="2057" w:type="dxa"/>
            <w:shd w:val="clear"/>
            <w:vAlign w:val="center"/>
          </w:tcPr>
          <w:p w14:paraId="36E8C2A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 (0%)</w:t>
            </w:r>
          </w:p>
        </w:tc>
        <w:tc>
          <w:tcPr>
            <w:tcW w:w="4520" w:type="dxa"/>
            <w:shd w:val="clear"/>
            <w:vAlign w:val="center"/>
          </w:tcPr>
          <w:p w14:paraId="76B456B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-</w:t>
            </w:r>
          </w:p>
        </w:tc>
      </w:tr>
      <w:tr w14:paraId="71C90C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536163C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T1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=31)</w:t>
            </w:r>
          </w:p>
        </w:tc>
        <w:tc>
          <w:tcPr>
            <w:tcW w:w="1596" w:type="dxa"/>
            <w:vAlign w:val="center"/>
          </w:tcPr>
          <w:p w14:paraId="3B4B561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12.5±7.38</w:t>
            </w:r>
          </w:p>
        </w:tc>
        <w:tc>
          <w:tcPr>
            <w:tcW w:w="2057" w:type="dxa"/>
            <w:shd w:val="clear"/>
            <w:vAlign w:val="center"/>
          </w:tcPr>
          <w:p w14:paraId="5EA47F3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1(3.1%)</w:t>
            </w:r>
          </w:p>
        </w:tc>
        <w:tc>
          <w:tcPr>
            <w:tcW w:w="4520" w:type="dxa"/>
            <w:shd w:val="clear"/>
            <w:vAlign w:val="center"/>
          </w:tcPr>
          <w:p w14:paraId="07CD77F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Refused due to time constrain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=1)</w:t>
            </w:r>
          </w:p>
        </w:tc>
      </w:tr>
      <w:tr w14:paraId="6C7EA6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6FBB5F5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T2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=26)</w:t>
            </w:r>
          </w:p>
        </w:tc>
        <w:tc>
          <w:tcPr>
            <w:tcW w:w="1596" w:type="dxa"/>
            <w:vAlign w:val="center"/>
          </w:tcPr>
          <w:p w14:paraId="4A351E7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11.7±8.60</w:t>
            </w:r>
          </w:p>
        </w:tc>
        <w:tc>
          <w:tcPr>
            <w:tcW w:w="2057" w:type="dxa"/>
            <w:shd w:val="clear"/>
            <w:vAlign w:val="center"/>
          </w:tcPr>
          <w:p w14:paraId="7FC7C16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6(18.8%)</w:t>
            </w:r>
          </w:p>
        </w:tc>
        <w:tc>
          <w:tcPr>
            <w:tcW w:w="4520" w:type="dxa"/>
            <w:shd w:val="clear"/>
            <w:vAlign w:val="center"/>
          </w:tcPr>
          <w:p w14:paraId="205E184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Not able to contact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=6)</w:t>
            </w:r>
          </w:p>
        </w:tc>
      </w:tr>
      <w:tr w14:paraId="6DBD3F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03E78AE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T3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=30)</w:t>
            </w:r>
          </w:p>
        </w:tc>
        <w:tc>
          <w:tcPr>
            <w:tcW w:w="1596" w:type="dxa"/>
            <w:vAlign w:val="center"/>
          </w:tcPr>
          <w:p w14:paraId="3D8091C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11.7±8.01</w:t>
            </w:r>
          </w:p>
        </w:tc>
        <w:tc>
          <w:tcPr>
            <w:tcW w:w="2057" w:type="dxa"/>
            <w:shd w:val="clear"/>
            <w:vAlign w:val="center"/>
          </w:tcPr>
          <w:p w14:paraId="238CDF6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2(6.3%)</w:t>
            </w:r>
          </w:p>
        </w:tc>
        <w:tc>
          <w:tcPr>
            <w:tcW w:w="4520" w:type="dxa"/>
            <w:shd w:val="clear"/>
            <w:vAlign w:val="center"/>
          </w:tcPr>
          <w:p w14:paraId="4FD6E5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Not able to contact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=2)</w:t>
            </w:r>
          </w:p>
        </w:tc>
      </w:tr>
      <w:tr w14:paraId="273B81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29F1D9F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SHAPS</w:t>
            </w:r>
          </w:p>
        </w:tc>
        <w:tc>
          <w:tcPr>
            <w:tcW w:w="1596" w:type="dxa"/>
            <w:vAlign w:val="center"/>
          </w:tcPr>
          <w:p w14:paraId="1DF6295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057" w:type="dxa"/>
            <w:vAlign w:val="center"/>
          </w:tcPr>
          <w:p w14:paraId="5B33162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4520" w:type="dxa"/>
            <w:vAlign w:val="center"/>
          </w:tcPr>
          <w:p w14:paraId="4E56E7E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7D647A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3F96B3E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T0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=32)</w:t>
            </w:r>
          </w:p>
        </w:tc>
        <w:tc>
          <w:tcPr>
            <w:tcW w:w="1596" w:type="dxa"/>
            <w:vAlign w:val="center"/>
          </w:tcPr>
          <w:p w14:paraId="29A89B1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33.8±6.87</w:t>
            </w:r>
          </w:p>
        </w:tc>
        <w:tc>
          <w:tcPr>
            <w:tcW w:w="2057" w:type="dxa"/>
            <w:shd w:val="clear"/>
            <w:vAlign w:val="center"/>
          </w:tcPr>
          <w:p w14:paraId="78908A3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 (0%)</w:t>
            </w:r>
          </w:p>
        </w:tc>
        <w:tc>
          <w:tcPr>
            <w:tcW w:w="4520" w:type="dxa"/>
            <w:shd w:val="clear"/>
            <w:vAlign w:val="center"/>
          </w:tcPr>
          <w:p w14:paraId="1E037B0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-</w:t>
            </w:r>
          </w:p>
        </w:tc>
      </w:tr>
      <w:tr w14:paraId="4804DF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7E4923C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T3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=29)</w:t>
            </w:r>
          </w:p>
        </w:tc>
        <w:tc>
          <w:tcPr>
            <w:tcW w:w="1596" w:type="dxa"/>
            <w:vAlign w:val="center"/>
          </w:tcPr>
          <w:p w14:paraId="6919910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30.0±7.21</w:t>
            </w:r>
          </w:p>
        </w:tc>
        <w:tc>
          <w:tcPr>
            <w:tcW w:w="2057" w:type="dxa"/>
            <w:shd w:val="clear"/>
            <w:vAlign w:val="center"/>
          </w:tcPr>
          <w:p w14:paraId="51FBE40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3(9.4%)</w:t>
            </w:r>
          </w:p>
        </w:tc>
        <w:tc>
          <w:tcPr>
            <w:tcW w:w="4520" w:type="dxa"/>
            <w:shd w:val="clear"/>
            <w:vAlign w:val="center"/>
          </w:tcPr>
          <w:p w14:paraId="5858CAC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Not able to contact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=2)</w:t>
            </w:r>
          </w:p>
          <w:p w14:paraId="490DA84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Refused due to time constrain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=1)</w:t>
            </w:r>
          </w:p>
        </w:tc>
      </w:tr>
      <w:tr w14:paraId="037C8B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114B455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PSQI</w:t>
            </w:r>
          </w:p>
        </w:tc>
        <w:tc>
          <w:tcPr>
            <w:tcW w:w="1596" w:type="dxa"/>
            <w:vAlign w:val="center"/>
          </w:tcPr>
          <w:p w14:paraId="5D03E7C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057" w:type="dxa"/>
            <w:vAlign w:val="center"/>
          </w:tcPr>
          <w:p w14:paraId="4375BA7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4520" w:type="dxa"/>
            <w:vAlign w:val="center"/>
          </w:tcPr>
          <w:p w14:paraId="06213EA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4F231E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78E523D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T0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=32)</w:t>
            </w:r>
          </w:p>
        </w:tc>
        <w:tc>
          <w:tcPr>
            <w:tcW w:w="1596" w:type="dxa"/>
            <w:vAlign w:val="center"/>
          </w:tcPr>
          <w:p w14:paraId="6A22839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12.3±4.60</w:t>
            </w:r>
          </w:p>
        </w:tc>
        <w:tc>
          <w:tcPr>
            <w:tcW w:w="2057" w:type="dxa"/>
            <w:shd w:val="clear"/>
            <w:vAlign w:val="center"/>
          </w:tcPr>
          <w:p w14:paraId="4D3350E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 (0%)</w:t>
            </w:r>
          </w:p>
        </w:tc>
        <w:tc>
          <w:tcPr>
            <w:tcW w:w="4520" w:type="dxa"/>
            <w:shd w:val="clear"/>
            <w:vAlign w:val="center"/>
          </w:tcPr>
          <w:p w14:paraId="5C2B293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-</w:t>
            </w:r>
          </w:p>
        </w:tc>
      </w:tr>
      <w:tr w14:paraId="626A00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39BBA70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T3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=29)</w:t>
            </w:r>
          </w:p>
        </w:tc>
        <w:tc>
          <w:tcPr>
            <w:tcW w:w="1596" w:type="dxa"/>
            <w:vAlign w:val="center"/>
          </w:tcPr>
          <w:p w14:paraId="0D19EED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9.8±3.60</w:t>
            </w:r>
          </w:p>
        </w:tc>
        <w:tc>
          <w:tcPr>
            <w:tcW w:w="2057" w:type="dxa"/>
            <w:shd w:val="clear"/>
            <w:vAlign w:val="center"/>
          </w:tcPr>
          <w:p w14:paraId="224002D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3(9.4%)</w:t>
            </w:r>
          </w:p>
        </w:tc>
        <w:tc>
          <w:tcPr>
            <w:tcW w:w="4520" w:type="dxa"/>
            <w:shd w:val="clear"/>
            <w:vAlign w:val="center"/>
          </w:tcPr>
          <w:p w14:paraId="1C71A55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Not able to contact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=2)</w:t>
            </w:r>
          </w:p>
          <w:p w14:paraId="40F35BF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Refused due to time constrain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=1)</w:t>
            </w:r>
          </w:p>
        </w:tc>
      </w:tr>
      <w:tr w14:paraId="34358D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248E44C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WHOQOL-BREF</w:t>
            </w:r>
          </w:p>
        </w:tc>
        <w:tc>
          <w:tcPr>
            <w:tcW w:w="1596" w:type="dxa"/>
            <w:vAlign w:val="center"/>
          </w:tcPr>
          <w:p w14:paraId="1A5C4D6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057" w:type="dxa"/>
            <w:vAlign w:val="center"/>
          </w:tcPr>
          <w:p w14:paraId="21ACFC6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4520" w:type="dxa"/>
            <w:vAlign w:val="center"/>
          </w:tcPr>
          <w:p w14:paraId="2DC7991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7A0B22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vAlign w:val="center"/>
          </w:tcPr>
          <w:p w14:paraId="799213F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T0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=31)</w:t>
            </w:r>
          </w:p>
        </w:tc>
        <w:tc>
          <w:tcPr>
            <w:tcW w:w="1596" w:type="dxa"/>
            <w:vAlign w:val="center"/>
          </w:tcPr>
          <w:p w14:paraId="15AB138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66.9±11.01</w:t>
            </w:r>
          </w:p>
        </w:tc>
        <w:tc>
          <w:tcPr>
            <w:tcW w:w="2057" w:type="dxa"/>
            <w:shd w:val="clear"/>
            <w:vAlign w:val="center"/>
          </w:tcPr>
          <w:p w14:paraId="4606008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1(3.1%)</w:t>
            </w:r>
          </w:p>
        </w:tc>
        <w:tc>
          <w:tcPr>
            <w:tcW w:w="4520" w:type="dxa"/>
            <w:shd w:val="clear"/>
            <w:vAlign w:val="center"/>
          </w:tcPr>
          <w:p w14:paraId="24327AF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Refused due to time constrain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=1)</w:t>
            </w:r>
          </w:p>
        </w:tc>
      </w:tr>
      <w:tr w14:paraId="45D758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9" w:type="dxa"/>
            <w:tcBorders>
              <w:bottom w:val="single" w:color="auto" w:sz="12" w:space="0"/>
            </w:tcBorders>
            <w:vAlign w:val="center"/>
          </w:tcPr>
          <w:p w14:paraId="0AAA1CD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T3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=26)</w:t>
            </w:r>
          </w:p>
        </w:tc>
        <w:tc>
          <w:tcPr>
            <w:tcW w:w="1596" w:type="dxa"/>
            <w:tcBorders>
              <w:bottom w:val="single" w:color="auto" w:sz="12" w:space="0"/>
            </w:tcBorders>
            <w:vAlign w:val="center"/>
          </w:tcPr>
          <w:p w14:paraId="40D807C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75.3±15.09</w:t>
            </w:r>
          </w:p>
        </w:tc>
        <w:tc>
          <w:tcPr>
            <w:tcW w:w="2057" w:type="dxa"/>
            <w:tcBorders>
              <w:bottom w:val="single" w:color="auto" w:sz="12" w:space="0"/>
            </w:tcBorders>
            <w:shd w:val="clear"/>
            <w:vAlign w:val="center"/>
          </w:tcPr>
          <w:p w14:paraId="5548B6A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6(18.8%)</w:t>
            </w:r>
          </w:p>
        </w:tc>
        <w:tc>
          <w:tcPr>
            <w:tcW w:w="4520" w:type="dxa"/>
            <w:tcBorders>
              <w:bottom w:val="single" w:color="auto" w:sz="12" w:space="0"/>
            </w:tcBorders>
            <w:shd w:val="clear"/>
            <w:vAlign w:val="center"/>
          </w:tcPr>
          <w:p w14:paraId="3BEE8B3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Not able to contact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=2)</w:t>
            </w:r>
          </w:p>
          <w:p w14:paraId="384C19B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Arial" w:cs="Arial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Refused due to time constrain (</w:t>
            </w:r>
            <w:r>
              <w:rPr>
                <w:rFonts w:hint="default" w:ascii="Arial" w:hAnsi="Arial" w:cs="Arial"/>
                <w:i/>
                <w:iCs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=4)</w:t>
            </w:r>
          </w:p>
        </w:tc>
      </w:tr>
    </w:tbl>
    <w:p w14:paraId="4F445DF6">
      <w:pPr>
        <w:spacing w:line="240" w:lineRule="auto"/>
        <w:jc w:val="both"/>
        <w:rPr>
          <w:rFonts w:hint="eastAsia" w:ascii="Arial" w:hAnsi="Arial" w:cs="Arial"/>
          <w:sz w:val="24"/>
          <w:szCs w:val="24"/>
          <w:highlight w:val="none"/>
          <w:lang w:val="en-US" w:eastAsia="zh-CN"/>
        </w:rPr>
      </w:pP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 xml:space="preserve">Note: </w:t>
      </w:r>
      <w:r>
        <w:rPr>
          <w:rFonts w:hint="default" w:ascii="Arial" w:hAnsi="Arial" w:cs="Arial"/>
          <w:sz w:val="20"/>
          <w:szCs w:val="20"/>
          <w:lang w:val="en-US" w:eastAsia="zh-CN"/>
        </w:rPr>
        <w:t xml:space="preserve">SD, </w:t>
      </w:r>
      <w:r>
        <w:rPr>
          <w:rFonts w:hint="default" w:ascii="Arial" w:hAnsi="Arial" w:cs="Arial"/>
          <w:sz w:val="20"/>
          <w:szCs w:val="20"/>
          <w:highlight w:val="none"/>
          <w:lang w:val="en-US" w:eastAsia="zh-CN"/>
        </w:rPr>
        <w:t xml:space="preserve">standard deviation; HAMD, </w:t>
      </w:r>
      <w:r>
        <w:rPr>
          <w:rFonts w:hint="default" w:ascii="Arial" w:hAnsi="Arial" w:eastAsia="宋体" w:cs="Arial"/>
          <w:b w:val="0"/>
          <w:bCs w:val="0"/>
          <w:i w:val="0"/>
          <w:iCs w:val="0"/>
          <w:color w:val="000000"/>
          <w:kern w:val="0"/>
          <w:sz w:val="20"/>
          <w:szCs w:val="20"/>
          <w:lang w:val="en-US" w:eastAsia="zh-CN"/>
        </w:rPr>
        <w:t>Hamilton Depression Rating Scale</w:t>
      </w:r>
      <w:r>
        <w:rPr>
          <w:rFonts w:hint="default" w:ascii="Arial" w:hAnsi="Arial" w:cs="Arial"/>
          <w:sz w:val="20"/>
          <w:szCs w:val="20"/>
          <w:highlight w:val="none"/>
          <w:lang w:val="en-US" w:eastAsia="zh-CN"/>
        </w:rPr>
        <w:t xml:space="preserve">; MADRS, </w:t>
      </w:r>
      <w:r>
        <w:rPr>
          <w:rFonts w:hint="default" w:ascii="Arial" w:hAnsi="Arial" w:eastAsia="宋体" w:cs="Arial"/>
          <w:b w:val="0"/>
          <w:bCs w:val="0"/>
          <w:i w:val="0"/>
          <w:iCs w:val="0"/>
          <w:color w:val="000000"/>
          <w:kern w:val="0"/>
          <w:sz w:val="20"/>
          <w:szCs w:val="20"/>
          <w:lang w:val="en-US" w:eastAsia="zh-CN"/>
        </w:rPr>
        <w:t>Montgomery–Åsberg Depression Rating Scale</w:t>
      </w:r>
      <w:r>
        <w:rPr>
          <w:rFonts w:hint="default" w:ascii="Arial" w:hAnsi="Arial" w:cs="Arial"/>
          <w:sz w:val="20"/>
          <w:szCs w:val="20"/>
          <w:highlight w:val="none"/>
          <w:lang w:val="en-US" w:eastAsia="zh-CN"/>
        </w:rPr>
        <w:t>; HAMA,</w:t>
      </w:r>
      <w:r>
        <w:rPr>
          <w:rFonts w:hint="default" w:ascii="Arial" w:hAnsi="Arial" w:eastAsia="宋体" w:cs="Arial"/>
          <w:b w:val="0"/>
          <w:bCs w:val="0"/>
          <w:i w:val="0"/>
          <w:iCs w:val="0"/>
          <w:color w:val="000000"/>
          <w:kern w:val="0"/>
          <w:sz w:val="20"/>
          <w:szCs w:val="20"/>
          <w:lang w:val="en-US" w:eastAsia="zh-CN"/>
        </w:rPr>
        <w:t xml:space="preserve"> Hamilton Anxiety Rating Scale</w:t>
      </w:r>
      <w:r>
        <w:rPr>
          <w:rFonts w:hint="default" w:ascii="Arial" w:hAnsi="Arial" w:cs="Arial"/>
          <w:sz w:val="20"/>
          <w:szCs w:val="20"/>
          <w:highlight w:val="none"/>
          <w:lang w:val="en-US" w:eastAsia="zh-CN"/>
        </w:rPr>
        <w:t xml:space="preserve">; SHAPS, </w:t>
      </w:r>
      <w:r>
        <w:rPr>
          <w:rFonts w:hint="default" w:ascii="Arial" w:hAnsi="Arial" w:eastAsia="宋体" w:cs="Arial"/>
          <w:b w:val="0"/>
          <w:bCs w:val="0"/>
          <w:i w:val="0"/>
          <w:iCs w:val="0"/>
          <w:color w:val="000000"/>
          <w:kern w:val="0"/>
          <w:sz w:val="20"/>
          <w:szCs w:val="20"/>
          <w:u w:val="none"/>
          <w:lang w:val="en-US" w:eastAsia="zh-CN"/>
        </w:rPr>
        <w:t>Snaith-Hamilton Pleasure Scale</w:t>
      </w:r>
      <w:r>
        <w:rPr>
          <w:rFonts w:hint="default" w:ascii="Arial" w:hAnsi="Arial" w:cs="Arial"/>
          <w:sz w:val="20"/>
          <w:szCs w:val="20"/>
          <w:highlight w:val="none"/>
          <w:lang w:val="en-US" w:eastAsia="zh-CN"/>
        </w:rPr>
        <w:t xml:space="preserve">; PSQI, </w:t>
      </w:r>
      <w:r>
        <w:rPr>
          <w:rFonts w:hint="default" w:ascii="Arial" w:hAnsi="Arial" w:cs="Arial"/>
          <w:sz w:val="20"/>
          <w:szCs w:val="20"/>
          <w:lang w:val="en-US" w:eastAsia="zh-CN"/>
        </w:rPr>
        <w:t>Pittsburgh Sleep Quality Index</w:t>
      </w:r>
      <w:r>
        <w:rPr>
          <w:rFonts w:hint="default" w:ascii="Arial" w:hAnsi="Arial" w:cs="Arial"/>
          <w:sz w:val="20"/>
          <w:szCs w:val="20"/>
          <w:highlight w:val="none"/>
          <w:lang w:val="en-US" w:eastAsia="zh-CN"/>
        </w:rPr>
        <w:t xml:space="preserve">; WHOQOL-BREF, </w:t>
      </w:r>
      <w:r>
        <w:rPr>
          <w:rFonts w:hint="default" w:ascii="Arial" w:hAnsi="Arial" w:cs="Arial"/>
          <w:sz w:val="20"/>
          <w:szCs w:val="20"/>
          <w:lang w:val="en-US" w:eastAsia="zh-CN"/>
        </w:rPr>
        <w:t>World Health Organization Quality of Life - Brief Version</w:t>
      </w:r>
      <w:r>
        <w:rPr>
          <w:rFonts w:hint="default" w:ascii="Arial" w:hAnsi="Arial" w:cs="Arial"/>
          <w:sz w:val="20"/>
          <w:szCs w:val="20"/>
          <w:highlight w:val="none"/>
          <w:lang w:val="en-US" w:eastAsia="zh-CN"/>
        </w:rPr>
        <w:t xml:space="preserve">; T0, baseline; T1, after intervention; T2, </w:t>
      </w:r>
      <w:r>
        <w:rPr>
          <w:rFonts w:hint="eastAsia" w:ascii="Arial" w:hAnsi="Arial" w:cs="Arial"/>
          <w:sz w:val="20"/>
          <w:szCs w:val="20"/>
          <w:highlight w:val="none"/>
          <w:lang w:val="en-US" w:eastAsia="zh-CN"/>
        </w:rPr>
        <w:t>1-</w:t>
      </w:r>
      <w:r>
        <w:rPr>
          <w:rFonts w:hint="default" w:ascii="Arial" w:hAnsi="Arial" w:cs="Arial"/>
          <w:sz w:val="20"/>
          <w:szCs w:val="20"/>
          <w:highlight w:val="none"/>
          <w:lang w:val="en-US" w:eastAsia="zh-CN"/>
        </w:rPr>
        <w:t xml:space="preserve">week post-intervention; T3, </w:t>
      </w:r>
      <w:r>
        <w:rPr>
          <w:rFonts w:hint="eastAsia" w:ascii="Arial" w:hAnsi="Arial" w:cs="Arial"/>
          <w:sz w:val="20"/>
          <w:szCs w:val="20"/>
          <w:highlight w:val="none"/>
          <w:lang w:val="en-US" w:eastAsia="zh-CN"/>
        </w:rPr>
        <w:t>4-week</w:t>
      </w:r>
      <w:r>
        <w:rPr>
          <w:rFonts w:hint="default" w:ascii="Arial" w:hAnsi="Arial" w:cs="Arial"/>
          <w:sz w:val="20"/>
          <w:szCs w:val="20"/>
          <w:highlight w:val="none"/>
          <w:lang w:val="en-US" w:eastAsia="zh-CN"/>
        </w:rPr>
        <w:t xml:space="preserve"> post-intervention. </w:t>
      </w:r>
    </w:p>
    <w:p w14:paraId="2BF3DB80">
      <w:pPr>
        <w:jc w:val="center"/>
        <w:rPr>
          <w:rFonts w:hint="default"/>
          <w:lang w:val="en-US" w:eastAsia="zh-CN"/>
        </w:rPr>
      </w:pPr>
    </w:p>
    <w:p w14:paraId="2630DA73">
      <w:pPr>
        <w:jc w:val="center"/>
        <w:rPr>
          <w:rFonts w:hint="default"/>
          <w:lang w:val="en-US" w:eastAsia="zh-CN"/>
        </w:rPr>
      </w:pPr>
    </w:p>
    <w:p w14:paraId="40131DCA">
      <w:pPr>
        <w:jc w:val="center"/>
        <w:rPr>
          <w:rFonts w:hint="default"/>
          <w:lang w:val="en-US" w:eastAsia="zh-CN"/>
        </w:rPr>
      </w:pPr>
    </w:p>
    <w:p w14:paraId="2BB08AD8">
      <w:pPr>
        <w:jc w:val="center"/>
        <w:rPr>
          <w:rFonts w:hint="default"/>
          <w:lang w:val="en-US" w:eastAsia="zh-CN"/>
        </w:rPr>
      </w:pPr>
    </w:p>
    <w:p w14:paraId="29464FC4">
      <w:pPr>
        <w:jc w:val="center"/>
        <w:rPr>
          <w:rFonts w:hint="default"/>
          <w:lang w:val="en-US" w:eastAsia="zh-CN"/>
        </w:rPr>
      </w:pPr>
    </w:p>
    <w:p w14:paraId="25B24FD2">
      <w:pPr>
        <w:jc w:val="center"/>
        <w:rPr>
          <w:rFonts w:hint="default"/>
          <w:lang w:val="en-US" w:eastAsia="zh-CN"/>
        </w:rPr>
      </w:pPr>
    </w:p>
    <w:p w14:paraId="2D3E3D56">
      <w:pPr>
        <w:jc w:val="center"/>
        <w:rPr>
          <w:rFonts w:hint="default"/>
          <w:lang w:val="en-US" w:eastAsia="zh-CN"/>
        </w:rPr>
      </w:pPr>
    </w:p>
    <w:p w14:paraId="772F410C">
      <w:pPr>
        <w:jc w:val="center"/>
        <w:rPr>
          <w:rFonts w:hint="default"/>
          <w:lang w:val="en-US" w:eastAsia="zh-CN"/>
        </w:rPr>
      </w:pPr>
    </w:p>
    <w:p w14:paraId="26ABA12C">
      <w:pPr>
        <w:jc w:val="center"/>
        <w:rPr>
          <w:rFonts w:hint="default"/>
          <w:lang w:val="en-US" w:eastAsia="zh-CN"/>
        </w:rPr>
      </w:pPr>
    </w:p>
    <w:p w14:paraId="488310CA">
      <w:pPr>
        <w:jc w:val="center"/>
        <w:rPr>
          <w:rFonts w:hint="default"/>
          <w:lang w:val="en-US" w:eastAsia="zh-CN"/>
        </w:rPr>
      </w:pPr>
    </w:p>
    <w:p w14:paraId="5AAFC265">
      <w:pPr>
        <w:jc w:val="center"/>
        <w:rPr>
          <w:rFonts w:hint="default"/>
          <w:lang w:val="en-US" w:eastAsia="zh-CN"/>
        </w:rPr>
      </w:pPr>
    </w:p>
    <w:p w14:paraId="483706EA">
      <w:pPr>
        <w:jc w:val="both"/>
        <w:rPr>
          <w:rFonts w:hint="default"/>
          <w:lang w:val="en-US" w:eastAsia="zh-CN"/>
        </w:rPr>
      </w:pPr>
    </w:p>
    <w:p w14:paraId="78F3BC32">
      <w:pPr>
        <w:jc w:val="both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</w:p>
    <w:p w14:paraId="6140F030">
      <w:pPr>
        <w:jc w:val="both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</w:p>
    <w:p w14:paraId="46EEE2AC">
      <w:pPr>
        <w:jc w:val="center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 xml:space="preserve">Supplementary </w:t>
      </w:r>
      <w:r>
        <w:rPr>
          <w:rFonts w:hint="default" w:ascii="Arial" w:hAnsi="Arial" w:cs="Arial"/>
          <w:b/>
          <w:bCs/>
          <w:sz w:val="22"/>
          <w:szCs w:val="22"/>
        </w:rPr>
        <w:t xml:space="preserve">Table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2</w:t>
      </w:r>
      <w:r>
        <w:rPr>
          <w:rFonts w:hint="default" w:ascii="Arial" w:hAnsi="Arial" w:cs="Arial"/>
          <w:b/>
          <w:bCs/>
          <w:sz w:val="22"/>
          <w:szCs w:val="22"/>
        </w:rPr>
        <w:t>.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2"/>
        </w:rPr>
        <w:t xml:space="preserve">Comparison of Changes in Scale Scores Based on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Sex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1"/>
        <w:gridCol w:w="1970"/>
        <w:gridCol w:w="1972"/>
        <w:gridCol w:w="1074"/>
        <w:gridCol w:w="1074"/>
        <w:gridCol w:w="894"/>
        <w:gridCol w:w="1175"/>
      </w:tblGrid>
      <w:tr w14:paraId="3BCA5A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1475C42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481368A1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Male</w:t>
            </w:r>
          </w:p>
        </w:tc>
        <w:tc>
          <w:tcPr>
            <w:tcW w:w="940" w:type="pct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1AAE1CC4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Female</w:t>
            </w:r>
          </w:p>
        </w:tc>
        <w:tc>
          <w:tcPr>
            <w:tcW w:w="512" w:type="pct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5B040F3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sz w:val="22"/>
                <w:szCs w:val="22"/>
              </w:rPr>
              <w:t>U</w:t>
            </w:r>
          </w:p>
        </w:tc>
        <w:tc>
          <w:tcPr>
            <w:tcW w:w="512" w:type="pct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74FC6F82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sz w:val="22"/>
                <w:szCs w:val="22"/>
              </w:rPr>
              <w:t>Z</w:t>
            </w:r>
          </w:p>
        </w:tc>
        <w:tc>
          <w:tcPr>
            <w:tcW w:w="426" w:type="pct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10770EA4">
            <w:pPr>
              <w:spacing w:after="0" w:line="240" w:lineRule="auto"/>
              <w:jc w:val="center"/>
              <w:rPr>
                <w:rFonts w:hint="default" w:ascii="Arial" w:hAnsi="Arial" w:cs="Arial" w:eastAsiaTheme="minorEastAsia"/>
                <w:b/>
                <w:bCs/>
                <w:i/>
                <w:iCs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560" w:type="pct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6A0F10B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sz w:val="22"/>
                <w:szCs w:val="22"/>
              </w:rPr>
              <w:t>r</w:t>
            </w:r>
          </w:p>
        </w:tc>
      </w:tr>
      <w:tr w14:paraId="23CA33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single" w:color="auto" w:sz="4" w:space="0"/>
              <w:bottom w:val="nil"/>
            </w:tcBorders>
            <w:vAlign w:val="top"/>
          </w:tcPr>
          <w:p w14:paraId="2126D7C0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HAMD-17(T1 vs T0)</w:t>
            </w:r>
          </w:p>
        </w:tc>
        <w:tc>
          <w:tcPr>
            <w:tcW w:w="939" w:type="pct"/>
            <w:tcBorders>
              <w:top w:val="single" w:color="auto" w:sz="4" w:space="0"/>
              <w:bottom w:val="nil"/>
            </w:tcBorders>
            <w:vAlign w:val="top"/>
          </w:tcPr>
          <w:p w14:paraId="7569FF0B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10.2±5.21</w:t>
            </w:r>
          </w:p>
        </w:tc>
        <w:tc>
          <w:tcPr>
            <w:tcW w:w="940" w:type="pct"/>
            <w:tcBorders>
              <w:top w:val="single" w:color="auto" w:sz="4" w:space="0"/>
              <w:bottom w:val="nil"/>
            </w:tcBorders>
            <w:vAlign w:val="top"/>
          </w:tcPr>
          <w:p w14:paraId="23539588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13.0±6.53</w:t>
            </w:r>
          </w:p>
        </w:tc>
        <w:tc>
          <w:tcPr>
            <w:tcW w:w="512" w:type="pct"/>
            <w:tcBorders>
              <w:top w:val="single" w:color="auto" w:sz="4" w:space="0"/>
              <w:bottom w:val="nil"/>
            </w:tcBorders>
            <w:vAlign w:val="top"/>
          </w:tcPr>
          <w:p w14:paraId="5794734D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95.00</w:t>
            </w:r>
          </w:p>
        </w:tc>
        <w:tc>
          <w:tcPr>
            <w:tcW w:w="512" w:type="pct"/>
            <w:tcBorders>
              <w:top w:val="single" w:color="auto" w:sz="4" w:space="0"/>
              <w:bottom w:val="nil"/>
            </w:tcBorders>
            <w:vAlign w:val="top"/>
          </w:tcPr>
          <w:p w14:paraId="4D5A534F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-1.10</w:t>
            </w:r>
          </w:p>
        </w:tc>
        <w:tc>
          <w:tcPr>
            <w:tcW w:w="426" w:type="pct"/>
            <w:tcBorders>
              <w:top w:val="single" w:color="auto" w:sz="4" w:space="0"/>
              <w:bottom w:val="nil"/>
            </w:tcBorders>
            <w:vAlign w:val="top"/>
          </w:tcPr>
          <w:p w14:paraId="5D62D751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0.29</w:t>
            </w:r>
          </w:p>
        </w:tc>
        <w:tc>
          <w:tcPr>
            <w:tcW w:w="560" w:type="pct"/>
            <w:tcBorders>
              <w:top w:val="single" w:color="auto" w:sz="4" w:space="0"/>
              <w:bottom w:val="nil"/>
            </w:tcBorders>
            <w:vAlign w:val="top"/>
          </w:tcPr>
          <w:p w14:paraId="51A3F934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0.19</w:t>
            </w:r>
          </w:p>
        </w:tc>
      </w:tr>
      <w:tr w14:paraId="0FBC5F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nil"/>
              <w:bottom w:val="nil"/>
            </w:tcBorders>
            <w:vAlign w:val="top"/>
          </w:tcPr>
          <w:p w14:paraId="72CB1F1C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HAMD-17(T2 vs T0)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top"/>
          </w:tcPr>
          <w:p w14:paraId="4AB4C09B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10.7±5.80</w:t>
            </w:r>
          </w:p>
        </w:tc>
        <w:tc>
          <w:tcPr>
            <w:tcW w:w="940" w:type="pct"/>
            <w:tcBorders>
              <w:top w:val="nil"/>
              <w:bottom w:val="nil"/>
            </w:tcBorders>
            <w:vAlign w:val="top"/>
          </w:tcPr>
          <w:p w14:paraId="70F014B8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12.7±6.37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2C67E6DF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54.50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369D0BD5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-1.46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6230ACAF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0.15</w:t>
            </w:r>
          </w:p>
        </w:tc>
        <w:tc>
          <w:tcPr>
            <w:tcW w:w="560" w:type="pct"/>
            <w:tcBorders>
              <w:top w:val="nil"/>
              <w:bottom w:val="nil"/>
            </w:tcBorders>
            <w:vAlign w:val="top"/>
          </w:tcPr>
          <w:p w14:paraId="57625A5B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0.29</w:t>
            </w:r>
          </w:p>
        </w:tc>
      </w:tr>
      <w:tr w14:paraId="5117C5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nil"/>
              <w:bottom w:val="nil"/>
            </w:tcBorders>
            <w:vAlign w:val="top"/>
          </w:tcPr>
          <w:p w14:paraId="218A7BD9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HAMD-17(T3 vs T0)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top"/>
          </w:tcPr>
          <w:p w14:paraId="69361A30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9.6±6.29</w:t>
            </w:r>
          </w:p>
        </w:tc>
        <w:tc>
          <w:tcPr>
            <w:tcW w:w="940" w:type="pct"/>
            <w:tcBorders>
              <w:top w:val="nil"/>
              <w:bottom w:val="nil"/>
            </w:tcBorders>
            <w:vAlign w:val="top"/>
          </w:tcPr>
          <w:p w14:paraId="4E3E3561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12.5±6.88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4E16C186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79.50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214F1619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-1.30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1180D229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0.20</w:t>
            </w:r>
          </w:p>
        </w:tc>
        <w:tc>
          <w:tcPr>
            <w:tcW w:w="560" w:type="pct"/>
            <w:tcBorders>
              <w:top w:val="nil"/>
              <w:bottom w:val="nil"/>
            </w:tcBorders>
            <w:vAlign w:val="top"/>
          </w:tcPr>
          <w:p w14:paraId="6DF1CCAD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0.24</w:t>
            </w:r>
          </w:p>
        </w:tc>
      </w:tr>
      <w:tr w14:paraId="76E4C6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nil"/>
              <w:bottom w:val="nil"/>
            </w:tcBorders>
            <w:vAlign w:val="top"/>
          </w:tcPr>
          <w:p w14:paraId="23E8CD3F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MADRS(T1 vs T0)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top"/>
          </w:tcPr>
          <w:p w14:paraId="13A0471E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14.2±8.16</w:t>
            </w:r>
          </w:p>
        </w:tc>
        <w:tc>
          <w:tcPr>
            <w:tcW w:w="940" w:type="pct"/>
            <w:tcBorders>
              <w:top w:val="nil"/>
              <w:bottom w:val="nil"/>
            </w:tcBorders>
            <w:vAlign w:val="top"/>
          </w:tcPr>
          <w:p w14:paraId="742645BD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16.6±10.67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533C3EE5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92.00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383A7D6A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-1.00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3D141A8D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0.33</w:t>
            </w:r>
          </w:p>
        </w:tc>
        <w:tc>
          <w:tcPr>
            <w:tcW w:w="560" w:type="pct"/>
            <w:tcBorders>
              <w:top w:val="nil"/>
              <w:bottom w:val="nil"/>
            </w:tcBorders>
            <w:vAlign w:val="top"/>
          </w:tcPr>
          <w:p w14:paraId="77FFAC10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0.18</w:t>
            </w:r>
          </w:p>
        </w:tc>
      </w:tr>
      <w:tr w14:paraId="2ADF5E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nil"/>
              <w:bottom w:val="nil"/>
            </w:tcBorders>
            <w:vAlign w:val="top"/>
          </w:tcPr>
          <w:p w14:paraId="1319106C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MADRS(T2 vs T0)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top"/>
          </w:tcPr>
          <w:p w14:paraId="45D6044B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14.5±8.69</w:t>
            </w:r>
          </w:p>
        </w:tc>
        <w:tc>
          <w:tcPr>
            <w:tcW w:w="940" w:type="pct"/>
            <w:tcBorders>
              <w:top w:val="nil"/>
              <w:bottom w:val="nil"/>
            </w:tcBorders>
            <w:vAlign w:val="top"/>
          </w:tcPr>
          <w:p w14:paraId="54E30126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17.3±10.48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2A6F29DC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51.50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7CE71A75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-1.61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525E557E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0.11</w:t>
            </w:r>
          </w:p>
        </w:tc>
        <w:tc>
          <w:tcPr>
            <w:tcW w:w="560" w:type="pct"/>
            <w:tcBorders>
              <w:top w:val="nil"/>
              <w:bottom w:val="nil"/>
            </w:tcBorders>
            <w:vAlign w:val="top"/>
          </w:tcPr>
          <w:p w14:paraId="3B1CF274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0.32</w:t>
            </w:r>
          </w:p>
        </w:tc>
      </w:tr>
      <w:tr w14:paraId="46FD18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nil"/>
              <w:bottom w:val="nil"/>
            </w:tcBorders>
            <w:vAlign w:val="top"/>
          </w:tcPr>
          <w:p w14:paraId="2FE11A83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MADRS(T3 vs T0)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top"/>
          </w:tcPr>
          <w:p w14:paraId="6A40B41F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15.1±9.49</w:t>
            </w:r>
          </w:p>
        </w:tc>
        <w:tc>
          <w:tcPr>
            <w:tcW w:w="940" w:type="pct"/>
            <w:tcBorders>
              <w:top w:val="nil"/>
              <w:bottom w:val="nil"/>
            </w:tcBorders>
            <w:vAlign w:val="top"/>
          </w:tcPr>
          <w:p w14:paraId="6308B034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17.2±9.57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5C188FD5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92.50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568588EB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-0.75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0D775C90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0.46</w:t>
            </w:r>
          </w:p>
        </w:tc>
        <w:tc>
          <w:tcPr>
            <w:tcW w:w="560" w:type="pct"/>
            <w:tcBorders>
              <w:top w:val="nil"/>
              <w:bottom w:val="nil"/>
            </w:tcBorders>
            <w:vAlign w:val="top"/>
          </w:tcPr>
          <w:p w14:paraId="6B4051E5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0.14</w:t>
            </w:r>
          </w:p>
        </w:tc>
      </w:tr>
      <w:tr w14:paraId="1DB7CF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nil"/>
              <w:bottom w:val="nil"/>
            </w:tcBorders>
            <w:vAlign w:val="top"/>
          </w:tcPr>
          <w:p w14:paraId="1773DB81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HAMA(T1 vs T0)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top"/>
          </w:tcPr>
          <w:p w14:paraId="4A8D2272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9.6±8.49</w:t>
            </w:r>
          </w:p>
        </w:tc>
        <w:tc>
          <w:tcPr>
            <w:tcW w:w="940" w:type="pct"/>
            <w:tcBorders>
              <w:top w:val="nil"/>
              <w:bottom w:val="nil"/>
            </w:tcBorders>
            <w:vAlign w:val="top"/>
          </w:tcPr>
          <w:p w14:paraId="70E0ECA2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12.7±7.40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286DB371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85.50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6D15171F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-1.27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09AF43B5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0.21</w:t>
            </w:r>
          </w:p>
        </w:tc>
        <w:tc>
          <w:tcPr>
            <w:tcW w:w="560" w:type="pct"/>
            <w:tcBorders>
              <w:top w:val="nil"/>
              <w:bottom w:val="nil"/>
            </w:tcBorders>
            <w:vAlign w:val="top"/>
          </w:tcPr>
          <w:p w14:paraId="4329F6D6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0.23</w:t>
            </w:r>
          </w:p>
        </w:tc>
      </w:tr>
      <w:tr w14:paraId="430274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nil"/>
              <w:bottom w:val="nil"/>
            </w:tcBorders>
            <w:vAlign w:val="top"/>
          </w:tcPr>
          <w:p w14:paraId="5816EC26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HAMA(T2 vs T0)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top"/>
          </w:tcPr>
          <w:p w14:paraId="22B835D9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13.3±8.16</w:t>
            </w:r>
          </w:p>
        </w:tc>
        <w:tc>
          <w:tcPr>
            <w:tcW w:w="940" w:type="pct"/>
            <w:tcBorders>
              <w:top w:val="nil"/>
              <w:bottom w:val="nil"/>
            </w:tcBorders>
            <w:vAlign w:val="top"/>
          </w:tcPr>
          <w:p w14:paraId="734D4E1E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13.9±8.13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359E8489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70.00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20132637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-0.65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2C1503FB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0.54</w:t>
            </w:r>
          </w:p>
        </w:tc>
        <w:tc>
          <w:tcPr>
            <w:tcW w:w="560" w:type="pct"/>
            <w:tcBorders>
              <w:top w:val="nil"/>
              <w:bottom w:val="nil"/>
            </w:tcBorders>
            <w:vAlign w:val="top"/>
          </w:tcPr>
          <w:p w14:paraId="6ED64C74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0.13</w:t>
            </w:r>
          </w:p>
        </w:tc>
      </w:tr>
      <w:tr w14:paraId="5EF964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nil"/>
              <w:bottom w:val="nil"/>
            </w:tcBorders>
            <w:vAlign w:val="top"/>
          </w:tcPr>
          <w:p w14:paraId="4E7EBF14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HAMA(T3 vs T0)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top"/>
          </w:tcPr>
          <w:p w14:paraId="6EC334D9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9.6±9.32</w:t>
            </w:r>
          </w:p>
        </w:tc>
        <w:tc>
          <w:tcPr>
            <w:tcW w:w="940" w:type="pct"/>
            <w:tcBorders>
              <w:top w:val="nil"/>
              <w:bottom w:val="nil"/>
            </w:tcBorders>
            <w:vAlign w:val="top"/>
          </w:tcPr>
          <w:p w14:paraId="42FB5B99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14.8±7.65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0DD135CD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70.50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28B20EFE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-1.68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7CF7AB80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0.09</w:t>
            </w:r>
          </w:p>
        </w:tc>
        <w:tc>
          <w:tcPr>
            <w:tcW w:w="560" w:type="pct"/>
            <w:tcBorders>
              <w:top w:val="nil"/>
              <w:bottom w:val="nil"/>
            </w:tcBorders>
            <w:vAlign w:val="top"/>
          </w:tcPr>
          <w:p w14:paraId="291AFCC8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0.31</w:t>
            </w:r>
          </w:p>
        </w:tc>
      </w:tr>
      <w:tr w14:paraId="1E014C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nil"/>
              <w:bottom w:val="nil"/>
            </w:tcBorders>
            <w:vAlign w:val="top"/>
          </w:tcPr>
          <w:p w14:paraId="3A8C904C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SHAPS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top"/>
          </w:tcPr>
          <w:p w14:paraId="6A3033C2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3.8±5.89</w:t>
            </w:r>
          </w:p>
        </w:tc>
        <w:tc>
          <w:tcPr>
            <w:tcW w:w="940" w:type="pct"/>
            <w:tcBorders>
              <w:top w:val="nil"/>
              <w:bottom w:val="nil"/>
            </w:tcBorders>
            <w:vAlign w:val="top"/>
          </w:tcPr>
          <w:p w14:paraId="49B470A3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4.9±5.18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08EB7EC4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81.00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02C7ABCE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-1.01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340CAD18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0.33</w:t>
            </w:r>
          </w:p>
        </w:tc>
        <w:tc>
          <w:tcPr>
            <w:tcW w:w="560" w:type="pct"/>
            <w:tcBorders>
              <w:top w:val="nil"/>
              <w:bottom w:val="nil"/>
            </w:tcBorders>
            <w:vAlign w:val="top"/>
          </w:tcPr>
          <w:p w14:paraId="05C4BD00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0.19</w:t>
            </w:r>
          </w:p>
        </w:tc>
      </w:tr>
      <w:tr w14:paraId="4F8A43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nil"/>
              <w:bottom w:val="nil"/>
            </w:tcBorders>
            <w:vAlign w:val="top"/>
          </w:tcPr>
          <w:p w14:paraId="710CE246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PSQI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top"/>
          </w:tcPr>
          <w:p w14:paraId="3680BEAC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2.2±2.74</w:t>
            </w:r>
          </w:p>
        </w:tc>
        <w:tc>
          <w:tcPr>
            <w:tcW w:w="940" w:type="pct"/>
            <w:tcBorders>
              <w:top w:val="nil"/>
              <w:bottom w:val="nil"/>
            </w:tcBorders>
            <w:vAlign w:val="top"/>
          </w:tcPr>
          <w:p w14:paraId="6072CADD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3.8±3.23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6E77CDC1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73.00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top"/>
          </w:tcPr>
          <w:p w14:paraId="6EE370AE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-1.37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591BD400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0.18</w:t>
            </w:r>
          </w:p>
        </w:tc>
        <w:tc>
          <w:tcPr>
            <w:tcW w:w="560" w:type="pct"/>
            <w:tcBorders>
              <w:top w:val="nil"/>
              <w:bottom w:val="nil"/>
            </w:tcBorders>
            <w:vAlign w:val="top"/>
          </w:tcPr>
          <w:p w14:paraId="221D85F0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0.25</w:t>
            </w:r>
          </w:p>
        </w:tc>
      </w:tr>
      <w:tr w14:paraId="367BBD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pct"/>
            <w:tcBorders>
              <w:top w:val="nil"/>
              <w:bottom w:val="single" w:color="auto" w:sz="12" w:space="0"/>
            </w:tcBorders>
            <w:vAlign w:val="top"/>
          </w:tcPr>
          <w:p w14:paraId="138DA295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WHOQOL-BREF</w:t>
            </w:r>
          </w:p>
        </w:tc>
        <w:tc>
          <w:tcPr>
            <w:tcW w:w="939" w:type="pct"/>
            <w:tcBorders>
              <w:top w:val="nil"/>
              <w:bottom w:val="single" w:color="auto" w:sz="12" w:space="0"/>
            </w:tcBorders>
            <w:vAlign w:val="top"/>
          </w:tcPr>
          <w:p w14:paraId="3B26A8FB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5.4±13.71</w:t>
            </w:r>
          </w:p>
        </w:tc>
        <w:tc>
          <w:tcPr>
            <w:tcW w:w="940" w:type="pct"/>
            <w:tcBorders>
              <w:top w:val="nil"/>
              <w:bottom w:val="single" w:color="auto" w:sz="12" w:space="0"/>
            </w:tcBorders>
            <w:vAlign w:val="top"/>
          </w:tcPr>
          <w:p w14:paraId="2E1E19A4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11.5±12.50</w:t>
            </w:r>
          </w:p>
        </w:tc>
        <w:tc>
          <w:tcPr>
            <w:tcW w:w="512" w:type="pct"/>
            <w:tcBorders>
              <w:top w:val="nil"/>
              <w:bottom w:val="single" w:color="auto" w:sz="12" w:space="0"/>
            </w:tcBorders>
            <w:vAlign w:val="top"/>
          </w:tcPr>
          <w:p w14:paraId="2E4193B3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58.50</w:t>
            </w:r>
          </w:p>
        </w:tc>
        <w:tc>
          <w:tcPr>
            <w:tcW w:w="512" w:type="pct"/>
            <w:tcBorders>
              <w:top w:val="nil"/>
              <w:bottom w:val="single" w:color="auto" w:sz="12" w:space="0"/>
            </w:tcBorders>
            <w:vAlign w:val="top"/>
          </w:tcPr>
          <w:p w14:paraId="18FA5570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-1.34</w:t>
            </w:r>
          </w:p>
        </w:tc>
        <w:tc>
          <w:tcPr>
            <w:tcW w:w="426" w:type="pct"/>
            <w:tcBorders>
              <w:top w:val="nil"/>
              <w:bottom w:val="single" w:color="auto" w:sz="12" w:space="0"/>
            </w:tcBorders>
            <w:vAlign w:val="top"/>
          </w:tcPr>
          <w:p w14:paraId="07F306DB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0.19</w:t>
            </w:r>
          </w:p>
        </w:tc>
        <w:tc>
          <w:tcPr>
            <w:tcW w:w="560" w:type="pct"/>
            <w:tcBorders>
              <w:top w:val="nil"/>
              <w:bottom w:val="single" w:color="auto" w:sz="12" w:space="0"/>
            </w:tcBorders>
            <w:vAlign w:val="top"/>
          </w:tcPr>
          <w:p w14:paraId="265C4FE3">
            <w:pPr>
              <w:spacing w:after="0" w:line="240" w:lineRule="auto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0.26</w:t>
            </w:r>
          </w:p>
        </w:tc>
      </w:tr>
    </w:tbl>
    <w:p w14:paraId="663B2123">
      <w:pPr>
        <w:jc w:val="left"/>
        <w:rPr>
          <w:rFonts w:hint="default" w:ascii="Arial" w:hAnsi="Arial" w:cs="Arial"/>
          <w:sz w:val="22"/>
          <w:szCs w:val="22"/>
        </w:rPr>
      </w:pP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 xml:space="preserve">Note: </w:t>
      </w:r>
      <w:r>
        <w:rPr>
          <w:rFonts w:hint="default" w:ascii="Arial" w:hAnsi="Arial" w:cs="Arial"/>
          <w:sz w:val="22"/>
          <w:szCs w:val="22"/>
        </w:rPr>
        <w:t xml:space="preserve">* </w:t>
      </w:r>
      <w:r>
        <w:rPr>
          <w:rFonts w:hint="default" w:ascii="Arial" w:hAnsi="Arial" w:cs="Arial"/>
          <w:i/>
          <w:iCs/>
          <w:sz w:val="22"/>
          <w:szCs w:val="22"/>
        </w:rPr>
        <w:t>r</w:t>
      </w:r>
      <w:r>
        <w:rPr>
          <w:rFonts w:hint="default" w:ascii="Arial" w:hAnsi="Arial" w:cs="Arial"/>
          <w:sz w:val="22"/>
          <w:szCs w:val="22"/>
        </w:rPr>
        <w:t xml:space="preserve"> is the effect size of the Mann-Whitney U test.</w:t>
      </w:r>
    </w:p>
    <w:p w14:paraId="06D6EB05">
      <w:pPr>
        <w:rPr>
          <w:rFonts w:ascii="Times New Roman" w:hAnsi="Times New Roman" w:cs="Times New Roman"/>
        </w:rPr>
      </w:pPr>
    </w:p>
    <w:p w14:paraId="06BBE08F">
      <w:pPr>
        <w:jc w:val="center"/>
        <w:rPr>
          <w:rFonts w:hint="default"/>
          <w:lang w:val="en-US" w:eastAsia="zh-CN"/>
        </w:rPr>
      </w:pPr>
    </w:p>
    <w:p w14:paraId="77C7B48C">
      <w:pPr>
        <w:jc w:val="center"/>
        <w:rPr>
          <w:rFonts w:hint="default"/>
          <w:lang w:val="en-US" w:eastAsia="zh-CN"/>
        </w:rPr>
      </w:pPr>
    </w:p>
    <w:p w14:paraId="493CD858">
      <w:pPr>
        <w:jc w:val="center"/>
        <w:rPr>
          <w:rFonts w:hint="default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839" w:bottom="278" w:left="79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B34D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B457E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F308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6538F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2202D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D04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lYTRiNzQxMjRiNzUyMWU1YmZmOTY4YTcyYzcyZDgifQ=="/>
    <w:docVar w:name="KY_MEDREF_DOCUID" w:val="{07E5485A-E0D9-4173-86AC-2F4961A4DC0A}"/>
    <w:docVar w:name="KY_MEDREF_VERSION" w:val="3"/>
  </w:docVars>
  <w:rsids>
    <w:rsidRoot w:val="15680990"/>
    <w:rsid w:val="0DE9574E"/>
    <w:rsid w:val="0E9C2E85"/>
    <w:rsid w:val="142C11AA"/>
    <w:rsid w:val="15680990"/>
    <w:rsid w:val="1F540056"/>
    <w:rsid w:val="23957A8C"/>
    <w:rsid w:val="241C01AD"/>
    <w:rsid w:val="272F7AD6"/>
    <w:rsid w:val="28A4093D"/>
    <w:rsid w:val="31424534"/>
    <w:rsid w:val="3BE42E37"/>
    <w:rsid w:val="4A096A42"/>
    <w:rsid w:val="4B3C3949"/>
    <w:rsid w:val="58825FE5"/>
    <w:rsid w:val="5E5337EB"/>
    <w:rsid w:val="7101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249</Words>
  <Characters>1054</Characters>
  <Lines>0</Lines>
  <Paragraphs>0</Paragraphs>
  <TotalTime>0</TotalTime>
  <ScaleCrop>false</ScaleCrop>
  <LinksUpToDate>false</LinksUpToDate>
  <CharactersWithSpaces>1124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2026-01-05T12:20:00Z</dcterms:created>
  <dc:creator>Zixuan Zeng</dc:creator>
  <cp:lastModifiedBy>Zixuan Zeng</cp:lastModifiedBy>
  <dcterms:modified xsi:type="dcterms:W3CDTF">2026-01-19T08:24:49Z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AD5D8CCEA644452D9DCFAB596D66D592_11</vt:lpwstr>
  </property>
  <property fmtid="{D5CDD505-2E9C-101B-9397-08002B2CF9AE}" pid="4" name="KSOTemplateDocerSaveRecord">
    <vt:lpwstr>eyJoZGlkIjoiNjhlYTRiNzQxMjRiNzUyMWU1YmZmOTY4YTcyYzcyZDgiLCJ1c2VySWQiOiIzOTUxMjEzMzIifQ==</vt:lpwstr>
  </property>
</Properties>
</file>