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BAD76" w14:textId="77777777" w:rsidR="00CA1AF8" w:rsidRPr="00D832EB" w:rsidRDefault="000F7088">
      <w:pPr>
        <w:pStyle w:val="a8"/>
        <w:widowControl w:val="0"/>
        <w:numPr>
          <w:ilvl w:val="0"/>
          <w:numId w:val="1"/>
        </w:numPr>
        <w:spacing w:line="480" w:lineRule="auto"/>
        <w:ind w:firstLineChars="0"/>
        <w:rPr>
          <w:rFonts w:ascii="Times New Roman" w:hAnsi="Times New Roman" w:cs="Times New Roman"/>
          <w:b/>
          <w:bCs/>
          <w:sz w:val="22"/>
          <w:szCs w:val="22"/>
        </w:rPr>
      </w:pPr>
      <w:r w:rsidRPr="00D832EB">
        <w:rPr>
          <w:rFonts w:ascii="Times New Roman" w:eastAsia="Times New Roman" w:hAnsi="Times New Roman" w:cs="Times New Roman"/>
          <w:b/>
          <w:bCs/>
          <w:color w:val="000000"/>
          <w:sz w:val="22"/>
          <w:szCs w:val="22"/>
        </w:rPr>
        <w:t>Materials and methods</w:t>
      </w:r>
    </w:p>
    <w:p w14:paraId="11CA5532" w14:textId="77777777" w:rsidR="00CA1AF8" w:rsidRPr="00D832EB" w:rsidRDefault="000F7088">
      <w:pPr>
        <w:pStyle w:val="a8"/>
        <w:numPr>
          <w:ilvl w:val="1"/>
          <w:numId w:val="1"/>
        </w:numPr>
        <w:spacing w:line="480" w:lineRule="auto"/>
        <w:ind w:firstLineChars="0"/>
        <w:rPr>
          <w:rFonts w:ascii="Times New Roman" w:eastAsia="等线" w:hAnsi="Times New Roman" w:cs="Times New Roman"/>
          <w:b/>
          <w:bCs/>
          <w:sz w:val="22"/>
          <w:szCs w:val="22"/>
        </w:rPr>
      </w:pPr>
      <w:r w:rsidRPr="00D832EB">
        <w:rPr>
          <w:rFonts w:ascii="Times New Roman" w:eastAsia="等线" w:hAnsi="Times New Roman" w:cs="Times New Roman"/>
          <w:b/>
          <w:bCs/>
          <w:sz w:val="22"/>
          <w:szCs w:val="22"/>
        </w:rPr>
        <w:t>Collection and Analysis of Thyroid Hormones and Trace Elements</w:t>
      </w:r>
    </w:p>
    <w:p w14:paraId="1A332407" w14:textId="77777777" w:rsidR="00B844B4" w:rsidRPr="00D832EB" w:rsidRDefault="00B844B4">
      <w:pPr>
        <w:spacing w:line="480" w:lineRule="auto"/>
        <w:rPr>
          <w:rFonts w:ascii="Times New Roman" w:hAnsi="Times New Roman" w:cs="Times New Roman"/>
          <w:sz w:val="22"/>
          <w:szCs w:val="22"/>
        </w:rPr>
      </w:pPr>
      <w:r w:rsidRPr="00D832EB">
        <w:rPr>
          <w:rFonts w:ascii="Times New Roman" w:hAnsi="Times New Roman" w:cs="Times New Roman"/>
          <w:sz w:val="22"/>
          <w:szCs w:val="22"/>
        </w:rPr>
        <w:t>On the day of MRI examination, 5 mL of fasting venous blood was collected from the antecubital vein. Samples were centrifuged at 2,400 rpm for 11 minutes, and an appropriate volume of supernatant was obtained.</w:t>
      </w:r>
    </w:p>
    <w:p w14:paraId="36F9D13F" w14:textId="2F846D4A" w:rsidR="00CA1AF8" w:rsidRPr="00D832EB" w:rsidRDefault="000F7088">
      <w:pPr>
        <w:spacing w:line="480" w:lineRule="auto"/>
        <w:rPr>
          <w:rFonts w:ascii="Times New Roman" w:hAnsi="Times New Roman" w:cs="Times New Roman"/>
          <w:sz w:val="22"/>
          <w:szCs w:val="22"/>
        </w:rPr>
      </w:pPr>
      <w:r w:rsidRPr="00CC3D1A">
        <w:rPr>
          <w:rFonts w:ascii="Times New Roman" w:eastAsia="Times New Roman" w:hAnsi="Times New Roman"/>
          <w:sz w:val="22"/>
        </w:rPr>
        <w:t xml:space="preserve">(1) Thyroid hormone assay: Electrochemiluminescence immunoassay was used to measure </w:t>
      </w:r>
      <w:r w:rsidR="00BA2A7F" w:rsidRPr="00CC3D1A">
        <w:rPr>
          <w:rFonts w:ascii="Times New Roman" w:hAnsi="Times New Roman" w:hint="eastAsia"/>
          <w:sz w:val="22"/>
        </w:rPr>
        <w:t>free</w:t>
      </w:r>
      <w:r w:rsidRPr="00CC3D1A">
        <w:rPr>
          <w:rFonts w:ascii="Times New Roman" w:eastAsia="Times New Roman" w:hAnsi="Times New Roman"/>
          <w:sz w:val="22"/>
        </w:rPr>
        <w:t xml:space="preserve"> triiodothyronine (</w:t>
      </w:r>
      <w:r w:rsidR="00CC1D28" w:rsidRPr="00CC3D1A">
        <w:rPr>
          <w:rFonts w:ascii="Times New Roman" w:hAnsi="Times New Roman" w:hint="eastAsia"/>
          <w:sz w:val="22"/>
        </w:rPr>
        <w:t>F</w:t>
      </w:r>
      <w:r w:rsidRPr="00CC3D1A">
        <w:rPr>
          <w:rFonts w:ascii="Times New Roman" w:eastAsia="Times New Roman" w:hAnsi="Times New Roman"/>
          <w:sz w:val="22"/>
        </w:rPr>
        <w:t>T3), total thyroxine (</w:t>
      </w:r>
      <w:r w:rsidR="00BA2A7F" w:rsidRPr="00CC3D1A">
        <w:rPr>
          <w:rFonts w:ascii="Times New Roman" w:hAnsi="Times New Roman" w:hint="eastAsia"/>
          <w:sz w:val="22"/>
        </w:rPr>
        <w:t>T</w:t>
      </w:r>
      <w:r w:rsidRPr="00CC3D1A">
        <w:rPr>
          <w:rFonts w:ascii="Times New Roman" w:eastAsia="Times New Roman" w:hAnsi="Times New Roman"/>
          <w:sz w:val="22"/>
        </w:rPr>
        <w:t>T4), and thyroid-stimulating hormone (TSH) using a Roche ECL2010</w:t>
      </w:r>
      <w:r w:rsidR="00CC3D1A" w:rsidRPr="00CC3D1A">
        <w:rPr>
          <w:rFonts w:ascii="Times New Roman" w:hAnsi="Times New Roman" w:hint="eastAsia"/>
          <w:sz w:val="22"/>
        </w:rPr>
        <w:t xml:space="preserve"> </w:t>
      </w:r>
      <w:r w:rsidR="00CC3D1A" w:rsidRPr="00CC3D1A">
        <w:rPr>
          <w:rFonts w:ascii="Times New Roman" w:hAnsi="Times New Roman" w:cs="Times New Roman"/>
          <w:sz w:val="22"/>
          <w:szCs w:val="22"/>
        </w:rPr>
        <w:t>Electrochemiluminescence Analyzer (Germany) with the corresponding reagent kit</w:t>
      </w:r>
      <w:r w:rsidR="00CC3D1A" w:rsidRPr="00CC3D1A">
        <w:rPr>
          <w:rFonts w:ascii="Times New Roman" w:hAnsi="Times New Roman" w:cs="Times New Roman" w:hint="eastAsia"/>
          <w:sz w:val="22"/>
          <w:szCs w:val="22"/>
        </w:rPr>
        <w:t>.</w:t>
      </w:r>
    </w:p>
    <w:p w14:paraId="28DD3A46" w14:textId="77777777" w:rsidR="003A7D70" w:rsidRDefault="000F7088" w:rsidP="003A7D70">
      <w:pPr>
        <w:spacing w:line="480" w:lineRule="auto"/>
        <w:rPr>
          <w:rFonts w:ascii="Times New Roman" w:hAnsi="Times New Roman" w:cs="Times New Roman"/>
          <w:sz w:val="22"/>
          <w:szCs w:val="22"/>
        </w:rPr>
      </w:pPr>
      <w:r w:rsidRPr="00D832EB">
        <w:rPr>
          <w:rFonts w:ascii="Times New Roman" w:hAnsi="Times New Roman" w:cs="Times New Roman"/>
          <w:sz w:val="22"/>
          <w:szCs w:val="22"/>
        </w:rPr>
        <w:t xml:space="preserve">(2) Serum Iron, Serum Magnesium, and Blood Lead Assays: </w:t>
      </w:r>
      <w:r w:rsidR="002C71B8" w:rsidRPr="00D832EB">
        <w:rPr>
          <w:rFonts w:ascii="Times New Roman" w:hAnsi="Times New Roman" w:cs="Times New Roman"/>
          <w:sz w:val="22"/>
          <w:szCs w:val="22"/>
        </w:rPr>
        <w:t xml:space="preserve">Serum iron was measured using the </w:t>
      </w:r>
      <w:r w:rsidR="008A1B04">
        <w:rPr>
          <w:rFonts w:ascii="Times New Roman" w:hAnsi="Times New Roman" w:cs="Times New Roman"/>
          <w:sz w:val="22"/>
          <w:szCs w:val="22"/>
        </w:rPr>
        <w:t>ferrozine</w:t>
      </w:r>
      <w:r w:rsidR="002C71B8" w:rsidRPr="00D832EB">
        <w:rPr>
          <w:rFonts w:ascii="Times New Roman" w:hAnsi="Times New Roman" w:cs="Times New Roman"/>
          <w:sz w:val="22"/>
          <w:szCs w:val="22"/>
        </w:rPr>
        <w:t xml:space="preserve"> colorimetric method. Samples were treated with a trichloroacetic acid-hydrochloric acid mixture to release serum iron and precipitate proteins. Ferrous sulfate reduced ferric iron to ferrous iron, which then specifically bound to </w:t>
      </w:r>
      <w:r w:rsidR="008A1B04">
        <w:rPr>
          <w:rFonts w:ascii="Times New Roman" w:hAnsi="Times New Roman" w:cs="Times New Roman"/>
          <w:sz w:val="22"/>
          <w:szCs w:val="22"/>
        </w:rPr>
        <w:t>ferrozine</w:t>
      </w:r>
      <w:r w:rsidR="002C71B8" w:rsidRPr="00D832EB">
        <w:rPr>
          <w:rFonts w:ascii="Times New Roman" w:hAnsi="Times New Roman" w:cs="Times New Roman"/>
          <w:sz w:val="22"/>
          <w:szCs w:val="22"/>
        </w:rPr>
        <w:t xml:space="preserve">. The resulting complex was detected at an absorption peak of 562 nm for quantitative analysis of serum iron. Serum magnesium was measured using an OLYMPUS AU2700 fully automated biochemical analyzer (Japan). </w:t>
      </w:r>
      <w:r w:rsidR="003D7468" w:rsidRPr="003D7468">
        <w:rPr>
          <w:rFonts w:ascii="Times New Roman" w:hAnsi="Times New Roman" w:cs="Times New Roman"/>
          <w:sz w:val="22"/>
          <w:szCs w:val="22"/>
        </w:rPr>
        <w:t>Whole-blood</w:t>
      </w:r>
      <w:r w:rsidR="002C71B8" w:rsidRPr="00D832EB">
        <w:rPr>
          <w:rFonts w:ascii="Times New Roman" w:hAnsi="Times New Roman" w:cs="Times New Roman"/>
          <w:sz w:val="22"/>
          <w:szCs w:val="22"/>
        </w:rPr>
        <w:t xml:space="preserve"> lead was determined by graphite furnace atomic absorption spectrophotometry (GFAAS)</w:t>
      </w:r>
      <w:r w:rsidR="003D7468">
        <w:rPr>
          <w:rFonts w:ascii="Times New Roman" w:hAnsi="Times New Roman" w:cs="Times New Roman" w:hint="eastAsia"/>
          <w:sz w:val="22"/>
          <w:szCs w:val="22"/>
        </w:rPr>
        <w:t>,</w:t>
      </w:r>
      <w:r w:rsidR="002C71B8" w:rsidRPr="00D832EB">
        <w:rPr>
          <w:rFonts w:ascii="Times New Roman" w:hAnsi="Times New Roman" w:cs="Times New Roman"/>
          <w:sz w:val="22"/>
          <w:szCs w:val="22"/>
        </w:rPr>
        <w:t xml:space="preserve"> stored at -80°C</w:t>
      </w:r>
      <w:r w:rsidR="00DA3636">
        <w:rPr>
          <w:rFonts w:ascii="Times New Roman" w:hAnsi="Times New Roman" w:cs="Times New Roman"/>
          <w:sz w:val="22"/>
          <w:szCs w:val="22"/>
        </w:rPr>
        <w:t>, and</w:t>
      </w:r>
      <w:r w:rsidR="002C71B8" w:rsidRPr="00D832EB">
        <w:rPr>
          <w:rFonts w:ascii="Times New Roman" w:hAnsi="Times New Roman" w:cs="Times New Roman"/>
          <w:sz w:val="22"/>
          <w:szCs w:val="22"/>
        </w:rPr>
        <w:t xml:space="preserve"> thawed on ice, diluted 1:4 with deionized water to 1 mL, mixed with 200 μL of ultra-pure nitric acid, and 20 μL of each sample was injected for analysis.</w:t>
      </w:r>
      <w:r w:rsidR="00042DA2">
        <w:rPr>
          <w:rFonts w:ascii="Times New Roman" w:hAnsi="Times New Roman" w:cs="Times New Roman" w:hint="eastAsia"/>
          <w:sz w:val="22"/>
          <w:szCs w:val="22"/>
        </w:rPr>
        <w:t xml:space="preserve"> </w:t>
      </w:r>
      <w:r w:rsidR="00042DA2" w:rsidRPr="00042DA2">
        <w:rPr>
          <w:rFonts w:ascii="Times New Roman" w:hAnsi="Times New Roman" w:cs="Times New Roman"/>
          <w:sz w:val="22"/>
          <w:szCs w:val="22"/>
        </w:rPr>
        <w:t>Blood lead concentration was quantified using the standard curve method according to the instrument manual</w:t>
      </w:r>
      <w:r w:rsidR="003A7D70">
        <w:rPr>
          <w:rFonts w:ascii="Times New Roman" w:hAnsi="Times New Roman" w:cs="Times New Roman" w:hint="eastAsia"/>
          <w:sz w:val="22"/>
          <w:szCs w:val="22"/>
        </w:rPr>
        <w:t>.</w:t>
      </w:r>
    </w:p>
    <w:p w14:paraId="18C9B033" w14:textId="51B481C5" w:rsidR="00CA1AF8" w:rsidRDefault="00CC3D1A" w:rsidP="00CC3D1A">
      <w:pPr>
        <w:spacing w:line="480" w:lineRule="auto"/>
        <w:ind w:firstLine="360"/>
        <w:rPr>
          <w:rFonts w:ascii="Times New Roman" w:hAnsi="Times New Roman"/>
          <w:sz w:val="22"/>
        </w:rPr>
      </w:pPr>
      <w:r w:rsidRPr="00CC3D1A">
        <w:rPr>
          <w:rFonts w:ascii="Times New Roman" w:hAnsi="Times New Roman"/>
          <w:sz w:val="22"/>
        </w:rPr>
        <w:lastRenderedPageBreak/>
        <w:t>Serum iron and FT4 values in the ASD-ANX group were log-transformed before correlation analyses because of distributional skewness identified during exploratory data assessment.</w:t>
      </w:r>
    </w:p>
    <w:p w14:paraId="2998791E" w14:textId="77777777" w:rsidR="00CC3D1A" w:rsidRPr="00D832EB" w:rsidRDefault="00CC3D1A" w:rsidP="00CC3D1A">
      <w:pPr>
        <w:spacing w:line="480" w:lineRule="auto"/>
        <w:ind w:firstLine="360"/>
        <w:rPr>
          <w:rFonts w:ascii="Times New Roman" w:hAnsi="Times New Roman" w:cs="Times New Roman"/>
          <w:sz w:val="22"/>
          <w:szCs w:val="22"/>
        </w:rPr>
      </w:pPr>
    </w:p>
    <w:p w14:paraId="0C794921" w14:textId="77777777" w:rsidR="00CA1AF8" w:rsidRPr="00D832EB" w:rsidRDefault="000F7088">
      <w:pPr>
        <w:pStyle w:val="a8"/>
        <w:numPr>
          <w:ilvl w:val="1"/>
          <w:numId w:val="1"/>
        </w:numPr>
        <w:spacing w:line="480" w:lineRule="auto"/>
        <w:ind w:firstLineChars="0"/>
        <w:rPr>
          <w:rFonts w:ascii="Times New Roman" w:eastAsia="等线" w:hAnsi="Times New Roman" w:cs="Times New Roman"/>
          <w:sz w:val="22"/>
          <w:szCs w:val="22"/>
        </w:rPr>
      </w:pPr>
      <w:r w:rsidRPr="00D832EB">
        <w:rPr>
          <w:rFonts w:ascii="Times New Roman" w:eastAsia="等线" w:hAnsi="Times New Roman" w:cs="Times New Roman"/>
          <w:b/>
          <w:bCs/>
          <w:sz w:val="22"/>
          <w:szCs w:val="22"/>
        </w:rPr>
        <w:t>Animal Pathology</w:t>
      </w:r>
    </w:p>
    <w:p w14:paraId="23F73E19" w14:textId="77777777" w:rsidR="00CA1AF8" w:rsidRPr="00D832EB" w:rsidRDefault="000F7088">
      <w:pPr>
        <w:pStyle w:val="a8"/>
        <w:spacing w:line="480" w:lineRule="auto"/>
        <w:ind w:firstLineChars="0" w:firstLine="0"/>
        <w:rPr>
          <w:rFonts w:ascii="Times New Roman" w:eastAsia="等线" w:hAnsi="Times New Roman" w:cs="Times New Roman"/>
          <w:sz w:val="22"/>
          <w:szCs w:val="22"/>
        </w:rPr>
      </w:pPr>
      <w:r w:rsidRPr="00D832EB">
        <w:rPr>
          <w:rFonts w:ascii="Times New Roman" w:eastAsia="等线" w:hAnsi="Times New Roman" w:cs="Times New Roman"/>
          <w:b/>
          <w:bCs/>
          <w:sz w:val="22"/>
          <w:szCs w:val="22"/>
        </w:rPr>
        <w:t>I. Research Overview</w:t>
      </w:r>
    </w:p>
    <w:p w14:paraId="443A40E0" w14:textId="77777777" w:rsidR="00BB6408" w:rsidRDefault="00CC3D1A" w:rsidP="00CC3D1A">
      <w:pPr>
        <w:widowControl w:val="0"/>
        <w:spacing w:before="100" w:beforeAutospacing="1" w:after="160" w:line="480" w:lineRule="auto"/>
        <w:rPr>
          <w:rFonts w:ascii="Times New Roman" w:hAnsi="Times New Roman"/>
          <w:sz w:val="22"/>
        </w:rPr>
      </w:pPr>
      <w:r w:rsidRPr="00CC3D1A">
        <w:rPr>
          <w:rFonts w:ascii="Times New Roman" w:hAnsi="Times New Roman"/>
          <w:sz w:val="22"/>
        </w:rPr>
        <w:t>Autism Spectrum Disorder (ASD) is defined by two core behavioral domains: persistent repetitive behaviors and marked deficits in social communication. The BTBR T+ltpr3tf/J (BTBR) mouse strain is a widely used ASD model that exhibits behavioral phenotypes closely resembling these core clinical features.</w:t>
      </w:r>
      <w:r>
        <w:rPr>
          <w:rFonts w:ascii="Times New Roman" w:hAnsi="Times New Roman" w:hint="eastAsia"/>
          <w:sz w:val="22"/>
        </w:rPr>
        <w:t xml:space="preserve"> </w:t>
      </w:r>
      <w:r w:rsidRPr="00CC3D1A">
        <w:rPr>
          <w:rFonts w:ascii="Times New Roman" w:hAnsi="Times New Roman"/>
          <w:sz w:val="22"/>
        </w:rPr>
        <w:t>In this study, BTBR mice were evaluated using two established paradigms, the Open Field Test (OFT) and the Elevated Plus Maze (EPM). Parameters, including zone-specific dwell frequency and duration, locomotor speed, and total travel distance, were quantified to characterize anxiety-like behavior. On this basis, we hypothesized that a subset of BTBR mice would display prominent anxiety-like phenotypes and that these traits might be associated with specific neuropathological changes. By stratifying BTBR mice according to anxiety phenotype, this study aimed to provide an experimental foundation for targeted investigation of neural potential biological interpretations underlying the ASD-ANX subtype.</w:t>
      </w:r>
    </w:p>
    <w:p w14:paraId="6B181EA9" w14:textId="2C43E879" w:rsidR="00CA1AF8" w:rsidRPr="00CC3D1A" w:rsidRDefault="000F7088" w:rsidP="00BB6408">
      <w:pPr>
        <w:widowControl w:val="0"/>
        <w:spacing w:before="100" w:beforeAutospacing="1" w:after="160" w:line="480" w:lineRule="auto"/>
        <w:ind w:firstLine="0"/>
        <w:rPr>
          <w:rFonts w:ascii="Times New Roman" w:hAnsi="Times New Roman"/>
          <w:sz w:val="22"/>
          <w:highlight w:val="yellow"/>
        </w:rPr>
      </w:pPr>
      <w:r w:rsidRPr="00D832EB">
        <w:rPr>
          <w:rFonts w:ascii="Times New Roman" w:eastAsia="等线" w:hAnsi="Times New Roman" w:cs="Times New Roman"/>
          <w:b/>
          <w:bCs/>
          <w:sz w:val="22"/>
          <w:szCs w:val="22"/>
        </w:rPr>
        <w:t>II. Experimental Protocol</w:t>
      </w:r>
    </w:p>
    <w:p w14:paraId="175D1D0D" w14:textId="77777777" w:rsidR="00CA1AF8" w:rsidRPr="00D832EB" w:rsidRDefault="000F7088">
      <w:pPr>
        <w:widowControl w:val="0"/>
        <w:spacing w:before="100" w:beforeAutospacing="1" w:after="160" w:line="480" w:lineRule="auto"/>
        <w:ind w:firstLine="0"/>
        <w:jc w:val="left"/>
        <w:rPr>
          <w:rFonts w:ascii="Times New Roman" w:eastAsia="等线" w:hAnsi="Times New Roman" w:cs="Times New Roman"/>
          <w:sz w:val="22"/>
          <w:szCs w:val="22"/>
        </w:rPr>
      </w:pPr>
      <w:r w:rsidRPr="00D832EB">
        <w:rPr>
          <w:rFonts w:ascii="Times New Roman" w:eastAsia="等线" w:hAnsi="Times New Roman" w:cs="Times New Roman"/>
          <w:b/>
          <w:bCs/>
          <w:sz w:val="22"/>
          <w:szCs w:val="22"/>
        </w:rPr>
        <w:t>(I) Animal Housing and Ethics</w:t>
      </w:r>
    </w:p>
    <w:p w14:paraId="6A3045AD" w14:textId="0399C6A0" w:rsidR="00CA1AF8" w:rsidRPr="00CC3D1A" w:rsidRDefault="000F7088">
      <w:pPr>
        <w:widowControl w:val="0"/>
        <w:spacing w:before="100" w:beforeAutospacing="1" w:after="160" w:line="480" w:lineRule="auto"/>
        <w:rPr>
          <w:rFonts w:ascii="Times New Roman" w:eastAsia="等线" w:hAnsi="Times New Roman" w:cs="Times New Roman"/>
          <w:bCs/>
          <w:sz w:val="22"/>
          <w:szCs w:val="22"/>
        </w:rPr>
      </w:pPr>
      <w:r w:rsidRPr="00CC3D1A">
        <w:rPr>
          <w:rFonts w:ascii="Times New Roman" w:eastAsia="Times New Roman" w:hAnsi="Times New Roman"/>
          <w:bCs/>
          <w:sz w:val="22"/>
        </w:rPr>
        <w:lastRenderedPageBreak/>
        <w:t xml:space="preserve">Animal subjects: Eight-week-old male BTBR T+Itpr3tf/J mice (n = 9) and age- and sex-matched C57BL/6J controls (n = 4) were used. BTBR mice weighed 27–32 g and C57 mice weighed 22–28 g. No formal a priori sample-size calculation was performed; the available cohort defined this preliminary experiment. </w:t>
      </w:r>
      <w:r w:rsidR="0069198F" w:rsidRPr="00CC3D1A">
        <w:rPr>
          <w:rFonts w:ascii="Times New Roman" w:eastAsia="Times New Roman" w:hAnsi="Times New Roman"/>
          <w:bCs/>
          <w:sz w:val="22"/>
        </w:rPr>
        <w:t xml:space="preserve">The allocation of </w:t>
      </w:r>
      <w:bookmarkStart w:id="0" w:name="OLE_LINK3"/>
      <w:r w:rsidR="0069198F" w:rsidRPr="00CC3D1A">
        <w:rPr>
          <w:rFonts w:ascii="Times New Roman" w:eastAsia="Times New Roman" w:hAnsi="Times New Roman"/>
          <w:bCs/>
          <w:sz w:val="22"/>
        </w:rPr>
        <w:t>mice</w:t>
      </w:r>
      <w:bookmarkEnd w:id="0"/>
      <w:r w:rsidRPr="00CC3D1A">
        <w:rPr>
          <w:rFonts w:ascii="Times New Roman" w:eastAsia="Times New Roman" w:hAnsi="Times New Roman"/>
          <w:bCs/>
          <w:sz w:val="22"/>
        </w:rPr>
        <w:t xml:space="preserve"> was predetermined and was therefore not randomized.</w:t>
      </w:r>
    </w:p>
    <w:p w14:paraId="0A244963" w14:textId="77777777" w:rsidR="00E65C8C" w:rsidRDefault="000F7088" w:rsidP="00E65C8C">
      <w:pPr>
        <w:widowControl w:val="0"/>
        <w:spacing w:before="100" w:beforeAutospacing="1" w:after="160" w:line="480" w:lineRule="auto"/>
        <w:rPr>
          <w:rFonts w:ascii="Times New Roman" w:hAnsi="Times New Roman" w:cs="Times New Roman"/>
          <w:bCs/>
          <w:sz w:val="22"/>
          <w:szCs w:val="22"/>
        </w:rPr>
      </w:pPr>
      <w:r w:rsidRPr="00CC3D1A">
        <w:rPr>
          <w:rFonts w:ascii="Times New Roman" w:eastAsia="Times New Roman" w:hAnsi="Times New Roman"/>
          <w:bCs/>
          <w:sz w:val="22"/>
        </w:rPr>
        <w:t xml:space="preserve">Ethical compliance and blinding: Procedures were approved by the </w:t>
      </w:r>
      <w:r w:rsidR="00E65C8C" w:rsidRPr="00E65C8C">
        <w:rPr>
          <w:rFonts w:ascii="Times New Roman" w:hAnsi="Times New Roman" w:cs="Times New Roman"/>
          <w:bCs/>
          <w:sz w:val="22"/>
          <w:szCs w:val="22"/>
        </w:rPr>
        <w:t>Institutional Animal Care</w:t>
      </w:r>
      <w:r w:rsidR="00E65C8C">
        <w:rPr>
          <w:rFonts w:ascii="Times New Roman" w:hAnsi="Times New Roman" w:cs="Times New Roman" w:hint="eastAsia"/>
          <w:bCs/>
          <w:sz w:val="22"/>
          <w:szCs w:val="22"/>
        </w:rPr>
        <w:t xml:space="preserve"> </w:t>
      </w:r>
      <w:r w:rsidR="00E65C8C" w:rsidRPr="00E65C8C">
        <w:rPr>
          <w:rFonts w:ascii="Times New Roman" w:hAnsi="Times New Roman" w:cs="Times New Roman"/>
          <w:bCs/>
          <w:sz w:val="22"/>
          <w:szCs w:val="22"/>
        </w:rPr>
        <w:t>and Use Committee (IACUC) of The Third Affiliated Hospital of Sun Yat-Sen University</w:t>
      </w:r>
    </w:p>
    <w:p w14:paraId="58EDE266" w14:textId="032F686B" w:rsidR="00CA1AF8" w:rsidRPr="00E65C8C" w:rsidRDefault="00E65C8C" w:rsidP="00E65C8C">
      <w:pPr>
        <w:widowControl w:val="0"/>
        <w:spacing w:before="100" w:beforeAutospacing="1" w:after="160" w:line="480" w:lineRule="auto"/>
        <w:ind w:firstLine="0"/>
        <w:rPr>
          <w:rFonts w:ascii="Times New Roman" w:hAnsi="Times New Roman" w:cs="Times New Roman"/>
          <w:bCs/>
          <w:sz w:val="22"/>
          <w:szCs w:val="22"/>
        </w:rPr>
      </w:pPr>
      <w:r>
        <w:rPr>
          <w:rFonts w:ascii="Times New Roman" w:hAnsi="Times New Roman" w:cs="Times New Roman" w:hint="eastAsia"/>
          <w:bCs/>
          <w:sz w:val="22"/>
          <w:szCs w:val="22"/>
        </w:rPr>
        <w:t>(</w:t>
      </w:r>
      <w:r w:rsidRPr="00E65C8C">
        <w:rPr>
          <w:rFonts w:ascii="Times New Roman" w:hAnsi="Times New Roman" w:cs="Times New Roman"/>
          <w:bCs/>
          <w:sz w:val="22"/>
          <w:szCs w:val="22"/>
        </w:rPr>
        <w:t>Approval No</w:t>
      </w:r>
      <w:r w:rsidRPr="00EA0E51">
        <w:rPr>
          <w:rFonts w:ascii="Times New Roman" w:eastAsia="Times New Roman" w:hAnsi="Times New Roman"/>
          <w:bCs/>
          <w:sz w:val="22"/>
        </w:rPr>
        <w:t xml:space="preserve">. </w:t>
      </w:r>
      <w:r w:rsidR="00A9624B" w:rsidRPr="00EA0E51">
        <w:rPr>
          <w:rFonts w:ascii="Times New Roman" w:eastAsia="Times New Roman" w:hAnsi="Times New Roman"/>
          <w:bCs/>
          <w:sz w:val="22"/>
        </w:rPr>
        <w:t>IACUC-2023-A072</w:t>
      </w:r>
      <w:r w:rsidRPr="00EA0E51">
        <w:rPr>
          <w:rFonts w:ascii="Times New Roman" w:eastAsia="Times New Roman" w:hAnsi="Times New Roman" w:hint="eastAsia"/>
          <w:bCs/>
          <w:sz w:val="22"/>
        </w:rPr>
        <w:t xml:space="preserve">) </w:t>
      </w:r>
      <w:r w:rsidRPr="00EA0E51">
        <w:rPr>
          <w:rFonts w:ascii="Times New Roman" w:eastAsia="Times New Roman" w:hAnsi="Times New Roman"/>
          <w:bCs/>
          <w:sz w:val="22"/>
        </w:rPr>
        <w:t>and</w:t>
      </w:r>
      <w:r w:rsidRPr="00CC3D1A">
        <w:rPr>
          <w:rFonts w:ascii="Times New Roman" w:eastAsia="Times New Roman" w:hAnsi="Times New Roman"/>
          <w:bCs/>
          <w:sz w:val="22"/>
        </w:rPr>
        <w:t xml:space="preserve"> followed the National Institutes of Health Guide for the Care and Use of Laboratory Animals. Two investigators observing and recording behavior were blinded to </w:t>
      </w:r>
      <w:r w:rsidR="0069198F" w:rsidRPr="00CC3D1A">
        <w:rPr>
          <w:rFonts w:ascii="Times New Roman" w:eastAsia="Times New Roman" w:hAnsi="Times New Roman"/>
          <w:bCs/>
          <w:sz w:val="22"/>
        </w:rPr>
        <w:t>mice</w:t>
      </w:r>
      <w:r w:rsidRPr="00CC3D1A">
        <w:rPr>
          <w:rFonts w:ascii="Times New Roman" w:eastAsia="Times New Roman" w:hAnsi="Times New Roman"/>
          <w:bCs/>
          <w:sz w:val="22"/>
        </w:rPr>
        <w:t xml:space="preserve"> allocation. Blinding of histological image acquisition and quantification was not documented in the archived records and is reported as a design limitation.</w:t>
      </w:r>
    </w:p>
    <w:p w14:paraId="39135A1E" w14:textId="77777777" w:rsidR="00CA1AF8" w:rsidRPr="00D832EB" w:rsidRDefault="000F7088">
      <w:pPr>
        <w:widowControl w:val="0"/>
        <w:spacing w:before="100" w:beforeAutospacing="1" w:after="160" w:line="480" w:lineRule="auto"/>
        <w:ind w:firstLine="0"/>
        <w:jc w:val="left"/>
        <w:rPr>
          <w:rFonts w:ascii="Times New Roman" w:eastAsia="等线" w:hAnsi="Times New Roman" w:cs="Times New Roman"/>
          <w:sz w:val="22"/>
          <w:szCs w:val="22"/>
        </w:rPr>
      </w:pPr>
      <w:r w:rsidRPr="00D832EB">
        <w:rPr>
          <w:rFonts w:ascii="Times New Roman" w:eastAsia="等线" w:hAnsi="Times New Roman" w:cs="Times New Roman"/>
          <w:b/>
          <w:bCs/>
          <w:sz w:val="22"/>
          <w:szCs w:val="22"/>
        </w:rPr>
        <w:t>(II) Open Field Test (OFT)</w:t>
      </w:r>
    </w:p>
    <w:p w14:paraId="3674FC6D" w14:textId="309FC91D" w:rsidR="00CA1AF8" w:rsidRPr="00D832EB" w:rsidRDefault="000F7088">
      <w:pPr>
        <w:widowControl w:val="0"/>
        <w:spacing w:before="100" w:beforeAutospacing="1" w:after="160" w:line="480" w:lineRule="auto"/>
        <w:rPr>
          <w:rFonts w:ascii="Times New Roman" w:eastAsia="等线" w:hAnsi="Times New Roman" w:cs="Times New Roman"/>
          <w:sz w:val="22"/>
          <w:szCs w:val="22"/>
        </w:rPr>
      </w:pPr>
      <w:r w:rsidRPr="00D832EB">
        <w:rPr>
          <w:rFonts w:ascii="Times New Roman" w:eastAsia="等线" w:hAnsi="Times New Roman" w:cs="Times New Roman"/>
          <w:b/>
          <w:bCs/>
          <w:sz w:val="22"/>
          <w:szCs w:val="22"/>
        </w:rPr>
        <w:t>Apparatus:</w:t>
      </w:r>
      <w:r w:rsidRPr="00D832EB">
        <w:rPr>
          <w:rFonts w:ascii="Times New Roman" w:eastAsia="等线" w:hAnsi="Times New Roman" w:cs="Times New Roman"/>
          <w:sz w:val="22"/>
          <w:szCs w:val="22"/>
        </w:rPr>
        <w:t xml:space="preserve"> </w:t>
      </w:r>
      <w:r w:rsidR="00895E9D" w:rsidRPr="00D832EB">
        <w:rPr>
          <w:rFonts w:ascii="Times New Roman" w:hAnsi="Times New Roman" w:cs="Times New Roman"/>
          <w:sz w:val="22"/>
          <w:szCs w:val="22"/>
        </w:rPr>
        <w:t>The test apparatus was an opaque acrylic chamber (50 cm × 50 cm × 40 cm height) equipped with infrared beam sensors on the inner walls for real-time detection of horizontal and vertical movements. Testing was conducted under natural daylight to avoid light-induced stress</w:t>
      </w:r>
      <w:r w:rsidR="000724A5">
        <w:rPr>
          <w:rFonts w:ascii="Times New Roman" w:hAnsi="Times New Roman" w:cs="Times New Roman"/>
          <w:sz w:val="22"/>
          <w:szCs w:val="22"/>
        </w:rPr>
        <w:fldChar w:fldCharType="begin">
          <w:fldData xml:space="preserve">PEVuZE5vdGU+PENpdGU+PEF1dGhvcj5QYXJrPC9BdXRob3I+PFllYXI+MjAyNTwvWWVhcj48UmVj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</w:fldData>
        </w:fldChar>
      </w:r>
      <w:r w:rsidR="000724A5">
        <w:rPr>
          <w:rFonts w:ascii="Times New Roman" w:hAnsi="Times New Roman" w:cs="Times New Roman"/>
          <w:sz w:val="22"/>
          <w:szCs w:val="22"/>
        </w:rPr>
        <w:instrText xml:space="preserve"> ADDIN EN.CITE </w:instrText>
      </w:r>
      <w:r w:rsidR="000724A5">
        <w:rPr>
          <w:rFonts w:ascii="Times New Roman" w:hAnsi="Times New Roman" w:cs="Times New Roman"/>
          <w:sz w:val="22"/>
          <w:szCs w:val="22"/>
        </w:rPr>
        <w:fldChar w:fldCharType="begin">
          <w:fldData xml:space="preserve">PEVuZE5vdGU+PENpdGU+PEF1dGhvcj5QYXJrPC9BdXRob3I+PFllYXI+MjAyNTwvWWVhcj48UmVj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</w:fldData>
        </w:fldChar>
      </w:r>
      <w:r w:rsidR="000724A5">
        <w:rPr>
          <w:rFonts w:ascii="Times New Roman" w:hAnsi="Times New Roman" w:cs="Times New Roman"/>
          <w:sz w:val="22"/>
          <w:szCs w:val="22"/>
        </w:rPr>
        <w:instrText xml:space="preserve"> ADDIN EN.CITE.DATA </w:instrText>
      </w:r>
      <w:r w:rsidR="000724A5">
        <w:rPr>
          <w:rFonts w:ascii="Times New Roman" w:hAnsi="Times New Roman" w:cs="Times New Roman"/>
          <w:sz w:val="22"/>
          <w:szCs w:val="22"/>
        </w:rPr>
      </w:r>
      <w:r w:rsidR="000724A5">
        <w:rPr>
          <w:rFonts w:ascii="Times New Roman" w:hAnsi="Times New Roman" w:cs="Times New Roman"/>
          <w:sz w:val="22"/>
          <w:szCs w:val="22"/>
        </w:rPr>
        <w:fldChar w:fldCharType="end"/>
      </w:r>
      <w:r w:rsidR="000724A5">
        <w:rPr>
          <w:rFonts w:ascii="Times New Roman" w:hAnsi="Times New Roman" w:cs="Times New Roman"/>
          <w:sz w:val="22"/>
          <w:szCs w:val="22"/>
        </w:rPr>
      </w:r>
      <w:r w:rsidR="000724A5">
        <w:rPr>
          <w:rFonts w:ascii="Times New Roman" w:hAnsi="Times New Roman" w:cs="Times New Roman"/>
          <w:sz w:val="22"/>
          <w:szCs w:val="22"/>
        </w:rPr>
        <w:fldChar w:fldCharType="separate"/>
      </w:r>
      <w:r w:rsidR="000724A5">
        <w:rPr>
          <w:rFonts w:ascii="Times New Roman" w:hAnsi="Times New Roman" w:cs="Times New Roman"/>
          <w:noProof/>
          <w:sz w:val="22"/>
          <w:szCs w:val="22"/>
        </w:rPr>
        <w:t>[1]</w:t>
      </w:r>
      <w:r w:rsidR="000724A5">
        <w:rPr>
          <w:rFonts w:ascii="Times New Roman" w:hAnsi="Times New Roman" w:cs="Times New Roman"/>
          <w:sz w:val="22"/>
          <w:szCs w:val="22"/>
        </w:rPr>
        <w:fldChar w:fldCharType="end"/>
      </w:r>
      <w:r w:rsidRPr="00D832EB">
        <w:rPr>
          <w:rFonts w:ascii="Times New Roman" w:eastAsia="等线" w:hAnsi="Times New Roman" w:cs="Times New Roman"/>
          <w:sz w:val="22"/>
          <w:szCs w:val="22"/>
        </w:rPr>
        <w:t>.</w:t>
      </w:r>
    </w:p>
    <w:p w14:paraId="4104BF09" w14:textId="77777777" w:rsidR="00CA1AF8" w:rsidRPr="00D832EB" w:rsidRDefault="000F7088">
      <w:pPr>
        <w:widowControl w:val="0"/>
        <w:spacing w:before="100" w:beforeAutospacing="1" w:after="160" w:line="480" w:lineRule="auto"/>
        <w:rPr>
          <w:rFonts w:ascii="Times New Roman" w:eastAsia="等线" w:hAnsi="Times New Roman" w:cs="Times New Roman"/>
          <w:sz w:val="22"/>
          <w:szCs w:val="22"/>
        </w:rPr>
      </w:pPr>
      <w:r w:rsidRPr="00D832EB">
        <w:rPr>
          <w:rFonts w:ascii="Times New Roman" w:eastAsia="等线" w:hAnsi="Times New Roman" w:cs="Times New Roman"/>
          <w:b/>
          <w:bCs/>
          <w:sz w:val="22"/>
          <w:szCs w:val="22"/>
        </w:rPr>
        <w:t>Procedure:</w:t>
      </w:r>
      <w:r w:rsidRPr="00D832EB">
        <w:rPr>
          <w:rFonts w:ascii="Times New Roman" w:eastAsia="等线" w:hAnsi="Times New Roman" w:cs="Times New Roman"/>
          <w:sz w:val="22"/>
          <w:szCs w:val="22"/>
        </w:rPr>
        <w:t xml:space="preserve"> </w:t>
      </w:r>
      <w:r w:rsidR="00895E9D" w:rsidRPr="00D832EB">
        <w:rPr>
          <w:rFonts w:ascii="Times New Roman" w:hAnsi="Times New Roman" w:cs="Times New Roman"/>
          <w:sz w:val="22"/>
          <w:szCs w:val="22"/>
        </w:rPr>
        <w:t xml:space="preserve">Mice were acclimated to the testing room for 30 minutes before assessment. Each mouse was gently placed in the center of the chamber, and behavior was recorded for 10 minutes using a computerized tracking system (TSE-System®, Berlin, Germany). Data acquisition was divided into two 5-minute phases to assess temporal behavioral dynamics. The </w:t>
      </w:r>
      <w:r w:rsidR="00895E9D" w:rsidRPr="00D832EB">
        <w:rPr>
          <w:rFonts w:ascii="Times New Roman" w:hAnsi="Times New Roman" w:cs="Times New Roman"/>
          <w:sz w:val="22"/>
          <w:szCs w:val="22"/>
        </w:rPr>
        <w:lastRenderedPageBreak/>
        <w:t>chamber was thoroughly cleaned with 70% ethanol between trials, and the next trial began only after complete evaporation to eliminate olfactory interference</w:t>
      </w:r>
      <w:r w:rsidRPr="00D832EB">
        <w:rPr>
          <w:rFonts w:ascii="Times New Roman" w:eastAsia="等线" w:hAnsi="Times New Roman" w:cs="Times New Roman"/>
          <w:sz w:val="22"/>
          <w:szCs w:val="22"/>
        </w:rPr>
        <w:t>.</w:t>
      </w:r>
    </w:p>
    <w:p w14:paraId="6E218326" w14:textId="77777777" w:rsidR="00CA1AF8" w:rsidRPr="00D832EB" w:rsidRDefault="000F7088">
      <w:pPr>
        <w:widowControl w:val="0"/>
        <w:spacing w:before="100" w:beforeAutospacing="1" w:after="160" w:line="480" w:lineRule="auto"/>
        <w:ind w:firstLine="360"/>
        <w:rPr>
          <w:rFonts w:ascii="Times New Roman" w:eastAsia="等线" w:hAnsi="Times New Roman" w:cs="Times New Roman"/>
          <w:sz w:val="22"/>
          <w:szCs w:val="22"/>
        </w:rPr>
      </w:pPr>
      <w:r w:rsidRPr="00D832EB">
        <w:rPr>
          <w:rFonts w:ascii="Times New Roman" w:eastAsia="等线" w:hAnsi="Times New Roman" w:cs="Times New Roman"/>
          <w:b/>
          <w:bCs/>
          <w:sz w:val="22"/>
          <w:szCs w:val="22"/>
        </w:rPr>
        <w:t>Measured Parameters (Automated analysis via ActiMot software, TSE-System®):</w:t>
      </w:r>
    </w:p>
    <w:p w14:paraId="16B14291" w14:textId="77777777" w:rsidR="00CA1AF8" w:rsidRPr="00D832EB" w:rsidRDefault="000F7088">
      <w:pPr>
        <w:widowControl w:val="0"/>
        <w:numPr>
          <w:ilvl w:val="0"/>
          <w:numId w:val="2"/>
        </w:numPr>
        <w:spacing w:before="100" w:beforeAutospacing="1" w:after="160" w:line="480" w:lineRule="auto"/>
        <w:rPr>
          <w:rFonts w:ascii="Times New Roman" w:eastAsia="等线" w:hAnsi="Times New Roman" w:cs="Times New Roman"/>
          <w:sz w:val="22"/>
          <w:szCs w:val="22"/>
        </w:rPr>
      </w:pPr>
      <w:r w:rsidRPr="00D832EB">
        <w:rPr>
          <w:rFonts w:ascii="Times New Roman" w:eastAsia="等线" w:hAnsi="Times New Roman" w:cs="Times New Roman"/>
          <w:b/>
          <w:bCs/>
          <w:sz w:val="22"/>
          <w:szCs w:val="22"/>
        </w:rPr>
        <w:t>Active Time:</w:t>
      </w:r>
      <w:r w:rsidRPr="00D832EB">
        <w:rPr>
          <w:rFonts w:ascii="Times New Roman" w:eastAsia="等线" w:hAnsi="Times New Roman" w:cs="Times New Roman"/>
          <w:sz w:val="22"/>
          <w:szCs w:val="22"/>
        </w:rPr>
        <w:t xml:space="preserve"> </w:t>
      </w:r>
      <w:r w:rsidR="00895E9D" w:rsidRPr="00D832EB">
        <w:rPr>
          <w:rFonts w:ascii="Times New Roman" w:hAnsi="Times New Roman" w:cs="Times New Roman"/>
          <w:sz w:val="22"/>
          <w:szCs w:val="22"/>
        </w:rPr>
        <w:t>Cumulative duration (s) of movement exceeding 5 cm/s, reflecting general locomotor activity</w:t>
      </w:r>
      <w:r w:rsidRPr="00D832EB">
        <w:rPr>
          <w:rFonts w:ascii="Times New Roman" w:eastAsia="等线" w:hAnsi="Times New Roman" w:cs="Times New Roman"/>
          <w:sz w:val="22"/>
          <w:szCs w:val="22"/>
        </w:rPr>
        <w:t>.</w:t>
      </w:r>
    </w:p>
    <w:p w14:paraId="29536E99" w14:textId="77777777" w:rsidR="00CA1AF8" w:rsidRPr="00D832EB" w:rsidRDefault="000F7088">
      <w:pPr>
        <w:widowControl w:val="0"/>
        <w:numPr>
          <w:ilvl w:val="0"/>
          <w:numId w:val="2"/>
        </w:numPr>
        <w:spacing w:before="100" w:beforeAutospacing="1" w:after="160" w:line="480" w:lineRule="auto"/>
        <w:rPr>
          <w:rFonts w:ascii="Times New Roman" w:eastAsia="等线" w:hAnsi="Times New Roman" w:cs="Times New Roman"/>
          <w:sz w:val="22"/>
          <w:szCs w:val="22"/>
        </w:rPr>
      </w:pPr>
      <w:r w:rsidRPr="00D832EB">
        <w:rPr>
          <w:rFonts w:ascii="Times New Roman" w:eastAsia="等线" w:hAnsi="Times New Roman" w:cs="Times New Roman"/>
          <w:b/>
          <w:bCs/>
          <w:sz w:val="22"/>
          <w:szCs w:val="22"/>
        </w:rPr>
        <w:t>Hyperactivity Time:</w:t>
      </w:r>
      <w:r w:rsidRPr="00D832EB">
        <w:rPr>
          <w:rFonts w:ascii="Times New Roman" w:eastAsia="等线" w:hAnsi="Times New Roman" w:cs="Times New Roman"/>
          <w:sz w:val="22"/>
          <w:szCs w:val="22"/>
        </w:rPr>
        <w:t xml:space="preserve"> </w:t>
      </w:r>
      <w:r w:rsidR="00895E9D" w:rsidRPr="00D832EB">
        <w:rPr>
          <w:rFonts w:ascii="Times New Roman" w:hAnsi="Times New Roman" w:cs="Times New Roman"/>
          <w:sz w:val="22"/>
          <w:szCs w:val="22"/>
        </w:rPr>
        <w:t>Cumulative duration (s) of movement exceeding 15 cm/s, indicating hyperactivity</w:t>
      </w:r>
      <w:r w:rsidRPr="00D832EB">
        <w:rPr>
          <w:rFonts w:ascii="Times New Roman" w:eastAsia="等线" w:hAnsi="Times New Roman" w:cs="Times New Roman"/>
          <w:sz w:val="22"/>
          <w:szCs w:val="22"/>
        </w:rPr>
        <w:t>.</w:t>
      </w:r>
    </w:p>
    <w:p w14:paraId="00C6A6B9" w14:textId="77777777" w:rsidR="00CA1AF8" w:rsidRPr="00D832EB" w:rsidRDefault="000F7088">
      <w:pPr>
        <w:widowControl w:val="0"/>
        <w:numPr>
          <w:ilvl w:val="0"/>
          <w:numId w:val="2"/>
        </w:numPr>
        <w:spacing w:before="100" w:beforeAutospacing="1" w:after="160" w:line="480" w:lineRule="auto"/>
        <w:rPr>
          <w:rFonts w:ascii="Times New Roman" w:eastAsia="等线" w:hAnsi="Times New Roman" w:cs="Times New Roman"/>
          <w:sz w:val="22"/>
          <w:szCs w:val="22"/>
        </w:rPr>
      </w:pPr>
      <w:r w:rsidRPr="00D832EB">
        <w:rPr>
          <w:rFonts w:ascii="Times New Roman" w:eastAsia="等线" w:hAnsi="Times New Roman" w:cs="Times New Roman"/>
          <w:b/>
          <w:bCs/>
          <w:sz w:val="22"/>
          <w:szCs w:val="22"/>
        </w:rPr>
        <w:t>Total Distance Traveled:</w:t>
      </w:r>
      <w:r w:rsidRPr="00D832EB">
        <w:rPr>
          <w:rFonts w:ascii="Times New Roman" w:eastAsia="等线" w:hAnsi="Times New Roman" w:cs="Times New Roman"/>
          <w:sz w:val="22"/>
          <w:szCs w:val="22"/>
        </w:rPr>
        <w:t xml:space="preserve"> </w:t>
      </w:r>
      <w:r w:rsidR="00895E9D" w:rsidRPr="00D832EB">
        <w:rPr>
          <w:rFonts w:ascii="Times New Roman" w:hAnsi="Times New Roman" w:cs="Times New Roman"/>
          <w:sz w:val="22"/>
          <w:szCs w:val="22"/>
        </w:rPr>
        <w:t>Total ambulatory distance (cm) during the session</w:t>
      </w:r>
      <w:r w:rsidRPr="00D832EB">
        <w:rPr>
          <w:rFonts w:ascii="Times New Roman" w:eastAsia="等线" w:hAnsi="Times New Roman" w:cs="Times New Roman"/>
          <w:sz w:val="22"/>
          <w:szCs w:val="22"/>
        </w:rPr>
        <w:t>.</w:t>
      </w:r>
    </w:p>
    <w:p w14:paraId="5FF6B117" w14:textId="77777777" w:rsidR="00CA1AF8" w:rsidRPr="00D832EB" w:rsidRDefault="000F7088">
      <w:pPr>
        <w:widowControl w:val="0"/>
        <w:numPr>
          <w:ilvl w:val="0"/>
          <w:numId w:val="2"/>
        </w:numPr>
        <w:spacing w:before="100" w:beforeAutospacing="1" w:after="160" w:line="480" w:lineRule="auto"/>
        <w:rPr>
          <w:rFonts w:ascii="Times New Roman" w:eastAsia="等线" w:hAnsi="Times New Roman" w:cs="Times New Roman"/>
          <w:sz w:val="22"/>
          <w:szCs w:val="22"/>
        </w:rPr>
      </w:pPr>
      <w:r w:rsidRPr="00D832EB">
        <w:rPr>
          <w:rFonts w:ascii="Times New Roman" w:eastAsia="等线" w:hAnsi="Times New Roman" w:cs="Times New Roman"/>
          <w:b/>
          <w:bCs/>
          <w:sz w:val="22"/>
          <w:szCs w:val="22"/>
        </w:rPr>
        <w:t>Thigmotaxis (Wall-approaching tendency):</w:t>
      </w:r>
      <w:r w:rsidRPr="00D832EB">
        <w:rPr>
          <w:rFonts w:ascii="Times New Roman" w:eastAsia="等线" w:hAnsi="Times New Roman" w:cs="Times New Roman"/>
          <w:sz w:val="22"/>
          <w:szCs w:val="22"/>
        </w:rPr>
        <w:t xml:space="preserve"> </w:t>
      </w:r>
      <w:r w:rsidR="00895E9D" w:rsidRPr="00D832EB">
        <w:rPr>
          <w:rFonts w:ascii="Times New Roman" w:hAnsi="Times New Roman" w:cs="Times New Roman"/>
          <w:sz w:val="22"/>
          <w:szCs w:val="22"/>
        </w:rPr>
        <w:t>Ratio of time spent in the peripheral zone (within 5 cm of walls) relative to the central zone (20 cm × 20 cm). Greater peripheral preference indicates stronger anxiety-like behavior</w:t>
      </w:r>
      <w:r w:rsidRPr="00D832EB">
        <w:rPr>
          <w:rFonts w:ascii="Times New Roman" w:eastAsia="等线" w:hAnsi="Times New Roman" w:cs="Times New Roman"/>
          <w:sz w:val="22"/>
          <w:szCs w:val="22"/>
        </w:rPr>
        <w:t>.</w:t>
      </w:r>
    </w:p>
    <w:p w14:paraId="15F4ADCE" w14:textId="77777777" w:rsidR="00CA1AF8" w:rsidRPr="00D832EB" w:rsidRDefault="000F7088">
      <w:pPr>
        <w:widowControl w:val="0"/>
        <w:numPr>
          <w:ilvl w:val="0"/>
          <w:numId w:val="2"/>
        </w:numPr>
        <w:spacing w:before="100" w:beforeAutospacing="1" w:after="160" w:line="480" w:lineRule="auto"/>
        <w:rPr>
          <w:rFonts w:ascii="Times New Roman" w:eastAsia="等线" w:hAnsi="Times New Roman" w:cs="Times New Roman"/>
          <w:sz w:val="22"/>
          <w:szCs w:val="22"/>
        </w:rPr>
      </w:pPr>
      <w:r w:rsidRPr="00D832EB">
        <w:rPr>
          <w:rFonts w:ascii="Times New Roman" w:eastAsia="等线" w:hAnsi="Times New Roman" w:cs="Times New Roman"/>
          <w:b/>
          <w:bCs/>
          <w:sz w:val="22"/>
          <w:szCs w:val="22"/>
        </w:rPr>
        <w:t>Rearing Behavior:</w:t>
      </w:r>
      <w:r w:rsidRPr="00D832EB">
        <w:rPr>
          <w:rFonts w:ascii="Times New Roman" w:eastAsia="等线" w:hAnsi="Times New Roman" w:cs="Times New Roman"/>
          <w:sz w:val="22"/>
          <w:szCs w:val="22"/>
        </w:rPr>
        <w:t xml:space="preserve"> </w:t>
      </w:r>
      <w:r w:rsidR="00895E9D" w:rsidRPr="00D832EB">
        <w:rPr>
          <w:rFonts w:ascii="Times New Roman" w:hAnsi="Times New Roman" w:cs="Times New Roman"/>
          <w:sz w:val="22"/>
          <w:szCs w:val="22"/>
        </w:rPr>
        <w:t>Total number of rearings and mean duration per rear (s). Rearing is an exploratory behavior typically reduced under anxious conditions</w:t>
      </w:r>
      <w:r w:rsidRPr="00D832EB">
        <w:rPr>
          <w:rFonts w:ascii="Times New Roman" w:eastAsia="等线" w:hAnsi="Times New Roman" w:cs="Times New Roman"/>
          <w:sz w:val="22"/>
          <w:szCs w:val="22"/>
        </w:rPr>
        <w:t>.</w:t>
      </w:r>
    </w:p>
    <w:p w14:paraId="66BC6CBC" w14:textId="77777777" w:rsidR="00CA1AF8" w:rsidRPr="00D832EB" w:rsidRDefault="000F7088">
      <w:pPr>
        <w:widowControl w:val="0"/>
        <w:spacing w:before="100" w:beforeAutospacing="1" w:after="160" w:line="480" w:lineRule="auto"/>
        <w:ind w:firstLine="0"/>
        <w:jc w:val="left"/>
        <w:rPr>
          <w:rFonts w:ascii="Times New Roman" w:eastAsia="等线" w:hAnsi="Times New Roman" w:cs="Times New Roman"/>
          <w:sz w:val="22"/>
          <w:szCs w:val="22"/>
        </w:rPr>
      </w:pPr>
      <w:r w:rsidRPr="00D832EB">
        <w:rPr>
          <w:rFonts w:ascii="Times New Roman" w:eastAsia="等线" w:hAnsi="Times New Roman" w:cs="Times New Roman"/>
          <w:b/>
          <w:bCs/>
          <w:sz w:val="22"/>
          <w:szCs w:val="22"/>
        </w:rPr>
        <w:t>(III) Elevated Plus Maze Test (EPM)</w:t>
      </w:r>
    </w:p>
    <w:p w14:paraId="65A44B46" w14:textId="62F828E7" w:rsidR="00CA1AF8" w:rsidRPr="00D832EB" w:rsidRDefault="000F7088">
      <w:pPr>
        <w:widowControl w:val="0"/>
        <w:spacing w:before="100" w:beforeAutospacing="1" w:after="160" w:line="480" w:lineRule="auto"/>
        <w:rPr>
          <w:rFonts w:ascii="Times New Roman" w:eastAsia="等线" w:hAnsi="Times New Roman" w:cs="Times New Roman"/>
          <w:sz w:val="22"/>
          <w:szCs w:val="22"/>
        </w:rPr>
      </w:pPr>
      <w:r w:rsidRPr="00D832EB">
        <w:rPr>
          <w:rFonts w:ascii="Times New Roman" w:eastAsia="等线" w:hAnsi="Times New Roman" w:cs="Times New Roman"/>
          <w:b/>
          <w:bCs/>
          <w:sz w:val="22"/>
          <w:szCs w:val="22"/>
        </w:rPr>
        <w:t>Apparatus:</w:t>
      </w:r>
      <w:r w:rsidRPr="00D832EB">
        <w:rPr>
          <w:rFonts w:ascii="Times New Roman" w:eastAsia="等线" w:hAnsi="Times New Roman" w:cs="Times New Roman"/>
          <w:sz w:val="22"/>
          <w:szCs w:val="22"/>
        </w:rPr>
        <w:t xml:space="preserve"> </w:t>
      </w:r>
      <w:r w:rsidR="00895E9D" w:rsidRPr="00D832EB">
        <w:rPr>
          <w:rFonts w:ascii="Times New Roman" w:hAnsi="Times New Roman" w:cs="Times New Roman"/>
          <w:sz w:val="22"/>
          <w:szCs w:val="22"/>
        </w:rPr>
        <w:t>The maze consisted of a central platform (5 cm × 5 cm), two open arms (25 cm × 5 cm, without walls), and two enclosed arms (25 cm × 5 cm × 16 cm, black acrylic walls), elevated 50 cm above the floor. Testing was performed under red light to minimize stress</w:t>
      </w:r>
      <w:r w:rsidRPr="00D832EB">
        <w:rPr>
          <w:rFonts w:ascii="Times New Roman" w:eastAsia="等线" w:hAnsi="Times New Roman" w:cs="Times New Roman"/>
          <w:sz w:val="22"/>
          <w:szCs w:val="22"/>
        </w:rPr>
        <w:t xml:space="preserve"> </w:t>
      </w:r>
      <w:r w:rsidR="000724A5">
        <w:rPr>
          <w:rFonts w:ascii="Times New Roman" w:eastAsia="等线" w:hAnsi="Times New Roman" w:cs="Times New Roman"/>
          <w:sz w:val="22"/>
          <w:szCs w:val="22"/>
        </w:rPr>
        <w:fldChar w:fldCharType="begin">
          <w:fldData xml:space="preserve">PEVuZE5vdGU+PENpdGU+PEF1dGhvcj5TaGFyZ2hpPC9BdXRob3I+PFllYXI+MjAyMzwvWWVhcj48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</w:fldData>
        </w:fldChar>
      </w:r>
      <w:r w:rsidR="000724A5">
        <w:rPr>
          <w:rFonts w:ascii="Times New Roman" w:eastAsia="等线" w:hAnsi="Times New Roman" w:cs="Times New Roman"/>
          <w:sz w:val="22"/>
          <w:szCs w:val="22"/>
        </w:rPr>
        <w:instrText xml:space="preserve"> ADDIN EN.CITE </w:instrText>
      </w:r>
      <w:r w:rsidR="000724A5">
        <w:rPr>
          <w:rFonts w:ascii="Times New Roman" w:eastAsia="等线" w:hAnsi="Times New Roman" w:cs="Times New Roman"/>
          <w:sz w:val="22"/>
          <w:szCs w:val="22"/>
        </w:rPr>
        <w:fldChar w:fldCharType="begin">
          <w:fldData xml:space="preserve">PEVuZE5vdGU+PENpdGU+PEF1dGhvcj5TaGFyZ2hpPC9BdXRob3I+PFllYXI+MjAyMzwvWWVhcj48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</w:fldData>
        </w:fldChar>
      </w:r>
      <w:r w:rsidR="000724A5">
        <w:rPr>
          <w:rFonts w:ascii="Times New Roman" w:eastAsia="等线" w:hAnsi="Times New Roman" w:cs="Times New Roman"/>
          <w:sz w:val="22"/>
          <w:szCs w:val="22"/>
        </w:rPr>
        <w:instrText xml:space="preserve"> ADDIN EN.CITE.DATA </w:instrText>
      </w:r>
      <w:r w:rsidR="000724A5">
        <w:rPr>
          <w:rFonts w:ascii="Times New Roman" w:eastAsia="等线" w:hAnsi="Times New Roman" w:cs="Times New Roman"/>
          <w:sz w:val="22"/>
          <w:szCs w:val="22"/>
        </w:rPr>
      </w:r>
      <w:r w:rsidR="000724A5">
        <w:rPr>
          <w:rFonts w:ascii="Times New Roman" w:eastAsia="等线" w:hAnsi="Times New Roman" w:cs="Times New Roman"/>
          <w:sz w:val="22"/>
          <w:szCs w:val="22"/>
        </w:rPr>
        <w:fldChar w:fldCharType="end"/>
      </w:r>
      <w:r w:rsidR="000724A5">
        <w:rPr>
          <w:rFonts w:ascii="Times New Roman" w:eastAsia="等线" w:hAnsi="Times New Roman" w:cs="Times New Roman"/>
          <w:sz w:val="22"/>
          <w:szCs w:val="22"/>
        </w:rPr>
      </w:r>
      <w:r w:rsidR="000724A5">
        <w:rPr>
          <w:rFonts w:ascii="Times New Roman" w:eastAsia="等线" w:hAnsi="Times New Roman" w:cs="Times New Roman"/>
          <w:sz w:val="22"/>
          <w:szCs w:val="22"/>
        </w:rPr>
        <w:fldChar w:fldCharType="separate"/>
      </w:r>
      <w:r w:rsidR="000724A5">
        <w:rPr>
          <w:rFonts w:ascii="Times New Roman" w:eastAsia="等线" w:hAnsi="Times New Roman" w:cs="Times New Roman"/>
          <w:noProof/>
          <w:sz w:val="22"/>
          <w:szCs w:val="22"/>
        </w:rPr>
        <w:t>[2]</w:t>
      </w:r>
      <w:r w:rsidR="000724A5">
        <w:rPr>
          <w:rFonts w:ascii="Times New Roman" w:eastAsia="等线" w:hAnsi="Times New Roman" w:cs="Times New Roman"/>
          <w:sz w:val="22"/>
          <w:szCs w:val="22"/>
        </w:rPr>
        <w:fldChar w:fldCharType="end"/>
      </w:r>
      <w:r w:rsidRPr="00D832EB">
        <w:rPr>
          <w:rFonts w:ascii="Times New Roman" w:eastAsia="等线" w:hAnsi="Times New Roman" w:cs="Times New Roman"/>
          <w:sz w:val="22"/>
          <w:szCs w:val="22"/>
        </w:rPr>
        <w:t>.</w:t>
      </w:r>
    </w:p>
    <w:p w14:paraId="6AE8BA9B" w14:textId="77777777" w:rsidR="00CA1AF8" w:rsidRPr="00D832EB" w:rsidRDefault="000F7088">
      <w:pPr>
        <w:widowControl w:val="0"/>
        <w:spacing w:before="100" w:beforeAutospacing="1" w:after="160" w:line="480" w:lineRule="auto"/>
        <w:rPr>
          <w:rFonts w:ascii="Times New Roman" w:eastAsia="等线" w:hAnsi="Times New Roman" w:cs="Times New Roman"/>
          <w:sz w:val="22"/>
          <w:szCs w:val="22"/>
        </w:rPr>
      </w:pPr>
      <w:r w:rsidRPr="00D832EB">
        <w:rPr>
          <w:rFonts w:ascii="Times New Roman" w:eastAsia="等线" w:hAnsi="Times New Roman" w:cs="Times New Roman"/>
          <w:b/>
          <w:bCs/>
          <w:sz w:val="22"/>
          <w:szCs w:val="22"/>
        </w:rPr>
        <w:t>Procedure:</w:t>
      </w:r>
      <w:r w:rsidRPr="00D832EB">
        <w:rPr>
          <w:rFonts w:ascii="Times New Roman" w:eastAsia="等线" w:hAnsi="Times New Roman" w:cs="Times New Roman"/>
          <w:sz w:val="22"/>
          <w:szCs w:val="22"/>
        </w:rPr>
        <w:t xml:space="preserve"> </w:t>
      </w:r>
      <w:r w:rsidR="00895E9D" w:rsidRPr="00D832EB">
        <w:rPr>
          <w:rFonts w:ascii="Times New Roman" w:hAnsi="Times New Roman" w:cs="Times New Roman"/>
          <w:sz w:val="22"/>
          <w:szCs w:val="22"/>
        </w:rPr>
        <w:t xml:space="preserve">The maze was placed in a quiet room 30 minutes before testing. Mice were positioned in the central area facing an open arm, and behavior was recorded for 5 minutes </w:t>
      </w:r>
      <w:r w:rsidR="00895E9D" w:rsidRPr="00D832EB">
        <w:rPr>
          <w:rFonts w:ascii="Times New Roman" w:hAnsi="Times New Roman" w:cs="Times New Roman"/>
          <w:sz w:val="22"/>
          <w:szCs w:val="22"/>
        </w:rPr>
        <w:lastRenderedPageBreak/>
        <w:t>using Noldus EthoVision XT8.5 video-tracking software (Wageningen, Netherlands). The maze was cleaned with 70% ethanol between trials, as in the OFT</w:t>
      </w:r>
      <w:r w:rsidRPr="00D832EB">
        <w:rPr>
          <w:rFonts w:ascii="Times New Roman" w:eastAsia="等线" w:hAnsi="Times New Roman" w:cs="Times New Roman"/>
          <w:sz w:val="22"/>
          <w:szCs w:val="22"/>
        </w:rPr>
        <w:t>.</w:t>
      </w:r>
    </w:p>
    <w:p w14:paraId="7D4BC803" w14:textId="77777777" w:rsidR="00CA1AF8" w:rsidRPr="00D832EB" w:rsidRDefault="000F7088">
      <w:pPr>
        <w:widowControl w:val="0"/>
        <w:spacing w:before="100" w:beforeAutospacing="1" w:after="160" w:line="480" w:lineRule="auto"/>
        <w:ind w:firstLine="360"/>
        <w:jc w:val="left"/>
        <w:rPr>
          <w:rFonts w:ascii="Times New Roman" w:eastAsia="等线" w:hAnsi="Times New Roman" w:cs="Times New Roman"/>
          <w:sz w:val="22"/>
          <w:szCs w:val="22"/>
        </w:rPr>
      </w:pPr>
      <w:r w:rsidRPr="00D832EB">
        <w:rPr>
          <w:rFonts w:ascii="Times New Roman" w:eastAsia="等线" w:hAnsi="Times New Roman" w:cs="Times New Roman"/>
          <w:b/>
          <w:bCs/>
          <w:sz w:val="22"/>
          <w:szCs w:val="22"/>
        </w:rPr>
        <w:t>Measured Parameters:</w:t>
      </w:r>
    </w:p>
    <w:p w14:paraId="5F451718" w14:textId="77777777" w:rsidR="00CA1AF8" w:rsidRPr="00D832EB" w:rsidRDefault="000F7088">
      <w:pPr>
        <w:widowControl w:val="0"/>
        <w:numPr>
          <w:ilvl w:val="0"/>
          <w:numId w:val="3"/>
        </w:numPr>
        <w:spacing w:before="100" w:beforeAutospacing="1" w:after="160" w:line="480" w:lineRule="auto"/>
        <w:rPr>
          <w:rFonts w:ascii="Times New Roman" w:eastAsia="等线" w:hAnsi="Times New Roman" w:cs="Times New Roman"/>
          <w:sz w:val="22"/>
          <w:szCs w:val="22"/>
        </w:rPr>
      </w:pPr>
      <w:r w:rsidRPr="00D832EB">
        <w:rPr>
          <w:rFonts w:ascii="Times New Roman" w:eastAsia="等线" w:hAnsi="Times New Roman" w:cs="Times New Roman"/>
          <w:b/>
          <w:bCs/>
          <w:sz w:val="22"/>
          <w:szCs w:val="22"/>
        </w:rPr>
        <w:t>Time in Zones:</w:t>
      </w:r>
      <w:r w:rsidRPr="00D832EB">
        <w:rPr>
          <w:rFonts w:ascii="Times New Roman" w:eastAsia="等线" w:hAnsi="Times New Roman" w:cs="Times New Roman"/>
          <w:sz w:val="22"/>
          <w:szCs w:val="22"/>
        </w:rPr>
        <w:t xml:space="preserve"> </w:t>
      </w:r>
      <w:r w:rsidR="00895E9D" w:rsidRPr="00D832EB">
        <w:rPr>
          <w:rFonts w:ascii="Times New Roman" w:hAnsi="Times New Roman" w:cs="Times New Roman"/>
          <w:sz w:val="22"/>
          <w:szCs w:val="22"/>
        </w:rPr>
        <w:t>Cumulative duration (s) spent in the open arms, closed arms, and central area</w:t>
      </w:r>
      <w:r w:rsidRPr="00D832EB">
        <w:rPr>
          <w:rFonts w:ascii="Times New Roman" w:eastAsia="等线" w:hAnsi="Times New Roman" w:cs="Times New Roman"/>
          <w:sz w:val="22"/>
          <w:szCs w:val="22"/>
        </w:rPr>
        <w:t>.</w:t>
      </w:r>
    </w:p>
    <w:p w14:paraId="7893E53B" w14:textId="77777777" w:rsidR="00CA1AF8" w:rsidRPr="00D832EB" w:rsidRDefault="000F7088">
      <w:pPr>
        <w:widowControl w:val="0"/>
        <w:numPr>
          <w:ilvl w:val="0"/>
          <w:numId w:val="3"/>
        </w:numPr>
        <w:spacing w:before="100" w:beforeAutospacing="1" w:after="160" w:line="480" w:lineRule="auto"/>
        <w:rPr>
          <w:rFonts w:ascii="Times New Roman" w:eastAsia="等线" w:hAnsi="Times New Roman" w:cs="Times New Roman"/>
          <w:sz w:val="22"/>
          <w:szCs w:val="22"/>
        </w:rPr>
      </w:pPr>
      <w:r w:rsidRPr="00D832EB">
        <w:rPr>
          <w:rFonts w:ascii="Times New Roman" w:eastAsia="等线" w:hAnsi="Times New Roman" w:cs="Times New Roman"/>
          <w:b/>
          <w:bCs/>
          <w:sz w:val="22"/>
          <w:szCs w:val="22"/>
        </w:rPr>
        <w:t>Entry Frequency:</w:t>
      </w:r>
      <w:r w:rsidRPr="00D832EB">
        <w:rPr>
          <w:rFonts w:ascii="Times New Roman" w:eastAsia="等线" w:hAnsi="Times New Roman" w:cs="Times New Roman"/>
          <w:sz w:val="22"/>
          <w:szCs w:val="22"/>
        </w:rPr>
        <w:t xml:space="preserve"> </w:t>
      </w:r>
      <w:r w:rsidR="00895E9D" w:rsidRPr="00D832EB">
        <w:rPr>
          <w:rFonts w:ascii="Times New Roman" w:hAnsi="Times New Roman" w:cs="Times New Roman"/>
          <w:sz w:val="22"/>
          <w:szCs w:val="22"/>
        </w:rPr>
        <w:t>Number of entries into each zone, with entry defined as &gt;50% of the body entering the arm or area</w:t>
      </w:r>
      <w:r w:rsidRPr="00D832EB">
        <w:rPr>
          <w:rFonts w:ascii="Times New Roman" w:eastAsia="等线" w:hAnsi="Times New Roman" w:cs="Times New Roman"/>
          <w:sz w:val="22"/>
          <w:szCs w:val="22"/>
        </w:rPr>
        <w:t>.</w:t>
      </w:r>
    </w:p>
    <w:p w14:paraId="5CCE0FC1" w14:textId="77777777" w:rsidR="00CA1AF8" w:rsidRPr="00D832EB" w:rsidRDefault="000F7088">
      <w:pPr>
        <w:widowControl w:val="0"/>
        <w:spacing w:before="100" w:beforeAutospacing="1" w:after="160" w:line="480" w:lineRule="auto"/>
        <w:ind w:firstLine="0"/>
        <w:jc w:val="left"/>
        <w:rPr>
          <w:rFonts w:ascii="Times New Roman" w:eastAsia="等线" w:hAnsi="Times New Roman" w:cs="Times New Roman"/>
          <w:sz w:val="22"/>
          <w:szCs w:val="22"/>
        </w:rPr>
      </w:pPr>
      <w:r w:rsidRPr="00D832EB">
        <w:rPr>
          <w:rFonts w:ascii="Times New Roman" w:eastAsia="等线" w:hAnsi="Times New Roman" w:cs="Times New Roman"/>
          <w:b/>
          <w:bCs/>
          <w:sz w:val="22"/>
          <w:szCs w:val="22"/>
        </w:rPr>
        <w:t>(IV) Anxiety Phenotype Assessment</w:t>
      </w:r>
    </w:p>
    <w:p w14:paraId="683F3AC0" w14:textId="77777777" w:rsidR="00CA1AF8" w:rsidRPr="00D832EB" w:rsidRDefault="00895E9D">
      <w:pPr>
        <w:widowControl w:val="0"/>
        <w:spacing w:before="100" w:beforeAutospacing="1" w:after="160" w:line="480" w:lineRule="auto"/>
        <w:rPr>
          <w:rFonts w:ascii="Times New Roman" w:eastAsia="等线" w:hAnsi="Times New Roman" w:cs="Times New Roman"/>
          <w:sz w:val="22"/>
          <w:szCs w:val="22"/>
        </w:rPr>
      </w:pPr>
      <w:r w:rsidRPr="00D832EB">
        <w:rPr>
          <w:rFonts w:ascii="Times New Roman" w:hAnsi="Times New Roman" w:cs="Times New Roman"/>
          <w:sz w:val="22"/>
          <w:szCs w:val="22"/>
        </w:rPr>
        <w:t>To classify anxiety phenotypes in BTBR mice, a weighted scoring approach combined with standardized analysis was applied using the following criteria</w:t>
      </w:r>
      <w:r w:rsidRPr="00D832EB">
        <w:rPr>
          <w:rFonts w:ascii="Times New Roman" w:eastAsia="等线" w:hAnsi="Times New Roman" w:cs="Times New Roman"/>
          <w:sz w:val="22"/>
          <w:szCs w:val="22"/>
        </w:rPr>
        <w:t>:</w:t>
      </w:r>
    </w:p>
    <w:p w14:paraId="5CBDB735" w14:textId="77777777" w:rsidR="00B72ED6" w:rsidRDefault="000F7088">
      <w:pPr>
        <w:widowControl w:val="0"/>
        <w:spacing w:before="100" w:beforeAutospacing="1" w:after="160" w:line="480" w:lineRule="auto"/>
        <w:ind w:left="360" w:firstLine="0"/>
        <w:rPr>
          <w:rFonts w:ascii="Times New Roman" w:eastAsia="等线" w:hAnsi="Times New Roman" w:cs="Times New Roman"/>
          <w:b/>
          <w:bCs/>
          <w:sz w:val="22"/>
          <w:szCs w:val="22"/>
        </w:rPr>
      </w:pPr>
      <w:r w:rsidRPr="00D832EB">
        <w:rPr>
          <w:rFonts w:ascii="Times New Roman" w:eastAsia="等线" w:hAnsi="Times New Roman" w:cs="Times New Roman"/>
          <w:b/>
          <w:bCs/>
          <w:sz w:val="22"/>
          <w:szCs w:val="22"/>
        </w:rPr>
        <w:t>Phenotype Classification:</w:t>
      </w:r>
    </w:p>
    <w:p w14:paraId="752A55D3" w14:textId="77777777" w:rsidR="00CA1AF8" w:rsidRPr="00D832EB" w:rsidRDefault="000F7088">
      <w:pPr>
        <w:widowControl w:val="0"/>
        <w:spacing w:before="100" w:beforeAutospacing="1" w:after="160" w:line="480" w:lineRule="auto"/>
        <w:ind w:left="360" w:firstLine="0"/>
        <w:rPr>
          <w:rFonts w:ascii="Times New Roman" w:eastAsia="等线" w:hAnsi="Times New Roman" w:cs="Times New Roman"/>
          <w:sz w:val="22"/>
          <w:szCs w:val="22"/>
        </w:rPr>
      </w:pPr>
      <w:r w:rsidRPr="00D832EB">
        <w:rPr>
          <w:rFonts w:ascii="Times New Roman" w:eastAsia="等线" w:hAnsi="Times New Roman" w:cs="Times New Roman"/>
          <w:sz w:val="22"/>
          <w:szCs w:val="22"/>
        </w:rPr>
        <w:t xml:space="preserve">BTBR mice meeting </w:t>
      </w:r>
      <w:r w:rsidRPr="00D832EB">
        <w:rPr>
          <w:rFonts w:ascii="Times New Roman" w:eastAsia="等线" w:hAnsi="Times New Roman" w:cs="Times New Roman"/>
          <w:b/>
          <w:bCs/>
          <w:sz w:val="22"/>
          <w:szCs w:val="22"/>
        </w:rPr>
        <w:t>both</w:t>
      </w:r>
      <w:r w:rsidRPr="00D832EB">
        <w:rPr>
          <w:rFonts w:ascii="Times New Roman" w:eastAsia="等线" w:hAnsi="Times New Roman" w:cs="Times New Roman"/>
          <w:sz w:val="22"/>
          <w:szCs w:val="22"/>
        </w:rPr>
        <w:t xml:space="preserve"> criteria below were classified as </w:t>
      </w:r>
      <w:r w:rsidRPr="00D832EB">
        <w:rPr>
          <w:rFonts w:ascii="Times New Roman" w:eastAsia="等线" w:hAnsi="Times New Roman" w:cs="Times New Roman"/>
          <w:b/>
          <w:bCs/>
          <w:sz w:val="22"/>
          <w:szCs w:val="22"/>
        </w:rPr>
        <w:t>"anxiety-positive" (BTBR-ANX)</w:t>
      </w:r>
      <w:r w:rsidRPr="00D832EB">
        <w:rPr>
          <w:rFonts w:ascii="Times New Roman" w:eastAsia="等线" w:hAnsi="Times New Roman" w:cs="Times New Roman"/>
          <w:sz w:val="22"/>
          <w:szCs w:val="22"/>
        </w:rPr>
        <w:t xml:space="preserve">; those failing both or meeting only one criterion were classified as </w:t>
      </w:r>
      <w:r w:rsidRPr="00D832EB">
        <w:rPr>
          <w:rFonts w:ascii="Times New Roman" w:eastAsia="等线" w:hAnsi="Times New Roman" w:cs="Times New Roman"/>
          <w:b/>
          <w:bCs/>
          <w:sz w:val="22"/>
          <w:szCs w:val="22"/>
        </w:rPr>
        <w:t>"anxiety-negative" (BTBR-nANX)</w:t>
      </w:r>
      <w:r w:rsidRPr="00D832EB">
        <w:rPr>
          <w:rFonts w:ascii="Times New Roman" w:eastAsia="等线" w:hAnsi="Times New Roman" w:cs="Times New Roman"/>
          <w:sz w:val="22"/>
          <w:szCs w:val="22"/>
        </w:rPr>
        <w:t>:</w:t>
      </w:r>
    </w:p>
    <w:p w14:paraId="742B7D3B" w14:textId="77777777" w:rsidR="00CA1AF8" w:rsidRPr="00D832EB" w:rsidRDefault="000F7088">
      <w:pPr>
        <w:widowControl w:val="0"/>
        <w:numPr>
          <w:ilvl w:val="0"/>
          <w:numId w:val="4"/>
        </w:numPr>
        <w:spacing w:before="100" w:beforeAutospacing="1" w:after="160" w:line="480" w:lineRule="auto"/>
        <w:jc w:val="left"/>
        <w:rPr>
          <w:rFonts w:ascii="Times New Roman" w:eastAsia="等线" w:hAnsi="Times New Roman" w:cs="Times New Roman"/>
          <w:sz w:val="22"/>
          <w:szCs w:val="22"/>
        </w:rPr>
      </w:pPr>
      <w:r w:rsidRPr="00D832EB">
        <w:rPr>
          <w:rFonts w:ascii="Times New Roman" w:eastAsia="等线" w:hAnsi="Times New Roman" w:cs="Times New Roman"/>
          <w:sz w:val="22"/>
          <w:szCs w:val="22"/>
        </w:rPr>
        <w:t>OFT: Percentage of time in the central area &lt; 15%.</w:t>
      </w:r>
    </w:p>
    <w:p w14:paraId="43702AC2" w14:textId="77777777" w:rsidR="00CA1AF8" w:rsidRPr="00D832EB" w:rsidRDefault="000F7088">
      <w:pPr>
        <w:widowControl w:val="0"/>
        <w:numPr>
          <w:ilvl w:val="0"/>
          <w:numId w:val="4"/>
        </w:numPr>
        <w:spacing w:before="100" w:beforeAutospacing="1" w:after="160" w:line="480" w:lineRule="auto"/>
        <w:jc w:val="left"/>
        <w:rPr>
          <w:rFonts w:ascii="Times New Roman" w:eastAsia="等线" w:hAnsi="Times New Roman" w:cs="Times New Roman"/>
          <w:sz w:val="22"/>
          <w:szCs w:val="22"/>
        </w:rPr>
      </w:pPr>
      <w:r w:rsidRPr="00D832EB">
        <w:rPr>
          <w:rFonts w:ascii="Times New Roman" w:eastAsia="等线" w:hAnsi="Times New Roman" w:cs="Times New Roman"/>
          <w:sz w:val="22"/>
          <w:szCs w:val="22"/>
        </w:rPr>
        <w:t>EPM: Percentage of time in open arms &lt; 20%.</w:t>
      </w:r>
    </w:p>
    <w:p w14:paraId="412524BA" w14:textId="77777777" w:rsidR="00CA1AF8" w:rsidRPr="00D832EB" w:rsidRDefault="000F7088">
      <w:pPr>
        <w:widowControl w:val="0"/>
        <w:spacing w:before="100" w:beforeAutospacing="1" w:after="160" w:line="480" w:lineRule="auto"/>
        <w:ind w:left="360" w:firstLine="0"/>
        <w:rPr>
          <w:rFonts w:ascii="Times New Roman" w:eastAsia="等线" w:hAnsi="Times New Roman" w:cs="Times New Roman"/>
          <w:sz w:val="22"/>
          <w:szCs w:val="22"/>
        </w:rPr>
      </w:pPr>
      <w:r w:rsidRPr="00D832EB">
        <w:rPr>
          <w:rFonts w:ascii="Times New Roman" w:eastAsia="等线" w:hAnsi="Times New Roman" w:cs="Times New Roman"/>
          <w:b/>
          <w:bCs/>
          <w:sz w:val="22"/>
          <w:szCs w:val="22"/>
        </w:rPr>
        <w:t>Anxiety Severity Quantification:</w:t>
      </w:r>
      <w:r w:rsidRPr="00D832EB">
        <w:rPr>
          <w:rFonts w:ascii="Times New Roman" w:eastAsia="等线" w:hAnsi="Times New Roman" w:cs="Times New Roman"/>
          <w:sz w:val="22"/>
          <w:szCs w:val="22"/>
        </w:rPr>
        <w:br/>
      </w:r>
      <w:r w:rsidR="00895E9D" w:rsidRPr="00D832EB">
        <w:rPr>
          <w:rFonts w:ascii="Times New Roman" w:hAnsi="Times New Roman" w:cs="Times New Roman"/>
          <w:sz w:val="22"/>
          <w:szCs w:val="22"/>
        </w:rPr>
        <w:t xml:space="preserve">The two core indicators, proportion of time in the central zone (OFT) and proportion of </w:t>
      </w:r>
      <w:r w:rsidR="00895E9D" w:rsidRPr="00D832EB">
        <w:rPr>
          <w:rFonts w:ascii="Times New Roman" w:hAnsi="Times New Roman" w:cs="Times New Roman"/>
          <w:sz w:val="22"/>
          <w:szCs w:val="22"/>
        </w:rPr>
        <w:lastRenderedPageBreak/>
        <w:t xml:space="preserve">time in open arms (EPM), were standardized as Z scores to calculate a Composite Anxiety Behavior Score. Higher scores indicated greater anxiety severity. BTBR mice (n = </w:t>
      </w:r>
      <w:r w:rsidR="00CD360D">
        <w:rPr>
          <w:rFonts w:ascii="Times New Roman" w:hAnsi="Times New Roman" w:cs="Times New Roman" w:hint="eastAsia"/>
          <w:sz w:val="22"/>
          <w:szCs w:val="22"/>
        </w:rPr>
        <w:t>9</w:t>
      </w:r>
      <w:r w:rsidR="00895E9D" w:rsidRPr="00D832EB">
        <w:rPr>
          <w:rFonts w:ascii="Times New Roman" w:hAnsi="Times New Roman" w:cs="Times New Roman"/>
          <w:sz w:val="22"/>
          <w:szCs w:val="22"/>
        </w:rPr>
        <w:t xml:space="preserve">) were ultimately divided into BTBR ANX-like mice (n = </w:t>
      </w:r>
      <w:r w:rsidR="00CD360D">
        <w:rPr>
          <w:rFonts w:ascii="Times New Roman" w:hAnsi="Times New Roman" w:cs="Times New Roman" w:hint="eastAsia"/>
          <w:sz w:val="22"/>
          <w:szCs w:val="22"/>
        </w:rPr>
        <w:t>4</w:t>
      </w:r>
      <w:r w:rsidR="00895E9D" w:rsidRPr="00D832EB">
        <w:rPr>
          <w:rFonts w:ascii="Times New Roman" w:hAnsi="Times New Roman" w:cs="Times New Roman"/>
          <w:sz w:val="22"/>
          <w:szCs w:val="22"/>
        </w:rPr>
        <w:t xml:space="preserve">) and BTBR nANX-like mice (n = </w:t>
      </w:r>
      <w:r w:rsidR="00CD360D">
        <w:rPr>
          <w:rFonts w:ascii="Times New Roman" w:hAnsi="Times New Roman" w:cs="Times New Roman" w:hint="eastAsia"/>
          <w:sz w:val="22"/>
          <w:szCs w:val="22"/>
        </w:rPr>
        <w:t>5</w:t>
      </w:r>
      <w:r w:rsidR="00895E9D" w:rsidRPr="00D832EB">
        <w:rPr>
          <w:rFonts w:ascii="Times New Roman" w:hAnsi="Times New Roman" w:cs="Times New Roman"/>
          <w:sz w:val="22"/>
          <w:szCs w:val="22"/>
        </w:rPr>
        <w:t>)</w:t>
      </w:r>
      <w:r w:rsidRPr="00D832EB">
        <w:rPr>
          <w:rFonts w:ascii="Times New Roman" w:eastAsia="等线" w:hAnsi="Times New Roman" w:cs="Times New Roman"/>
          <w:sz w:val="22"/>
          <w:szCs w:val="22"/>
        </w:rPr>
        <w:t xml:space="preserve">. </w:t>
      </w:r>
    </w:p>
    <w:p w14:paraId="48FEBBA7" w14:textId="77777777" w:rsidR="00CA1AF8" w:rsidRPr="00D832EB" w:rsidRDefault="000F7088">
      <w:pPr>
        <w:widowControl w:val="0"/>
        <w:spacing w:before="100" w:beforeAutospacing="1" w:after="160" w:line="480" w:lineRule="auto"/>
        <w:ind w:left="360" w:firstLine="0"/>
        <w:jc w:val="left"/>
        <w:rPr>
          <w:rFonts w:ascii="Times New Roman" w:eastAsia="等线" w:hAnsi="Times New Roman" w:cs="Times New Roman"/>
          <w:sz w:val="22"/>
          <w:szCs w:val="22"/>
        </w:rPr>
      </w:pPr>
      <w:r w:rsidRPr="00D832EB">
        <w:rPr>
          <w:rFonts w:ascii="Times New Roman" w:eastAsia="等线" w:hAnsi="Times New Roman" w:cs="Times New Roman"/>
          <w:b/>
          <w:bCs/>
          <w:sz w:val="22"/>
          <w:szCs w:val="22"/>
        </w:rPr>
        <w:t>(V) Brain Tissue Sampling</w:t>
      </w:r>
    </w:p>
    <w:p w14:paraId="6F71C577" w14:textId="77777777" w:rsidR="00CA1AF8" w:rsidRPr="00D832EB" w:rsidRDefault="000F7088">
      <w:pPr>
        <w:widowControl w:val="0"/>
        <w:spacing w:before="100" w:beforeAutospacing="1" w:after="160" w:line="480" w:lineRule="auto"/>
        <w:rPr>
          <w:rFonts w:ascii="Times New Roman" w:eastAsia="等线" w:hAnsi="Times New Roman" w:cs="Times New Roman"/>
          <w:sz w:val="22"/>
          <w:szCs w:val="22"/>
        </w:rPr>
      </w:pPr>
      <w:r w:rsidRPr="00D832EB">
        <w:rPr>
          <w:rFonts w:ascii="Times New Roman" w:eastAsia="等线" w:hAnsi="Times New Roman" w:cs="Times New Roman"/>
          <w:b/>
          <w:bCs/>
          <w:sz w:val="22"/>
          <w:szCs w:val="22"/>
        </w:rPr>
        <w:t>Euthanasia and Perfusion:</w:t>
      </w:r>
      <w:r w:rsidRPr="00D832EB">
        <w:rPr>
          <w:rFonts w:ascii="Times New Roman" w:eastAsia="等线" w:hAnsi="Times New Roman" w:cs="Times New Roman"/>
          <w:sz w:val="22"/>
          <w:szCs w:val="22"/>
        </w:rPr>
        <w:t xml:space="preserve"> </w:t>
      </w:r>
      <w:r w:rsidR="00895E9D" w:rsidRPr="00D832EB">
        <w:rPr>
          <w:rFonts w:ascii="Times New Roman" w:hAnsi="Times New Roman" w:cs="Times New Roman"/>
          <w:sz w:val="22"/>
          <w:szCs w:val="22"/>
        </w:rPr>
        <w:t xml:space="preserve">After behavioral testing, mice were deeply anesthetized with isoflurane (2–3%). After </w:t>
      </w:r>
      <w:r w:rsidR="00FF1B11">
        <w:rPr>
          <w:rFonts w:ascii="Times New Roman" w:hAnsi="Times New Roman" w:cs="Times New Roman"/>
          <w:sz w:val="22"/>
          <w:szCs w:val="22"/>
        </w:rPr>
        <w:t xml:space="preserve">the </w:t>
      </w:r>
      <w:r w:rsidR="00895E9D" w:rsidRPr="00D832EB">
        <w:rPr>
          <w:rFonts w:ascii="Times New Roman" w:hAnsi="Times New Roman" w:cs="Times New Roman"/>
          <w:sz w:val="22"/>
          <w:szCs w:val="22"/>
        </w:rPr>
        <w:t>disappearance of the corneal reflex and stabilization of respiration, transcardial perfusion was performed with pre-warmed (37 °C) phosphate-buffered saline (PBS) for 5–8 minutes until tissue clearing was achieved</w:t>
      </w:r>
      <w:r w:rsidRPr="00D832EB">
        <w:rPr>
          <w:rFonts w:ascii="Times New Roman" w:eastAsia="等线" w:hAnsi="Times New Roman" w:cs="Times New Roman"/>
          <w:sz w:val="22"/>
          <w:szCs w:val="22"/>
        </w:rPr>
        <w:t>.</w:t>
      </w:r>
    </w:p>
    <w:p w14:paraId="7AB1513A" w14:textId="7C82EE86" w:rsidR="00CA1AF8" w:rsidRPr="00D832EB" w:rsidRDefault="000F7088">
      <w:pPr>
        <w:widowControl w:val="0"/>
        <w:spacing w:before="100" w:beforeAutospacing="1" w:after="160" w:line="480" w:lineRule="auto"/>
        <w:rPr>
          <w:rFonts w:ascii="Times New Roman" w:eastAsia="等线" w:hAnsi="Times New Roman" w:cs="Times New Roman"/>
          <w:sz w:val="22"/>
          <w:szCs w:val="22"/>
        </w:rPr>
      </w:pPr>
      <w:r w:rsidRPr="00D832EB">
        <w:rPr>
          <w:rFonts w:ascii="Times New Roman" w:eastAsia="等线" w:hAnsi="Times New Roman" w:cs="Times New Roman"/>
          <w:b/>
          <w:bCs/>
          <w:sz w:val="22"/>
          <w:szCs w:val="22"/>
        </w:rPr>
        <w:t>Brain Tissue Processing:</w:t>
      </w:r>
      <w:r w:rsidRPr="00D832EB">
        <w:rPr>
          <w:rFonts w:ascii="Times New Roman" w:eastAsia="等线" w:hAnsi="Times New Roman" w:cs="Times New Roman"/>
          <w:sz w:val="22"/>
          <w:szCs w:val="22"/>
        </w:rPr>
        <w:t xml:space="preserve"> </w:t>
      </w:r>
      <w:r w:rsidR="00895E9D" w:rsidRPr="00D832EB">
        <w:rPr>
          <w:rFonts w:ascii="Times New Roman" w:hAnsi="Times New Roman" w:cs="Times New Roman"/>
          <w:sz w:val="22"/>
          <w:szCs w:val="22"/>
        </w:rPr>
        <w:t xml:space="preserve">Brains were removed, post-fixed in 4% PFA at 4°C for 24 hours, and cryoprotected in 30% sucrose (in PBS) at 4°C for 2–3 days, with daily solution changes. Tissues were then embedded in </w:t>
      </w:r>
      <w:r w:rsidR="0095425A" w:rsidRPr="0095425A">
        <w:rPr>
          <w:rFonts w:ascii="Times New Roman" w:hAnsi="Times New Roman" w:cs="Times New Roman"/>
          <w:sz w:val="22"/>
          <w:szCs w:val="22"/>
        </w:rPr>
        <w:t xml:space="preserve">optimal cutting temperature </w:t>
      </w:r>
      <w:r w:rsidR="0095425A">
        <w:rPr>
          <w:rFonts w:ascii="Times New Roman" w:hAnsi="Times New Roman" w:cs="Times New Roman" w:hint="eastAsia"/>
          <w:sz w:val="22"/>
          <w:szCs w:val="22"/>
        </w:rPr>
        <w:t>(</w:t>
      </w:r>
      <w:r w:rsidR="00895E9D" w:rsidRPr="00D832EB">
        <w:rPr>
          <w:rFonts w:ascii="Times New Roman" w:hAnsi="Times New Roman" w:cs="Times New Roman"/>
          <w:sz w:val="22"/>
          <w:szCs w:val="22"/>
        </w:rPr>
        <w:t>OCT</w:t>
      </w:r>
      <w:r w:rsidR="0095425A">
        <w:rPr>
          <w:rFonts w:ascii="Times New Roman" w:hAnsi="Times New Roman" w:cs="Times New Roman" w:hint="eastAsia"/>
          <w:sz w:val="22"/>
          <w:szCs w:val="22"/>
        </w:rPr>
        <w:t>)</w:t>
      </w:r>
      <w:r w:rsidR="00895E9D" w:rsidRPr="00D832EB">
        <w:rPr>
          <w:rFonts w:ascii="Times New Roman" w:hAnsi="Times New Roman" w:cs="Times New Roman"/>
          <w:sz w:val="22"/>
          <w:szCs w:val="22"/>
        </w:rPr>
        <w:t xml:space="preserve"> compound and stored at -80°C</w:t>
      </w:r>
      <w:r w:rsidR="000724A5">
        <w:rPr>
          <w:rFonts w:ascii="Times New Roman" w:eastAsia="等线" w:hAnsi="Times New Roman" w:cs="Times New Roman"/>
          <w:sz w:val="22"/>
          <w:szCs w:val="22"/>
        </w:rPr>
        <w:fldChar w:fldCharType="begin">
          <w:fldData xml:space="preserve">PEVuZE5vdGU+PENpdGU+PEF1dGhvcj5FaXNzYTwvQXV0aG9yPjxZZWFyPjIwMjU8L1llYXI+PFJl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</w:fldData>
        </w:fldChar>
      </w:r>
      <w:r w:rsidR="000724A5">
        <w:rPr>
          <w:rFonts w:ascii="Times New Roman" w:eastAsia="等线" w:hAnsi="Times New Roman" w:cs="Times New Roman"/>
          <w:sz w:val="22"/>
          <w:szCs w:val="22"/>
        </w:rPr>
        <w:instrText xml:space="preserve"> ADDIN EN.CITE </w:instrText>
      </w:r>
      <w:r w:rsidR="000724A5">
        <w:rPr>
          <w:rFonts w:ascii="Times New Roman" w:eastAsia="等线" w:hAnsi="Times New Roman" w:cs="Times New Roman"/>
          <w:sz w:val="22"/>
          <w:szCs w:val="22"/>
        </w:rPr>
        <w:fldChar w:fldCharType="begin">
          <w:fldData xml:space="preserve">PEVuZE5vdGU+PENpdGU+PEF1dGhvcj5FaXNzYTwvQXV0aG9yPjxZZWFyPjIwMjU8L1llYXI+PFJl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</w:fldData>
        </w:fldChar>
      </w:r>
      <w:r w:rsidR="000724A5">
        <w:rPr>
          <w:rFonts w:ascii="Times New Roman" w:eastAsia="等线" w:hAnsi="Times New Roman" w:cs="Times New Roman"/>
          <w:sz w:val="22"/>
          <w:szCs w:val="22"/>
        </w:rPr>
        <w:instrText xml:space="preserve"> ADDIN EN.CITE.DATA </w:instrText>
      </w:r>
      <w:r w:rsidR="000724A5">
        <w:rPr>
          <w:rFonts w:ascii="Times New Roman" w:eastAsia="等线" w:hAnsi="Times New Roman" w:cs="Times New Roman"/>
          <w:sz w:val="22"/>
          <w:szCs w:val="22"/>
        </w:rPr>
      </w:r>
      <w:r w:rsidR="000724A5">
        <w:rPr>
          <w:rFonts w:ascii="Times New Roman" w:eastAsia="等线" w:hAnsi="Times New Roman" w:cs="Times New Roman"/>
          <w:sz w:val="22"/>
          <w:szCs w:val="22"/>
        </w:rPr>
        <w:fldChar w:fldCharType="end"/>
      </w:r>
      <w:r w:rsidR="000724A5">
        <w:rPr>
          <w:rFonts w:ascii="Times New Roman" w:eastAsia="等线" w:hAnsi="Times New Roman" w:cs="Times New Roman"/>
          <w:sz w:val="22"/>
          <w:szCs w:val="22"/>
        </w:rPr>
      </w:r>
      <w:r w:rsidR="000724A5">
        <w:rPr>
          <w:rFonts w:ascii="Times New Roman" w:eastAsia="等线" w:hAnsi="Times New Roman" w:cs="Times New Roman"/>
          <w:sz w:val="22"/>
          <w:szCs w:val="22"/>
        </w:rPr>
        <w:fldChar w:fldCharType="separate"/>
      </w:r>
      <w:r w:rsidR="000724A5">
        <w:rPr>
          <w:rFonts w:ascii="Times New Roman" w:eastAsia="等线" w:hAnsi="Times New Roman" w:cs="Times New Roman"/>
          <w:noProof/>
          <w:sz w:val="22"/>
          <w:szCs w:val="22"/>
        </w:rPr>
        <w:t>[3]</w:t>
      </w:r>
      <w:r w:rsidR="000724A5">
        <w:rPr>
          <w:rFonts w:ascii="Times New Roman" w:eastAsia="等线" w:hAnsi="Times New Roman" w:cs="Times New Roman"/>
          <w:sz w:val="22"/>
          <w:szCs w:val="22"/>
        </w:rPr>
        <w:fldChar w:fldCharType="end"/>
      </w:r>
      <w:r w:rsidRPr="00D832EB">
        <w:rPr>
          <w:rFonts w:ascii="Times New Roman" w:eastAsia="等线" w:hAnsi="Times New Roman" w:cs="Times New Roman"/>
          <w:sz w:val="22"/>
          <w:szCs w:val="22"/>
        </w:rPr>
        <w:t>.</w:t>
      </w:r>
    </w:p>
    <w:p w14:paraId="7F860697" w14:textId="77777777" w:rsidR="00CA1AF8" w:rsidRPr="00D832EB" w:rsidRDefault="000F7088">
      <w:pPr>
        <w:widowControl w:val="0"/>
        <w:spacing w:before="100" w:beforeAutospacing="1" w:after="160" w:line="480" w:lineRule="auto"/>
        <w:rPr>
          <w:rFonts w:ascii="Times New Roman" w:eastAsia="等线" w:hAnsi="Times New Roman" w:cs="Times New Roman"/>
          <w:sz w:val="22"/>
          <w:szCs w:val="22"/>
        </w:rPr>
      </w:pPr>
      <w:r w:rsidRPr="00D832EB">
        <w:rPr>
          <w:rFonts w:ascii="Times New Roman" w:eastAsia="等线" w:hAnsi="Times New Roman" w:cs="Times New Roman"/>
          <w:b/>
          <w:bCs/>
          <w:sz w:val="22"/>
          <w:szCs w:val="22"/>
        </w:rPr>
        <w:t>Amygdala Sectioning:</w:t>
      </w:r>
      <w:r w:rsidRPr="00D832EB">
        <w:rPr>
          <w:rFonts w:ascii="Times New Roman" w:eastAsia="等线" w:hAnsi="Times New Roman" w:cs="Times New Roman"/>
          <w:sz w:val="22"/>
          <w:szCs w:val="22"/>
        </w:rPr>
        <w:t xml:space="preserve"> </w:t>
      </w:r>
      <w:r w:rsidR="00895E9D" w:rsidRPr="00D832EB">
        <w:rPr>
          <w:rFonts w:ascii="Times New Roman" w:hAnsi="Times New Roman" w:cs="Times New Roman"/>
          <w:sz w:val="22"/>
          <w:szCs w:val="22"/>
        </w:rPr>
        <w:t>Coronal sections of 40 μm thickness were prepared at -20°C using a Leica CM1860 cryostat. Amygdala regions were identified according to the Mouse Brain Atlas (Paxinos &amp; Franklin). Sections containing intact amygdala were mounted on poly-L-lysine-coated slides and air-dried</w:t>
      </w:r>
      <w:r w:rsidRPr="00D832EB">
        <w:rPr>
          <w:rFonts w:ascii="Times New Roman" w:eastAsia="等线" w:hAnsi="Times New Roman" w:cs="Times New Roman"/>
          <w:sz w:val="22"/>
          <w:szCs w:val="22"/>
        </w:rPr>
        <w:t>.</w:t>
      </w:r>
    </w:p>
    <w:p w14:paraId="53B7DE0B" w14:textId="77777777" w:rsidR="00CA1AF8" w:rsidRPr="00D832EB" w:rsidRDefault="000F7088">
      <w:pPr>
        <w:widowControl w:val="0"/>
        <w:spacing w:before="100" w:beforeAutospacing="1" w:after="160" w:line="480" w:lineRule="auto"/>
        <w:ind w:firstLine="0"/>
        <w:jc w:val="left"/>
        <w:rPr>
          <w:rFonts w:ascii="Times New Roman" w:eastAsia="等线" w:hAnsi="Times New Roman" w:cs="Times New Roman"/>
          <w:sz w:val="22"/>
          <w:szCs w:val="22"/>
        </w:rPr>
      </w:pPr>
      <w:r w:rsidRPr="00D832EB">
        <w:rPr>
          <w:rFonts w:ascii="Times New Roman" w:eastAsia="等线" w:hAnsi="Times New Roman" w:cs="Times New Roman"/>
          <w:b/>
          <w:bCs/>
          <w:sz w:val="22"/>
          <w:szCs w:val="22"/>
        </w:rPr>
        <w:t>(VI) Glycine Silver Staining</w:t>
      </w:r>
    </w:p>
    <w:p w14:paraId="4FCE2A55" w14:textId="77777777" w:rsidR="00CA1AF8" w:rsidRPr="00D832EB" w:rsidRDefault="0095425A">
      <w:pPr>
        <w:widowControl w:val="0"/>
        <w:numPr>
          <w:ilvl w:val="0"/>
          <w:numId w:val="5"/>
        </w:numPr>
        <w:spacing w:before="100" w:beforeAutospacing="1" w:after="160" w:line="480" w:lineRule="auto"/>
        <w:rPr>
          <w:rFonts w:ascii="Times New Roman" w:eastAsia="等线" w:hAnsi="Times New Roman" w:cs="Times New Roman"/>
          <w:sz w:val="22"/>
          <w:szCs w:val="22"/>
        </w:rPr>
      </w:pPr>
      <w:r w:rsidRPr="0095425A">
        <w:rPr>
          <w:rFonts w:ascii="Times New Roman" w:hAnsi="Times New Roman" w:cs="Times New Roman"/>
          <w:sz w:val="22"/>
          <w:szCs w:val="22"/>
        </w:rPr>
        <w:t xml:space="preserve">Coronal amygdala cryosections (40 μm) were rinsed in PBS. Because the sections were cryosections embedded in OCT rather than paraffin sections, no dewaxing step was </w:t>
      </w:r>
      <w:r w:rsidRPr="0095425A">
        <w:rPr>
          <w:rFonts w:ascii="Times New Roman" w:hAnsi="Times New Roman" w:cs="Times New Roman"/>
          <w:sz w:val="22"/>
          <w:szCs w:val="22"/>
        </w:rPr>
        <w:lastRenderedPageBreak/>
        <w:t>performed.</w:t>
      </w:r>
    </w:p>
    <w:p w14:paraId="333ACCA8" w14:textId="77777777" w:rsidR="00CA1AF8" w:rsidRPr="00D832EB" w:rsidRDefault="000F7088">
      <w:pPr>
        <w:widowControl w:val="0"/>
        <w:numPr>
          <w:ilvl w:val="0"/>
          <w:numId w:val="5"/>
        </w:numPr>
        <w:spacing w:before="100" w:beforeAutospacing="1" w:after="160" w:line="480" w:lineRule="auto"/>
        <w:rPr>
          <w:rFonts w:ascii="Times New Roman" w:eastAsia="等线" w:hAnsi="Times New Roman" w:cs="Times New Roman"/>
          <w:sz w:val="22"/>
          <w:szCs w:val="22"/>
        </w:rPr>
      </w:pPr>
      <w:r w:rsidRPr="00D832EB">
        <w:rPr>
          <w:rFonts w:ascii="Times New Roman" w:eastAsia="等线" w:hAnsi="Times New Roman" w:cs="Times New Roman"/>
          <w:b/>
          <w:bCs/>
          <w:sz w:val="22"/>
          <w:szCs w:val="22"/>
        </w:rPr>
        <w:t>Staining:</w:t>
      </w:r>
      <w:r w:rsidRPr="00D832EB">
        <w:rPr>
          <w:rFonts w:ascii="Times New Roman" w:eastAsia="等线" w:hAnsi="Times New Roman" w:cs="Times New Roman"/>
          <w:sz w:val="22"/>
          <w:szCs w:val="22"/>
        </w:rPr>
        <w:t xml:space="preserve"> </w:t>
      </w:r>
      <w:r w:rsidR="00895E9D" w:rsidRPr="00D832EB">
        <w:rPr>
          <w:rFonts w:ascii="Times New Roman" w:hAnsi="Times New Roman" w:cs="Times New Roman"/>
          <w:sz w:val="22"/>
          <w:szCs w:val="22"/>
        </w:rPr>
        <w:t>Sections were treated with Glycine Silver Solution C (5 min), washed with PBS (3×), and then treated with Glycine Silver Solution B (5 min). Excess Solution B was removed before sections were transferred to pre-warmed (45°C) Glycine Silver Solution A</w:t>
      </w:r>
      <w:r w:rsidR="00895E9D" w:rsidRPr="00D832EB">
        <w:rPr>
          <w:rFonts w:ascii="Times New Roman" w:eastAsia="宋体" w:hAnsi="Times New Roman" w:cs="Times New Roman"/>
          <w:sz w:val="22"/>
          <w:szCs w:val="22"/>
        </w:rPr>
        <w:t>Ⅰ</w:t>
      </w:r>
      <w:r w:rsidR="00895E9D" w:rsidRPr="00D832EB">
        <w:rPr>
          <w:rFonts w:ascii="Times New Roman" w:hAnsi="Times New Roman" w:cs="Times New Roman"/>
          <w:sz w:val="22"/>
          <w:szCs w:val="22"/>
        </w:rPr>
        <w:t xml:space="preserve"> (30 s), followed immediately by pre-warmed Glycine Silver Solution A</w:t>
      </w:r>
      <w:r w:rsidR="00895E9D" w:rsidRPr="00D832EB">
        <w:rPr>
          <w:rFonts w:ascii="Times New Roman" w:eastAsia="宋体" w:hAnsi="Times New Roman" w:cs="Times New Roman"/>
          <w:sz w:val="22"/>
          <w:szCs w:val="22"/>
        </w:rPr>
        <w:t>Ⅱ</w:t>
      </w:r>
      <w:r w:rsidR="00895E9D" w:rsidRPr="00D832EB">
        <w:rPr>
          <w:rFonts w:ascii="Times New Roman" w:hAnsi="Times New Roman" w:cs="Times New Roman"/>
          <w:sz w:val="22"/>
          <w:szCs w:val="22"/>
        </w:rPr>
        <w:t xml:space="preserve"> (30 s), and then rinsed with PBS. Brief treatment with Glycine Silver Solution D (1</w:t>
      </w:r>
      <w:r w:rsidR="00B72ED6">
        <w:rPr>
          <w:rFonts w:ascii="Times New Roman" w:hAnsi="Times New Roman" w:cs="Times New Roman" w:hint="eastAsia"/>
          <w:sz w:val="22"/>
          <w:szCs w:val="22"/>
        </w:rPr>
        <w:t xml:space="preserve"> </w:t>
      </w:r>
      <w:r w:rsidR="00895E9D" w:rsidRPr="00D832EB">
        <w:rPr>
          <w:rFonts w:ascii="Times New Roman" w:hAnsi="Times New Roman" w:cs="Times New Roman"/>
          <w:sz w:val="22"/>
          <w:szCs w:val="22"/>
        </w:rPr>
        <w:t>s) was followed by PBS washing (3×). If background staining was excessive, the Glycine Silver Solution D step and PBS washes were repeated</w:t>
      </w:r>
      <w:r w:rsidRPr="00D832EB">
        <w:rPr>
          <w:rFonts w:ascii="Times New Roman" w:eastAsia="等线" w:hAnsi="Times New Roman" w:cs="Times New Roman"/>
          <w:sz w:val="22"/>
          <w:szCs w:val="22"/>
        </w:rPr>
        <w:t>.</w:t>
      </w:r>
    </w:p>
    <w:p w14:paraId="213F6BA8" w14:textId="4D372660" w:rsidR="00FC205C" w:rsidRPr="00BB6408" w:rsidRDefault="000F7088" w:rsidP="00BB6408">
      <w:pPr>
        <w:widowControl w:val="0"/>
        <w:numPr>
          <w:ilvl w:val="0"/>
          <w:numId w:val="5"/>
        </w:numPr>
        <w:spacing w:before="100" w:beforeAutospacing="1" w:after="160" w:line="480" w:lineRule="auto"/>
        <w:jc w:val="left"/>
        <w:rPr>
          <w:rFonts w:ascii="Times New Roman" w:eastAsia="等线" w:hAnsi="Times New Roman" w:cs="Times New Roman"/>
          <w:sz w:val="22"/>
          <w:szCs w:val="22"/>
        </w:rPr>
      </w:pPr>
      <w:r w:rsidRPr="00D832EB">
        <w:rPr>
          <w:rFonts w:ascii="Times New Roman" w:eastAsia="等线" w:hAnsi="Times New Roman" w:cs="Times New Roman"/>
          <w:b/>
          <w:bCs/>
          <w:sz w:val="22"/>
          <w:szCs w:val="22"/>
        </w:rPr>
        <w:t>Dehydration and Mounting:</w:t>
      </w:r>
      <w:r w:rsidRPr="00D832EB">
        <w:rPr>
          <w:rFonts w:ascii="Times New Roman" w:eastAsia="等线" w:hAnsi="Times New Roman" w:cs="Times New Roman"/>
          <w:sz w:val="22"/>
          <w:szCs w:val="22"/>
        </w:rPr>
        <w:t xml:space="preserve"> </w:t>
      </w:r>
      <w:r w:rsidR="00895E9D" w:rsidRPr="00D832EB">
        <w:rPr>
          <w:rFonts w:ascii="Times New Roman" w:hAnsi="Times New Roman" w:cs="Times New Roman"/>
          <w:sz w:val="22"/>
          <w:szCs w:val="22"/>
        </w:rPr>
        <w:t>Sections were dehydrated in anhydrous ethanol (3 × 5 min), cleared in xylene (2 × 5 min), and mounted with neutral resin under a coverslip</w:t>
      </w:r>
      <w:r w:rsidRPr="00D832EB">
        <w:rPr>
          <w:rFonts w:ascii="Times New Roman" w:eastAsia="等线" w:hAnsi="Times New Roman" w:cs="Times New Roman"/>
          <w:sz w:val="22"/>
          <w:szCs w:val="22"/>
        </w:rPr>
        <w:t>.</w:t>
      </w:r>
    </w:p>
    <w:p w14:paraId="7007F4F1" w14:textId="0ECE73DC" w:rsidR="00CA1AF8" w:rsidRPr="00BB6408" w:rsidRDefault="000F7088">
      <w:pPr>
        <w:widowControl w:val="0"/>
        <w:spacing w:before="100" w:beforeAutospacing="1" w:after="160" w:line="480" w:lineRule="auto"/>
        <w:ind w:firstLine="360"/>
        <w:rPr>
          <w:rFonts w:ascii="Times New Roman" w:eastAsia="等线" w:hAnsi="Times New Roman" w:cs="Times New Roman"/>
          <w:bCs/>
          <w:sz w:val="22"/>
          <w:szCs w:val="22"/>
        </w:rPr>
      </w:pPr>
      <w:r w:rsidRPr="00BB6408">
        <w:rPr>
          <w:rFonts w:ascii="Times New Roman" w:eastAsia="Times New Roman" w:hAnsi="Times New Roman"/>
          <w:b/>
          <w:sz w:val="22"/>
        </w:rPr>
        <w:t xml:space="preserve">Observation and analysis: </w:t>
      </w:r>
      <w:r w:rsidRPr="00BB6408">
        <w:rPr>
          <w:rFonts w:ascii="Times New Roman" w:eastAsia="Times New Roman" w:hAnsi="Times New Roman"/>
          <w:bCs/>
          <w:sz w:val="22"/>
        </w:rPr>
        <w:t>Sections were examined with an Olympus BX53 microscope. Amygdala fibre</w:t>
      </w:r>
      <w:r w:rsidRPr="00BB6408">
        <w:rPr>
          <w:rFonts w:ascii="Times New Roman" w:eastAsia="Times New Roman" w:hAnsi="Times New Roman"/>
          <w:bCs/>
          <w:sz w:val="22"/>
        </w:rPr>
        <w:t xml:space="preserve"> morphology was evaluated for arrangement, density, integrity, and abnormal tangles. Relative fibre area (stained fibre area/total field area × 100%) was quantified with Image-Pro Plus 6.0 in three randomly selected non-overlapping 400× fields per mouse. The three fields were averaged to yield one value per mouse; each mouse, not each field, was the statistical unit.</w:t>
      </w:r>
    </w:p>
    <w:p w14:paraId="7C4CC68C" w14:textId="77777777" w:rsidR="00CA1AF8" w:rsidRPr="00D832EB" w:rsidRDefault="00CA1AF8" w:rsidP="00B72ED6">
      <w:pPr>
        <w:widowControl w:val="0"/>
        <w:spacing w:before="100" w:beforeAutospacing="1" w:after="160" w:line="480" w:lineRule="auto"/>
        <w:ind w:firstLine="0"/>
        <w:jc w:val="left"/>
        <w:rPr>
          <w:rFonts w:ascii="Times New Roman" w:eastAsia="等线" w:hAnsi="Times New Roman" w:cs="Times New Roman"/>
          <w:sz w:val="22"/>
          <w:szCs w:val="22"/>
        </w:rPr>
      </w:pPr>
    </w:p>
    <w:p w14:paraId="2869D296" w14:textId="77777777" w:rsidR="00CA1AF8" w:rsidRPr="00D832EB" w:rsidRDefault="000F7088">
      <w:pPr>
        <w:widowControl w:val="0"/>
        <w:spacing w:before="100" w:beforeAutospacing="1" w:after="160" w:line="480" w:lineRule="auto"/>
        <w:ind w:firstLine="0"/>
        <w:jc w:val="left"/>
        <w:rPr>
          <w:rFonts w:ascii="Times New Roman" w:eastAsia="等线" w:hAnsi="Times New Roman" w:cs="Times New Roman"/>
          <w:sz w:val="22"/>
          <w:szCs w:val="22"/>
        </w:rPr>
      </w:pPr>
      <w:r w:rsidRPr="00D832EB">
        <w:rPr>
          <w:rFonts w:ascii="Times New Roman" w:eastAsia="等线" w:hAnsi="Times New Roman" w:cs="Times New Roman"/>
          <w:b/>
          <w:bCs/>
          <w:sz w:val="22"/>
          <w:szCs w:val="22"/>
        </w:rPr>
        <w:t>III. Experimental Results</w:t>
      </w:r>
    </w:p>
    <w:p w14:paraId="7EC0835B" w14:textId="77777777" w:rsidR="00CA1AF8" w:rsidRPr="00D832EB" w:rsidRDefault="000F7088">
      <w:pPr>
        <w:widowControl w:val="0"/>
        <w:spacing w:before="100" w:beforeAutospacing="1" w:after="160" w:line="480" w:lineRule="auto"/>
        <w:ind w:firstLine="0"/>
        <w:jc w:val="left"/>
        <w:rPr>
          <w:rFonts w:ascii="Times New Roman" w:eastAsia="等线" w:hAnsi="Times New Roman" w:cs="Times New Roman"/>
          <w:sz w:val="22"/>
          <w:szCs w:val="22"/>
        </w:rPr>
      </w:pPr>
      <w:r w:rsidRPr="00D832EB">
        <w:rPr>
          <w:rFonts w:ascii="Times New Roman" w:eastAsia="等线" w:hAnsi="Times New Roman" w:cs="Times New Roman"/>
          <w:b/>
          <w:bCs/>
          <w:sz w:val="22"/>
          <w:szCs w:val="22"/>
        </w:rPr>
        <w:t>(I) Open Field Test: Anxiety-Related Parameters</w:t>
      </w:r>
    </w:p>
    <w:p w14:paraId="3A7C231C" w14:textId="77777777" w:rsidR="00CA1AF8" w:rsidRPr="00D832EB" w:rsidRDefault="000F7088">
      <w:pPr>
        <w:widowControl w:val="0"/>
        <w:spacing w:before="100" w:beforeAutospacing="1" w:after="160" w:line="480" w:lineRule="auto"/>
        <w:rPr>
          <w:rFonts w:ascii="Times New Roman" w:eastAsia="等线" w:hAnsi="Times New Roman" w:cs="Times New Roman"/>
          <w:sz w:val="22"/>
          <w:szCs w:val="22"/>
        </w:rPr>
      </w:pPr>
      <w:r w:rsidRPr="00D832EB">
        <w:rPr>
          <w:rFonts w:ascii="Times New Roman" w:eastAsia="等线" w:hAnsi="Times New Roman" w:cs="Times New Roman"/>
          <w:b/>
          <w:bCs/>
          <w:sz w:val="22"/>
          <w:szCs w:val="22"/>
        </w:rPr>
        <w:lastRenderedPageBreak/>
        <w:t>Thigmotaxis and Central Zone Dwell Time:</w:t>
      </w:r>
      <w:r w:rsidRPr="00D832EB">
        <w:rPr>
          <w:rFonts w:ascii="Times New Roman" w:eastAsia="等线" w:hAnsi="Times New Roman" w:cs="Times New Roman"/>
          <w:sz w:val="22"/>
          <w:szCs w:val="22"/>
        </w:rPr>
        <w:t xml:space="preserve"> </w:t>
      </w:r>
      <w:r w:rsidR="00895E9D" w:rsidRPr="00D832EB">
        <w:rPr>
          <w:rFonts w:ascii="Times New Roman" w:hAnsi="Times New Roman" w:cs="Times New Roman"/>
          <w:sz w:val="22"/>
          <w:szCs w:val="22"/>
        </w:rPr>
        <w:t>BTBR ANX-like mice showed significantly increased thigmotaxis and significantly reduced central zone dwell time compared with C57 controls (P</w:t>
      </w:r>
      <w:r w:rsidR="00895E9D" w:rsidRPr="0046639D">
        <w:rPr>
          <w:rFonts w:ascii="Times New Roman" w:hAnsi="Times New Roman" w:cs="Times New Roman"/>
          <w:sz w:val="22"/>
          <w:szCs w:val="22"/>
          <w:vertAlign w:val="subscript"/>
        </w:rPr>
        <w:t>FDR</w:t>
      </w:r>
      <w:r w:rsidR="00895E9D" w:rsidRPr="00D832EB">
        <w:rPr>
          <w:rFonts w:ascii="Times New Roman" w:hAnsi="Times New Roman" w:cs="Times New Roman"/>
          <w:sz w:val="22"/>
          <w:szCs w:val="22"/>
        </w:rPr>
        <w:t xml:space="preserve"> = 0.001, one-way ANOVA). In contrast, BTBR nANX-like mice did not differ significantly from C57 mice in these measures (P</w:t>
      </w:r>
      <w:r w:rsidR="00895E9D" w:rsidRPr="0046639D">
        <w:rPr>
          <w:rFonts w:ascii="Times New Roman" w:hAnsi="Times New Roman" w:cs="Times New Roman"/>
          <w:sz w:val="22"/>
          <w:szCs w:val="22"/>
          <w:vertAlign w:val="subscript"/>
        </w:rPr>
        <w:t>FDR</w:t>
      </w:r>
      <w:r w:rsidR="00895E9D" w:rsidRPr="00D832EB">
        <w:rPr>
          <w:rFonts w:ascii="Times New Roman" w:hAnsi="Times New Roman" w:cs="Times New Roman"/>
          <w:sz w:val="22"/>
          <w:szCs w:val="22"/>
        </w:rPr>
        <w:t xml:space="preserve"> &gt; 0.05), supporting the specificity of anxiety-like behavior in the BTBR-ANX subgroup</w:t>
      </w:r>
      <w:r w:rsidRPr="00D832EB">
        <w:rPr>
          <w:rFonts w:ascii="Times New Roman" w:eastAsia="等线" w:hAnsi="Times New Roman" w:cs="Times New Roman"/>
          <w:sz w:val="22"/>
          <w:szCs w:val="22"/>
        </w:rPr>
        <w:t>.</w:t>
      </w:r>
    </w:p>
    <w:p w14:paraId="475BB620" w14:textId="77777777" w:rsidR="00CA1AF8" w:rsidRPr="00D832EB" w:rsidRDefault="000F7088">
      <w:pPr>
        <w:widowControl w:val="0"/>
        <w:spacing w:before="100" w:beforeAutospacing="1" w:after="160" w:line="480" w:lineRule="auto"/>
        <w:rPr>
          <w:rFonts w:ascii="Times New Roman" w:eastAsia="等线" w:hAnsi="Times New Roman" w:cs="Times New Roman"/>
          <w:sz w:val="22"/>
          <w:szCs w:val="22"/>
        </w:rPr>
      </w:pPr>
      <w:r w:rsidRPr="00D832EB">
        <w:rPr>
          <w:rFonts w:ascii="Times New Roman" w:eastAsia="等线" w:hAnsi="Times New Roman" w:cs="Times New Roman"/>
          <w:b/>
          <w:bCs/>
          <w:sz w:val="22"/>
          <w:szCs w:val="22"/>
        </w:rPr>
        <w:t>Rearing Behavior:</w:t>
      </w:r>
      <w:r w:rsidRPr="00D832EB">
        <w:rPr>
          <w:rFonts w:ascii="Times New Roman" w:eastAsia="等线" w:hAnsi="Times New Roman" w:cs="Times New Roman"/>
          <w:sz w:val="22"/>
          <w:szCs w:val="22"/>
        </w:rPr>
        <w:t xml:space="preserve"> </w:t>
      </w:r>
      <w:r w:rsidR="00895E9D" w:rsidRPr="00D832EB">
        <w:rPr>
          <w:rFonts w:ascii="Times New Roman" w:hAnsi="Times New Roman" w:cs="Times New Roman"/>
          <w:sz w:val="22"/>
          <w:szCs w:val="22"/>
        </w:rPr>
        <w:t>Both the frequency and mean duration of rearing were significantly lower in BTBR ANX-like mice than in C57 controls (P</w:t>
      </w:r>
      <w:r w:rsidR="00895E9D" w:rsidRPr="00DD342C">
        <w:rPr>
          <w:rFonts w:ascii="Times New Roman" w:hAnsi="Times New Roman" w:cs="Times New Roman"/>
          <w:sz w:val="22"/>
          <w:szCs w:val="22"/>
          <w:vertAlign w:val="subscript"/>
        </w:rPr>
        <w:t>FDR</w:t>
      </w:r>
      <w:r w:rsidR="00895E9D" w:rsidRPr="00D832EB">
        <w:rPr>
          <w:rFonts w:ascii="Times New Roman" w:hAnsi="Times New Roman" w:cs="Times New Roman"/>
          <w:sz w:val="22"/>
          <w:szCs w:val="22"/>
        </w:rPr>
        <w:t xml:space="preserve"> ≤ 0.001), consistent with anxiety-related suppression of exploratory behavior. BTBR nANX-like mice showed no significant differences from C57 mice (P</w:t>
      </w:r>
      <w:r w:rsidR="00895E9D" w:rsidRPr="00DD342C">
        <w:rPr>
          <w:rFonts w:ascii="Times New Roman" w:hAnsi="Times New Roman" w:cs="Times New Roman"/>
          <w:sz w:val="22"/>
          <w:szCs w:val="22"/>
          <w:vertAlign w:val="subscript"/>
        </w:rPr>
        <w:t>FDR</w:t>
      </w:r>
      <w:r w:rsidR="00895E9D" w:rsidRPr="00D832EB">
        <w:rPr>
          <w:rFonts w:ascii="Times New Roman" w:hAnsi="Times New Roman" w:cs="Times New Roman"/>
          <w:sz w:val="22"/>
          <w:szCs w:val="22"/>
        </w:rPr>
        <w:t xml:space="preserve"> &gt; 0.05)</w:t>
      </w:r>
      <w:r w:rsidRPr="00D832EB">
        <w:rPr>
          <w:rFonts w:ascii="Times New Roman" w:eastAsia="等线" w:hAnsi="Times New Roman" w:cs="Times New Roman"/>
          <w:sz w:val="22"/>
          <w:szCs w:val="22"/>
        </w:rPr>
        <w:t>.</w:t>
      </w:r>
    </w:p>
    <w:p w14:paraId="2466B202" w14:textId="77777777" w:rsidR="00CA1AF8" w:rsidRPr="00D832EB" w:rsidRDefault="000F7088">
      <w:pPr>
        <w:widowControl w:val="0"/>
        <w:spacing w:before="100" w:beforeAutospacing="1" w:after="160" w:line="480" w:lineRule="auto"/>
        <w:rPr>
          <w:rFonts w:ascii="Times New Roman" w:eastAsia="等线" w:hAnsi="Times New Roman" w:cs="Times New Roman"/>
          <w:sz w:val="22"/>
          <w:szCs w:val="22"/>
        </w:rPr>
      </w:pPr>
      <w:r w:rsidRPr="00D832EB">
        <w:rPr>
          <w:rFonts w:ascii="Times New Roman" w:eastAsia="等线" w:hAnsi="Times New Roman" w:cs="Times New Roman"/>
          <w:b/>
          <w:bCs/>
          <w:sz w:val="22"/>
          <w:szCs w:val="22"/>
        </w:rPr>
        <w:t>Locomotor Activity:</w:t>
      </w:r>
      <w:r w:rsidRPr="00D832EB">
        <w:rPr>
          <w:rFonts w:ascii="Times New Roman" w:eastAsia="等线" w:hAnsi="Times New Roman" w:cs="Times New Roman"/>
          <w:sz w:val="22"/>
          <w:szCs w:val="22"/>
        </w:rPr>
        <w:t xml:space="preserve"> </w:t>
      </w:r>
      <w:r w:rsidR="00895E9D" w:rsidRPr="00D832EB">
        <w:rPr>
          <w:rFonts w:ascii="Times New Roman" w:hAnsi="Times New Roman" w:cs="Times New Roman"/>
          <w:sz w:val="22"/>
          <w:szCs w:val="22"/>
        </w:rPr>
        <w:t>No significant differences were observed among the three groups in active time, hyperactivity time, or total distance traveled (P</w:t>
      </w:r>
      <w:r w:rsidR="00895E9D" w:rsidRPr="0046639D">
        <w:rPr>
          <w:rFonts w:ascii="Times New Roman" w:hAnsi="Times New Roman" w:cs="Times New Roman"/>
          <w:sz w:val="22"/>
          <w:szCs w:val="22"/>
          <w:vertAlign w:val="subscript"/>
        </w:rPr>
        <w:t>FDR</w:t>
      </w:r>
      <w:r w:rsidR="00895E9D" w:rsidRPr="00D832EB">
        <w:rPr>
          <w:rFonts w:ascii="Times New Roman" w:hAnsi="Times New Roman" w:cs="Times New Roman"/>
          <w:sz w:val="22"/>
          <w:szCs w:val="22"/>
        </w:rPr>
        <w:t xml:space="preserve"> &gt; 0.05), indicating that the anxiety-like phenotype was not attributable to impaired general locomotion</w:t>
      </w:r>
      <w:r w:rsidRPr="00D832EB">
        <w:rPr>
          <w:rFonts w:ascii="Times New Roman" w:eastAsia="等线" w:hAnsi="Times New Roman" w:cs="Times New Roman"/>
          <w:sz w:val="22"/>
          <w:szCs w:val="22"/>
        </w:rPr>
        <w:t>.</w:t>
      </w:r>
    </w:p>
    <w:p w14:paraId="12C7BC0A" w14:textId="77777777" w:rsidR="00CA1AF8" w:rsidRPr="00D832EB" w:rsidRDefault="000F7088">
      <w:pPr>
        <w:widowControl w:val="0"/>
        <w:spacing w:before="100" w:beforeAutospacing="1" w:after="160" w:line="480" w:lineRule="auto"/>
        <w:ind w:firstLine="0"/>
        <w:jc w:val="left"/>
        <w:rPr>
          <w:rFonts w:ascii="Times New Roman" w:eastAsia="等线" w:hAnsi="Times New Roman" w:cs="Times New Roman"/>
          <w:sz w:val="22"/>
          <w:szCs w:val="22"/>
        </w:rPr>
      </w:pPr>
      <w:r w:rsidRPr="00D832EB">
        <w:rPr>
          <w:rFonts w:ascii="Times New Roman" w:eastAsia="等线" w:hAnsi="Times New Roman" w:cs="Times New Roman"/>
          <w:b/>
          <w:bCs/>
          <w:sz w:val="22"/>
          <w:szCs w:val="22"/>
        </w:rPr>
        <w:t>(II) Elevated Plus Maze: Anxiety-Related Parameters</w:t>
      </w:r>
    </w:p>
    <w:p w14:paraId="13857FC9" w14:textId="77777777" w:rsidR="00CA1AF8" w:rsidRPr="00D832EB" w:rsidRDefault="000F7088">
      <w:pPr>
        <w:widowControl w:val="0"/>
        <w:spacing w:before="100" w:beforeAutospacing="1" w:after="160" w:line="480" w:lineRule="auto"/>
        <w:rPr>
          <w:rFonts w:ascii="Times New Roman" w:eastAsia="等线" w:hAnsi="Times New Roman" w:cs="Times New Roman"/>
          <w:sz w:val="22"/>
          <w:szCs w:val="22"/>
        </w:rPr>
      </w:pPr>
      <w:r w:rsidRPr="00D832EB">
        <w:rPr>
          <w:rFonts w:ascii="Times New Roman" w:eastAsia="等线" w:hAnsi="Times New Roman" w:cs="Times New Roman"/>
          <w:b/>
          <w:bCs/>
          <w:sz w:val="22"/>
          <w:szCs w:val="22"/>
        </w:rPr>
        <w:t>Zone Entry Frequency:</w:t>
      </w:r>
      <w:r w:rsidRPr="00D832EB">
        <w:rPr>
          <w:rFonts w:ascii="Times New Roman" w:eastAsia="等线" w:hAnsi="Times New Roman" w:cs="Times New Roman"/>
          <w:sz w:val="22"/>
          <w:szCs w:val="22"/>
        </w:rPr>
        <w:t xml:space="preserve"> </w:t>
      </w:r>
      <w:r w:rsidR="00895E9D" w:rsidRPr="00D832EB">
        <w:rPr>
          <w:rFonts w:ascii="Times New Roman" w:hAnsi="Times New Roman" w:cs="Times New Roman"/>
          <w:sz w:val="22"/>
          <w:szCs w:val="22"/>
        </w:rPr>
        <w:t>BTBR ANX-like mice did not differ significantly from C57 mice in open-arm entries (P</w:t>
      </w:r>
      <w:r w:rsidR="00895E9D" w:rsidRPr="0046639D">
        <w:rPr>
          <w:rFonts w:ascii="Times New Roman" w:hAnsi="Times New Roman" w:cs="Times New Roman"/>
          <w:sz w:val="22"/>
          <w:szCs w:val="22"/>
          <w:vertAlign w:val="subscript"/>
        </w:rPr>
        <w:t>FDR</w:t>
      </w:r>
      <w:r w:rsidR="00895E9D" w:rsidRPr="00D832EB">
        <w:rPr>
          <w:rFonts w:ascii="Times New Roman" w:hAnsi="Times New Roman" w:cs="Times New Roman"/>
          <w:sz w:val="22"/>
          <w:szCs w:val="22"/>
        </w:rPr>
        <w:t xml:space="preserve"> &gt; 0.05), but showed significantly increased frequencies of closed-arm entries (P</w:t>
      </w:r>
      <w:r w:rsidR="00895E9D" w:rsidRPr="0046639D">
        <w:rPr>
          <w:rFonts w:ascii="Times New Roman" w:hAnsi="Times New Roman" w:cs="Times New Roman"/>
          <w:sz w:val="22"/>
          <w:szCs w:val="22"/>
          <w:vertAlign w:val="subscript"/>
        </w:rPr>
        <w:t>FDR</w:t>
      </w:r>
      <w:r w:rsidR="00895E9D" w:rsidRPr="00D832EB">
        <w:rPr>
          <w:rFonts w:ascii="Times New Roman" w:hAnsi="Times New Roman" w:cs="Times New Roman"/>
          <w:sz w:val="22"/>
          <w:szCs w:val="22"/>
        </w:rPr>
        <w:t xml:space="preserve"> = 0.004) and central-area entries (P</w:t>
      </w:r>
      <w:r w:rsidR="00895E9D" w:rsidRPr="0046639D">
        <w:rPr>
          <w:rFonts w:ascii="Times New Roman" w:hAnsi="Times New Roman" w:cs="Times New Roman"/>
          <w:sz w:val="22"/>
          <w:szCs w:val="22"/>
          <w:vertAlign w:val="subscript"/>
        </w:rPr>
        <w:t>FDR</w:t>
      </w:r>
      <w:r w:rsidR="00895E9D" w:rsidRPr="00D832EB">
        <w:rPr>
          <w:rFonts w:ascii="Times New Roman" w:hAnsi="Times New Roman" w:cs="Times New Roman"/>
          <w:sz w:val="22"/>
          <w:szCs w:val="22"/>
        </w:rPr>
        <w:t xml:space="preserve"> = 0.006). BTBR nANX-like mice showed no significant differences from C57 controls in entry frequency across any zone (P</w:t>
      </w:r>
      <w:r w:rsidR="00895E9D" w:rsidRPr="0046639D">
        <w:rPr>
          <w:rFonts w:ascii="Times New Roman" w:hAnsi="Times New Roman" w:cs="Times New Roman"/>
          <w:sz w:val="22"/>
          <w:szCs w:val="22"/>
          <w:vertAlign w:val="subscript"/>
        </w:rPr>
        <w:t>FDR</w:t>
      </w:r>
      <w:r w:rsidR="00895E9D" w:rsidRPr="00D832EB">
        <w:rPr>
          <w:rFonts w:ascii="Times New Roman" w:hAnsi="Times New Roman" w:cs="Times New Roman"/>
          <w:sz w:val="22"/>
          <w:szCs w:val="22"/>
        </w:rPr>
        <w:t xml:space="preserve"> &gt; 0.05). This pattern suggests that BTBR ANX-like mice preferentially sought the security of closed arms and displayed greater indecision in the central area</w:t>
      </w:r>
      <w:r w:rsidRPr="00D832EB">
        <w:rPr>
          <w:rFonts w:ascii="Times New Roman" w:eastAsia="等线" w:hAnsi="Times New Roman" w:cs="Times New Roman"/>
          <w:sz w:val="22"/>
          <w:szCs w:val="22"/>
        </w:rPr>
        <w:t>.</w:t>
      </w:r>
    </w:p>
    <w:p w14:paraId="038405AF" w14:textId="77777777" w:rsidR="00CA1AF8" w:rsidRPr="00D832EB" w:rsidRDefault="000F7088">
      <w:pPr>
        <w:widowControl w:val="0"/>
        <w:spacing w:before="100" w:beforeAutospacing="1" w:after="160" w:line="480" w:lineRule="auto"/>
        <w:rPr>
          <w:rFonts w:ascii="Times New Roman" w:eastAsia="等线" w:hAnsi="Times New Roman" w:cs="Times New Roman"/>
          <w:sz w:val="22"/>
          <w:szCs w:val="22"/>
        </w:rPr>
      </w:pPr>
      <w:r w:rsidRPr="00D832EB">
        <w:rPr>
          <w:rFonts w:ascii="Times New Roman" w:eastAsia="等线" w:hAnsi="Times New Roman" w:cs="Times New Roman"/>
          <w:b/>
          <w:bCs/>
          <w:sz w:val="22"/>
          <w:szCs w:val="22"/>
        </w:rPr>
        <w:t>Time in Zones:</w:t>
      </w:r>
      <w:r w:rsidRPr="00D832EB">
        <w:rPr>
          <w:rFonts w:ascii="Times New Roman" w:eastAsia="等线" w:hAnsi="Times New Roman" w:cs="Times New Roman"/>
          <w:sz w:val="22"/>
          <w:szCs w:val="22"/>
        </w:rPr>
        <w:t xml:space="preserve"> </w:t>
      </w:r>
      <w:r w:rsidR="00895E9D" w:rsidRPr="00D832EB">
        <w:rPr>
          <w:rFonts w:ascii="Times New Roman" w:hAnsi="Times New Roman" w:cs="Times New Roman"/>
          <w:sz w:val="22"/>
          <w:szCs w:val="22"/>
        </w:rPr>
        <w:t xml:space="preserve">BTBR ANX-like mice spent a significantly lower proportion of time in </w:t>
      </w:r>
      <w:r w:rsidR="00895E9D" w:rsidRPr="00D832EB">
        <w:rPr>
          <w:rFonts w:ascii="Times New Roman" w:hAnsi="Times New Roman" w:cs="Times New Roman"/>
          <w:sz w:val="22"/>
          <w:szCs w:val="22"/>
        </w:rPr>
        <w:lastRenderedPageBreak/>
        <w:t>the open arms and a higher proportion in the closed arms than C57 mice (P</w:t>
      </w:r>
      <w:r w:rsidR="00895E9D" w:rsidRPr="0046639D">
        <w:rPr>
          <w:rFonts w:ascii="Times New Roman" w:hAnsi="Times New Roman" w:cs="Times New Roman"/>
          <w:sz w:val="22"/>
          <w:szCs w:val="22"/>
          <w:vertAlign w:val="subscript"/>
        </w:rPr>
        <w:t>FDR</w:t>
      </w:r>
      <w:r w:rsidR="00895E9D" w:rsidRPr="00D832EB">
        <w:rPr>
          <w:rFonts w:ascii="Times New Roman" w:hAnsi="Times New Roman" w:cs="Times New Roman"/>
          <w:sz w:val="22"/>
          <w:szCs w:val="22"/>
        </w:rPr>
        <w:t xml:space="preserve"> &lt; 0.01). BTBR nANX-like mice showed no significant differences from C57 controls in time allocation (P</w:t>
      </w:r>
      <w:r w:rsidR="00895E9D" w:rsidRPr="0046639D">
        <w:rPr>
          <w:rFonts w:ascii="Times New Roman" w:hAnsi="Times New Roman" w:cs="Times New Roman"/>
          <w:sz w:val="22"/>
          <w:szCs w:val="22"/>
          <w:vertAlign w:val="subscript"/>
        </w:rPr>
        <w:t>FDR</w:t>
      </w:r>
      <w:r w:rsidR="00895E9D" w:rsidRPr="00D832EB">
        <w:rPr>
          <w:rFonts w:ascii="Times New Roman" w:hAnsi="Times New Roman" w:cs="Times New Roman"/>
          <w:sz w:val="22"/>
          <w:szCs w:val="22"/>
        </w:rPr>
        <w:t xml:space="preserve"> &gt; 0.05), further supporting a distinct anxiety phenotype in the BTBR-ANX subgroup</w:t>
      </w:r>
      <w:r w:rsidRPr="00D832EB">
        <w:rPr>
          <w:rFonts w:ascii="Times New Roman" w:eastAsia="等线" w:hAnsi="Times New Roman" w:cs="Times New Roman"/>
          <w:sz w:val="22"/>
          <w:szCs w:val="22"/>
        </w:rPr>
        <w:t>.</w:t>
      </w:r>
    </w:p>
    <w:p w14:paraId="7ADABEDF" w14:textId="77777777" w:rsidR="00CA1AF8" w:rsidRPr="00D832EB" w:rsidRDefault="000F7088">
      <w:pPr>
        <w:widowControl w:val="0"/>
        <w:spacing w:before="100" w:beforeAutospacing="1" w:after="160" w:line="480" w:lineRule="auto"/>
        <w:ind w:firstLine="0"/>
        <w:jc w:val="left"/>
        <w:rPr>
          <w:rFonts w:ascii="Times New Roman" w:eastAsia="等线" w:hAnsi="Times New Roman" w:cs="Times New Roman"/>
          <w:sz w:val="22"/>
          <w:szCs w:val="22"/>
        </w:rPr>
      </w:pPr>
      <w:r w:rsidRPr="00D832EB">
        <w:rPr>
          <w:rFonts w:ascii="Times New Roman" w:eastAsia="等线" w:hAnsi="Times New Roman" w:cs="Times New Roman"/>
          <w:b/>
          <w:bCs/>
          <w:sz w:val="22"/>
          <w:szCs w:val="22"/>
        </w:rPr>
        <w:t>(III) Amygdala Glycine Silver Staining</w:t>
      </w:r>
    </w:p>
    <w:p w14:paraId="34D968F9" w14:textId="77777777" w:rsidR="00CA1AF8" w:rsidRPr="00D832EB" w:rsidRDefault="000F7088">
      <w:pPr>
        <w:widowControl w:val="0"/>
        <w:spacing w:before="100" w:beforeAutospacing="1" w:after="160" w:line="480" w:lineRule="auto"/>
        <w:rPr>
          <w:rFonts w:ascii="Times New Roman" w:eastAsia="等线" w:hAnsi="Times New Roman" w:cs="Times New Roman"/>
          <w:sz w:val="22"/>
          <w:szCs w:val="22"/>
        </w:rPr>
      </w:pPr>
      <w:r w:rsidRPr="00D832EB">
        <w:rPr>
          <w:rFonts w:ascii="Times New Roman" w:eastAsia="等线" w:hAnsi="Times New Roman" w:cs="Times New Roman"/>
          <w:b/>
          <w:bCs/>
          <w:sz w:val="22"/>
          <w:szCs w:val="22"/>
        </w:rPr>
        <w:t>Morphological Observations:</w:t>
      </w:r>
      <w:r w:rsidRPr="00D832EB">
        <w:rPr>
          <w:rFonts w:ascii="Times New Roman" w:eastAsia="等线" w:hAnsi="Times New Roman" w:cs="Times New Roman"/>
          <w:sz w:val="22"/>
          <w:szCs w:val="22"/>
        </w:rPr>
        <w:t xml:space="preserve"> </w:t>
      </w:r>
      <w:r w:rsidR="00895E9D" w:rsidRPr="00D832EB">
        <w:rPr>
          <w:rFonts w:ascii="Times New Roman" w:hAnsi="Times New Roman" w:cs="Times New Roman"/>
          <w:sz w:val="22"/>
          <w:szCs w:val="22"/>
        </w:rPr>
        <w:t>In C57 mice, amygdala nerve fibers were orderly, dense, and continuous. BTBR mice, including both BTBR ANX-like and BTBR nANX-like subgroups, exhibited pathological changes characterized by disorganized arrangement, reduced density, focal disruption, and abnormal dark brown nerve fiber tangles</w:t>
      </w:r>
      <w:r w:rsidRPr="00D832EB">
        <w:rPr>
          <w:rFonts w:ascii="Times New Roman" w:eastAsia="等线" w:hAnsi="Times New Roman" w:cs="Times New Roman"/>
          <w:sz w:val="22"/>
          <w:szCs w:val="22"/>
        </w:rPr>
        <w:t>.</w:t>
      </w:r>
    </w:p>
    <w:p w14:paraId="139CEAF5" w14:textId="77777777" w:rsidR="00CA1AF8" w:rsidRPr="00D832EB" w:rsidRDefault="000F7088">
      <w:pPr>
        <w:widowControl w:val="0"/>
        <w:spacing w:before="100" w:beforeAutospacing="1" w:after="160" w:line="480" w:lineRule="auto"/>
        <w:rPr>
          <w:rFonts w:ascii="Times New Roman" w:eastAsia="等线" w:hAnsi="Times New Roman" w:cs="Times New Roman"/>
          <w:sz w:val="22"/>
          <w:szCs w:val="22"/>
        </w:rPr>
      </w:pPr>
      <w:r w:rsidRPr="00D832EB">
        <w:rPr>
          <w:rFonts w:ascii="Times New Roman" w:eastAsia="等线" w:hAnsi="Times New Roman" w:cs="Times New Roman"/>
          <w:b/>
          <w:bCs/>
          <w:sz w:val="22"/>
          <w:szCs w:val="22"/>
        </w:rPr>
        <w:t>Quantitative Analysis:</w:t>
      </w:r>
      <w:r w:rsidRPr="00D832EB">
        <w:rPr>
          <w:rFonts w:ascii="Times New Roman" w:eastAsia="等线" w:hAnsi="Times New Roman" w:cs="Times New Roman"/>
          <w:sz w:val="22"/>
          <w:szCs w:val="22"/>
        </w:rPr>
        <w:t xml:space="preserve"> </w:t>
      </w:r>
      <w:r w:rsidR="00895E9D" w:rsidRPr="00D832EB">
        <w:rPr>
          <w:rFonts w:ascii="Times New Roman" w:hAnsi="Times New Roman" w:cs="Times New Roman"/>
          <w:sz w:val="22"/>
          <w:szCs w:val="22"/>
        </w:rPr>
        <w:t>The relative area of amygdala nerve fibers was significantly reduced in BTBR ANX-like mice compared with C57 controls (P</w:t>
      </w:r>
      <w:r w:rsidR="00895E9D" w:rsidRPr="0046639D">
        <w:rPr>
          <w:rFonts w:ascii="Times New Roman" w:hAnsi="Times New Roman" w:cs="Times New Roman"/>
          <w:sz w:val="22"/>
          <w:szCs w:val="22"/>
          <w:vertAlign w:val="subscript"/>
        </w:rPr>
        <w:t>FDR</w:t>
      </w:r>
      <w:r w:rsidR="00895E9D" w:rsidRPr="00D832EB">
        <w:rPr>
          <w:rFonts w:ascii="Times New Roman" w:hAnsi="Times New Roman" w:cs="Times New Roman"/>
          <w:sz w:val="22"/>
          <w:szCs w:val="22"/>
        </w:rPr>
        <w:t xml:space="preserve"> &lt; 0.05), accompanied by visible tangles. BTBR nANX-like mice also showed significant disorganization, mild fragmentation, and tangles relative to C57 mice (P</w:t>
      </w:r>
      <w:r w:rsidR="00895E9D" w:rsidRPr="0046639D">
        <w:rPr>
          <w:rFonts w:ascii="Times New Roman" w:hAnsi="Times New Roman" w:cs="Times New Roman"/>
          <w:sz w:val="22"/>
          <w:szCs w:val="22"/>
          <w:vertAlign w:val="subscript"/>
        </w:rPr>
        <w:t>FDR</w:t>
      </w:r>
      <w:r w:rsidR="00895E9D" w:rsidRPr="00D832EB">
        <w:rPr>
          <w:rFonts w:ascii="Times New Roman" w:hAnsi="Times New Roman" w:cs="Times New Roman"/>
          <w:sz w:val="22"/>
          <w:szCs w:val="22"/>
        </w:rPr>
        <w:t xml:space="preserve"> &lt; 0.05). Moreover, the relative nerve fiber area was significantly lower in the BTBR-ANX group than in the BTBR-nANX group (P</w:t>
      </w:r>
      <w:r w:rsidR="00895E9D" w:rsidRPr="0046639D">
        <w:rPr>
          <w:rFonts w:ascii="Times New Roman" w:hAnsi="Times New Roman" w:cs="Times New Roman"/>
          <w:sz w:val="22"/>
          <w:szCs w:val="22"/>
          <w:vertAlign w:val="subscript"/>
        </w:rPr>
        <w:t>FDR</w:t>
      </w:r>
      <w:r w:rsidR="00895E9D" w:rsidRPr="00D832EB">
        <w:rPr>
          <w:rFonts w:ascii="Times New Roman" w:hAnsi="Times New Roman" w:cs="Times New Roman"/>
          <w:sz w:val="22"/>
          <w:szCs w:val="22"/>
        </w:rPr>
        <w:t xml:space="preserve"> &lt; 0.05), indicating more severe amygdala nerve fiber pathology in BTBR ANX-like mice</w:t>
      </w:r>
      <w:r w:rsidRPr="00D832EB">
        <w:rPr>
          <w:rFonts w:ascii="Times New Roman" w:eastAsia="等线" w:hAnsi="Times New Roman" w:cs="Times New Roman"/>
          <w:sz w:val="22"/>
          <w:szCs w:val="22"/>
        </w:rPr>
        <w:t>.</w:t>
      </w:r>
    </w:p>
    <w:p w14:paraId="05EE6BF6" w14:textId="01876120" w:rsidR="00CA1AF8" w:rsidRPr="0069198F" w:rsidRDefault="00CA1AF8" w:rsidP="00AE303F">
      <w:pPr>
        <w:widowControl w:val="0"/>
        <w:spacing w:before="100" w:beforeAutospacing="1" w:after="160" w:line="480" w:lineRule="auto"/>
        <w:ind w:firstLine="0"/>
        <w:rPr>
          <w:rFonts w:ascii="Times New Roman" w:hAnsi="Times New Roman" w:cs="Times New Roman"/>
          <w:sz w:val="22"/>
          <w:szCs w:val="22"/>
        </w:rPr>
      </w:pPr>
    </w:p>
    <w:p w14:paraId="26B05D43" w14:textId="77777777" w:rsidR="00CA1AF8" w:rsidRPr="00D832EB" w:rsidRDefault="000F7088">
      <w:pPr>
        <w:widowControl w:val="0"/>
        <w:spacing w:before="100" w:beforeAutospacing="1" w:after="160" w:line="480" w:lineRule="auto"/>
        <w:ind w:firstLine="0"/>
        <w:jc w:val="left"/>
        <w:rPr>
          <w:rFonts w:ascii="Times New Roman" w:eastAsia="等线" w:hAnsi="Times New Roman" w:cs="Times New Roman"/>
          <w:sz w:val="22"/>
          <w:szCs w:val="22"/>
        </w:rPr>
      </w:pPr>
      <w:r w:rsidRPr="00D832EB">
        <w:rPr>
          <w:rFonts w:ascii="Times New Roman" w:eastAsia="等线" w:hAnsi="Times New Roman" w:cs="Times New Roman"/>
          <w:sz w:val="22"/>
          <w:szCs w:val="22"/>
        </w:rPr>
        <w:t xml:space="preserve"> </w:t>
      </w:r>
    </w:p>
    <w:p w14:paraId="56F6A336" w14:textId="77777777" w:rsidR="00CA1AF8" w:rsidRPr="00D832EB" w:rsidRDefault="000F7088">
      <w:pPr>
        <w:pStyle w:val="a8"/>
        <w:widowControl w:val="0"/>
        <w:numPr>
          <w:ilvl w:val="1"/>
          <w:numId w:val="1"/>
        </w:numPr>
        <w:spacing w:before="100" w:beforeAutospacing="1" w:after="160" w:line="480" w:lineRule="auto"/>
        <w:ind w:firstLineChars="0"/>
        <w:jc w:val="left"/>
        <w:rPr>
          <w:rFonts w:ascii="Times New Roman" w:eastAsia="等线" w:hAnsi="Times New Roman" w:cs="Times New Roman"/>
          <w:b/>
          <w:bCs/>
          <w:sz w:val="22"/>
          <w:szCs w:val="22"/>
        </w:rPr>
      </w:pPr>
      <w:r w:rsidRPr="00D832EB">
        <w:rPr>
          <w:rFonts w:ascii="Times New Roman" w:hAnsi="Times New Roman" w:cs="Times New Roman"/>
          <w:b/>
          <w:bCs/>
          <w:sz w:val="22"/>
          <w:szCs w:val="22"/>
        </w:rPr>
        <w:t xml:space="preserve"> Relevant Code</w:t>
      </w:r>
    </w:p>
    <w:p w14:paraId="4EE04095" w14:textId="77777777" w:rsidR="00CA1AF8" w:rsidRPr="00D832EB" w:rsidRDefault="000F7088">
      <w:pPr>
        <w:pStyle w:val="a8"/>
        <w:widowControl w:val="0"/>
        <w:numPr>
          <w:ilvl w:val="2"/>
          <w:numId w:val="1"/>
        </w:numPr>
        <w:spacing w:before="100" w:beforeAutospacing="1" w:after="160" w:line="480" w:lineRule="auto"/>
        <w:ind w:firstLineChars="0"/>
        <w:rPr>
          <w:rFonts w:ascii="Times New Roman" w:eastAsia="等线" w:hAnsi="Times New Roman" w:cs="Times New Roman"/>
          <w:sz w:val="22"/>
          <w:szCs w:val="22"/>
        </w:rPr>
      </w:pPr>
      <w:r w:rsidRPr="00D832EB">
        <w:rPr>
          <w:rFonts w:ascii="Times New Roman" w:hAnsi="Times New Roman" w:cs="Times New Roman"/>
          <w:sz w:val="22"/>
          <w:szCs w:val="22"/>
        </w:rPr>
        <w:t xml:space="preserve">Code for analyzing differences among MAP-MRI parameter groups and their correlations with thyroid hormones, serum iron, and serum lead: One-way ANOVA and </w:t>
      </w:r>
      <w:r w:rsidRPr="00D832EB">
        <w:rPr>
          <w:rFonts w:ascii="Times New Roman" w:hAnsi="Times New Roman" w:cs="Times New Roman"/>
          <w:sz w:val="22"/>
          <w:szCs w:val="22"/>
        </w:rPr>
        <w:lastRenderedPageBreak/>
        <w:t>Pearson.py</w:t>
      </w:r>
    </w:p>
    <w:p w14:paraId="0C1A7889" w14:textId="77777777" w:rsidR="00CA1AF8" w:rsidRPr="00D832EB" w:rsidRDefault="000F7088">
      <w:pPr>
        <w:pStyle w:val="a8"/>
        <w:widowControl w:val="0"/>
        <w:numPr>
          <w:ilvl w:val="2"/>
          <w:numId w:val="1"/>
        </w:numPr>
        <w:spacing w:before="100" w:beforeAutospacing="1" w:after="160" w:line="480" w:lineRule="auto"/>
        <w:ind w:firstLineChars="0"/>
        <w:rPr>
          <w:rFonts w:ascii="Times New Roman" w:eastAsia="等线" w:hAnsi="Times New Roman" w:cs="Times New Roman"/>
          <w:sz w:val="22"/>
          <w:szCs w:val="22"/>
        </w:rPr>
      </w:pPr>
      <w:r w:rsidRPr="00D832EB">
        <w:rPr>
          <w:rFonts w:ascii="Times New Roman" w:hAnsi="Times New Roman" w:cs="Times New Roman"/>
          <w:sz w:val="22"/>
          <w:szCs w:val="22"/>
        </w:rPr>
        <w:t>Heatmap and bar chart combination for inter-group differences in MAP-MRI parameters: Heatmap and bar</w:t>
      </w:r>
      <w:r w:rsidR="00137C79">
        <w:rPr>
          <w:rFonts w:ascii="Times New Roman" w:hAnsi="Times New Roman" w:cs="Times New Roman"/>
          <w:sz w:val="22"/>
          <w:szCs w:val="22"/>
        </w:rPr>
        <w:t xml:space="preserve"> chart combination</w:t>
      </w:r>
      <w:r w:rsidRPr="00D832EB">
        <w:rPr>
          <w:rFonts w:ascii="Times New Roman" w:hAnsi="Times New Roman" w:cs="Times New Roman"/>
          <w:sz w:val="22"/>
          <w:szCs w:val="22"/>
        </w:rPr>
        <w:t>.R</w:t>
      </w:r>
    </w:p>
    <w:p w14:paraId="6E8EE287" w14:textId="77777777" w:rsidR="00CA1AF8" w:rsidRPr="00D832EB" w:rsidRDefault="000F7088">
      <w:pPr>
        <w:pStyle w:val="a8"/>
        <w:widowControl w:val="0"/>
        <w:numPr>
          <w:ilvl w:val="2"/>
          <w:numId w:val="1"/>
        </w:numPr>
        <w:spacing w:before="100" w:beforeAutospacing="1" w:after="160" w:line="480" w:lineRule="auto"/>
        <w:ind w:firstLineChars="0"/>
        <w:rPr>
          <w:rFonts w:ascii="Times New Roman" w:eastAsia="等线" w:hAnsi="Times New Roman" w:cs="Times New Roman"/>
          <w:sz w:val="22"/>
          <w:szCs w:val="22"/>
        </w:rPr>
      </w:pPr>
      <w:r w:rsidRPr="00D832EB">
        <w:rPr>
          <w:rFonts w:ascii="Times New Roman" w:hAnsi="Times New Roman" w:cs="Times New Roman"/>
          <w:sz w:val="22"/>
          <w:szCs w:val="22"/>
        </w:rPr>
        <w:t>Heatmap for correlations between MAP-MRI parameters and thyroid hormones, serum iron, serum lead: Heatmap.R</w:t>
      </w:r>
    </w:p>
    <w:p w14:paraId="7A954F2C" w14:textId="3D9E6EB3" w:rsidR="00CA1AF8" w:rsidRPr="00BB6408" w:rsidRDefault="000F7088">
      <w:pPr>
        <w:pStyle w:val="a8"/>
        <w:widowControl w:val="0"/>
        <w:numPr>
          <w:ilvl w:val="2"/>
          <w:numId w:val="1"/>
        </w:numPr>
        <w:spacing w:before="100" w:beforeAutospacing="1" w:after="160" w:line="480" w:lineRule="auto"/>
        <w:ind w:firstLineChars="0"/>
        <w:rPr>
          <w:rFonts w:ascii="Times New Roman" w:eastAsia="等线" w:hAnsi="Times New Roman" w:cs="Times New Roman"/>
          <w:sz w:val="22"/>
          <w:szCs w:val="22"/>
        </w:rPr>
      </w:pPr>
      <w:r w:rsidRPr="00BB6408">
        <w:rPr>
          <w:rFonts w:ascii="Times New Roman" w:eastAsia="Times New Roman" w:hAnsi="Times New Roman"/>
          <w:sz w:val="22"/>
        </w:rPr>
        <w:t xml:space="preserve">Cross-sectional association-decomposition code for </w:t>
      </w:r>
      <w:r w:rsidR="00BA2A7F" w:rsidRPr="00BB6408">
        <w:rPr>
          <w:rFonts w:ascii="Times New Roman" w:hAnsi="Times New Roman" w:hint="eastAsia"/>
          <w:sz w:val="22"/>
        </w:rPr>
        <w:t>F</w:t>
      </w:r>
      <w:r w:rsidRPr="00BB6408">
        <w:rPr>
          <w:rFonts w:ascii="Times New Roman" w:eastAsia="Times New Roman" w:hAnsi="Times New Roman"/>
          <w:sz w:val="22"/>
        </w:rPr>
        <w:t>T3, serum iron, serum lead, and amygdala/hippocampal NG and NGAx: total-association, direct-association, indirect-association, a-coefficient, and b-coefficient scripts.</w:t>
      </w:r>
    </w:p>
    <w:p w14:paraId="4D0B4E2F" w14:textId="77777777" w:rsidR="00CA1AF8" w:rsidRPr="00D832EB" w:rsidRDefault="00CA1AF8">
      <w:pPr>
        <w:widowControl w:val="0"/>
        <w:spacing w:before="100" w:beforeAutospacing="1" w:after="160" w:line="276" w:lineRule="auto"/>
        <w:ind w:firstLine="0"/>
        <w:jc w:val="left"/>
        <w:rPr>
          <w:rFonts w:ascii="Times New Roman" w:eastAsia="等线" w:hAnsi="Times New Roman" w:cs="Times New Roman"/>
          <w:sz w:val="20"/>
          <w:szCs w:val="20"/>
        </w:rPr>
      </w:pPr>
      <w:bookmarkStart w:id="1" w:name="OLE_LINK5"/>
      <w:bookmarkEnd w:id="1"/>
    </w:p>
    <w:p w14:paraId="45C33D03" w14:textId="77777777" w:rsidR="00CA1AF8" w:rsidRPr="00D832EB" w:rsidRDefault="000F7088">
      <w:pPr>
        <w:widowControl w:val="0"/>
        <w:spacing w:before="100" w:beforeAutospacing="1" w:after="160" w:line="276" w:lineRule="auto"/>
        <w:ind w:firstLine="0"/>
        <w:jc w:val="left"/>
        <w:rPr>
          <w:rFonts w:ascii="Times New Roman" w:eastAsia="等线" w:hAnsi="Times New Roman" w:cs="Times New Roman"/>
          <w:b/>
          <w:bCs/>
          <w:sz w:val="20"/>
          <w:szCs w:val="20"/>
        </w:rPr>
      </w:pPr>
      <w:r w:rsidRPr="00D832EB">
        <w:rPr>
          <w:rFonts w:ascii="Times New Roman" w:eastAsia="等线" w:hAnsi="Times New Roman" w:cs="Times New Roman"/>
          <w:b/>
          <w:bCs/>
          <w:sz w:val="20"/>
          <w:szCs w:val="20"/>
        </w:rPr>
        <w:t>References:</w:t>
      </w:r>
    </w:p>
    <w:p w14:paraId="6E08710E" w14:textId="77777777" w:rsidR="00CA1AF8" w:rsidRPr="00D832EB" w:rsidRDefault="000F7088" w:rsidP="008131CA">
      <w:pPr>
        <w:spacing w:line="360" w:lineRule="auto"/>
        <w:ind w:left="720" w:hanging="720"/>
        <w:jc w:val="left"/>
        <w:rPr>
          <w:rFonts w:ascii="Times New Roman" w:eastAsia="等线" w:hAnsi="Times New Roman" w:cs="Times New Roman"/>
          <w:sz w:val="20"/>
          <w:szCs w:val="20"/>
        </w:rPr>
      </w:pPr>
      <w:r w:rsidRPr="00D832EB">
        <w:rPr>
          <w:rFonts w:ascii="Times New Roman" w:eastAsia="等线" w:hAnsi="Times New Roman" w:cs="Times New Roman"/>
          <w:sz w:val="20"/>
          <w:szCs w:val="20"/>
        </w:rPr>
        <w:t>1.</w:t>
      </w:r>
      <w:r w:rsidRPr="00D832EB">
        <w:rPr>
          <w:rFonts w:ascii="Times New Roman" w:eastAsia="等线" w:hAnsi="Times New Roman" w:cs="Times New Roman"/>
          <w:sz w:val="20"/>
          <w:szCs w:val="20"/>
        </w:rPr>
        <w:tab/>
      </w:r>
      <w:r w:rsidRPr="00D832EB">
        <w:rPr>
          <w:rFonts w:ascii="Times New Roman" w:eastAsia="等线" w:hAnsi="Times New Roman" w:cs="Times New Roman"/>
          <w:sz w:val="20"/>
          <w:szCs w:val="20"/>
        </w:rPr>
        <w:t>Park JC, Sim MA, Lee C et al. Gut microbiota and brain-resident CD4(+) T cells shape behavioral outcomes in autism spectrum disorder. Nature communications 2025; 16: 6422. DOI: 10.1038/s41467-025-61544-0</w:t>
      </w:r>
    </w:p>
    <w:p w14:paraId="54E6258A" w14:textId="77777777" w:rsidR="00CA1AF8" w:rsidRPr="00D832EB" w:rsidRDefault="000F7088" w:rsidP="008131CA">
      <w:pPr>
        <w:spacing w:line="360" w:lineRule="auto"/>
        <w:ind w:left="720" w:hanging="720"/>
        <w:jc w:val="left"/>
        <w:rPr>
          <w:rFonts w:ascii="Times New Roman" w:eastAsia="等线" w:hAnsi="Times New Roman" w:cs="Times New Roman"/>
          <w:sz w:val="20"/>
          <w:szCs w:val="20"/>
        </w:rPr>
      </w:pPr>
      <w:r w:rsidRPr="00D832EB">
        <w:rPr>
          <w:rFonts w:ascii="Times New Roman" w:eastAsia="等线" w:hAnsi="Times New Roman" w:cs="Times New Roman"/>
          <w:sz w:val="20"/>
          <w:szCs w:val="20"/>
        </w:rPr>
        <w:t>2.</w:t>
      </w:r>
      <w:r w:rsidRPr="00D832EB">
        <w:rPr>
          <w:rFonts w:ascii="Times New Roman" w:eastAsia="等线" w:hAnsi="Times New Roman" w:cs="Times New Roman"/>
          <w:sz w:val="20"/>
          <w:szCs w:val="20"/>
        </w:rPr>
        <w:tab/>
        <w:t>Sharghi S, Flunkert S, Daurer M et al. Evaluating the effect of R-Baclofen and LP-211 on autistic behavior of the BTBR and Fmr1-KO mouse models. Frontiers in neuroscience 2023; 17: 1087788. DOI: 10.3389/fnins.2023.1087788</w:t>
      </w:r>
    </w:p>
    <w:p w14:paraId="1C3AF7ED" w14:textId="77777777" w:rsidR="00CA1AF8" w:rsidRDefault="000F7088" w:rsidP="008131CA">
      <w:pPr>
        <w:spacing w:line="360" w:lineRule="auto"/>
        <w:ind w:left="720" w:hanging="720"/>
        <w:jc w:val="left"/>
        <w:rPr>
          <w:rFonts w:ascii="Times New Roman" w:eastAsia="等线" w:hAnsi="Times New Roman" w:cs="Times New Roman"/>
          <w:sz w:val="20"/>
          <w:szCs w:val="20"/>
        </w:rPr>
      </w:pPr>
      <w:r w:rsidRPr="00D832EB">
        <w:rPr>
          <w:rFonts w:ascii="Times New Roman" w:eastAsia="等线" w:hAnsi="Times New Roman" w:cs="Times New Roman"/>
          <w:sz w:val="20"/>
          <w:szCs w:val="20"/>
        </w:rPr>
        <w:t>3.</w:t>
      </w:r>
      <w:r w:rsidRPr="00D832EB">
        <w:rPr>
          <w:rFonts w:ascii="Times New Roman" w:eastAsia="等线" w:hAnsi="Times New Roman" w:cs="Times New Roman"/>
          <w:sz w:val="20"/>
          <w:szCs w:val="20"/>
        </w:rPr>
        <w:tab/>
        <w:t>Eissa N, Alwattar</w:t>
      </w:r>
      <w:r w:rsidRPr="00D832EB">
        <w:rPr>
          <w:rFonts w:ascii="Times New Roman" w:eastAsia="等线" w:hAnsi="Times New Roman" w:cs="Times New Roman"/>
          <w:sz w:val="20"/>
          <w:szCs w:val="20"/>
        </w:rPr>
        <w:t xml:space="preserve"> JK, Jayaprakash P et al. The Effects of Novel Thymoquinone-Loaded Nanovesicles as a Promising Avenue to Modulate Autism Associated Dysregulation by Restoring Oxidative Stress in Autism in Mice. International journal of nanomedicine 2025; 20: 8041-8061. DOI: 10.2147/ijn.S509158</w:t>
      </w:r>
    </w:p>
    <w:p w14:paraId="1D45FBF1" w14:textId="77777777" w:rsidR="001B2BF3" w:rsidRDefault="001B2BF3" w:rsidP="00D832EB">
      <w:pPr>
        <w:ind w:left="720" w:hanging="720"/>
        <w:jc w:val="left"/>
        <w:rPr>
          <w:rFonts w:ascii="Times New Roman" w:eastAsia="等线" w:hAnsi="Times New Roman" w:cs="Times New Roman"/>
          <w:sz w:val="20"/>
          <w:szCs w:val="20"/>
        </w:rPr>
      </w:pPr>
    </w:p>
    <w:p w14:paraId="20DF12E9" w14:textId="77777777" w:rsidR="001B2BF3" w:rsidRDefault="001B2BF3" w:rsidP="003D3A77">
      <w:pPr>
        <w:spacing w:line="480" w:lineRule="auto"/>
        <w:ind w:left="720" w:hanging="720"/>
        <w:jc w:val="left"/>
        <w:rPr>
          <w:rFonts w:ascii="Times New Roman" w:eastAsia="等线" w:hAnsi="Times New Roman" w:cs="Times New Roman"/>
          <w:sz w:val="20"/>
          <w:szCs w:val="20"/>
        </w:rPr>
      </w:pPr>
    </w:p>
    <w:p w14:paraId="28E53DA0" w14:textId="77777777" w:rsidR="001B2BF3" w:rsidRDefault="001B2BF3" w:rsidP="003D3A77">
      <w:pPr>
        <w:spacing w:line="480" w:lineRule="auto"/>
        <w:ind w:left="720" w:hanging="720"/>
        <w:jc w:val="left"/>
        <w:rPr>
          <w:rFonts w:ascii="Times New Roman" w:eastAsia="等线" w:hAnsi="Times New Roman" w:cs="Times New Roman"/>
          <w:sz w:val="20"/>
          <w:szCs w:val="20"/>
        </w:rPr>
      </w:pPr>
    </w:p>
    <w:p w14:paraId="7D79F9D0" w14:textId="5D0227E4" w:rsidR="00286F7C" w:rsidRPr="00286F7C" w:rsidRDefault="00286F7C" w:rsidP="003D3A77">
      <w:pPr>
        <w:pStyle w:val="a9"/>
        <w:spacing w:line="480" w:lineRule="auto"/>
        <w:jc w:val="both"/>
        <w:rPr>
          <w:rFonts w:ascii="Times New Roman" w:hAnsi="Times New Roman" w:cs="Times New Roman"/>
          <w:sz w:val="22"/>
          <w:szCs w:val="22"/>
        </w:rPr>
      </w:pPr>
      <w:r w:rsidRPr="00BB6408">
        <w:rPr>
          <w:rFonts w:ascii="Times New Roman" w:eastAsia="Times New Roman" w:hAnsi="Times New Roman"/>
          <w:b/>
          <w:bCs/>
          <w:sz w:val="22"/>
        </w:rPr>
        <w:lastRenderedPageBreak/>
        <w:t xml:space="preserve">Supplementary Figure 1. Additional between-group comparisons of regional MAP-MRI metrics. </w:t>
      </w:r>
      <w:r>
        <w:rPr>
          <w:rFonts w:ascii="Times New Roman" w:eastAsia="Times New Roman" w:hAnsi="Times New Roman"/>
          <w:sz w:val="22"/>
        </w:rPr>
        <w:t>(A–F) Heatmaps and accompanying regional plots showing additional between-group comparisons of MAP-MRI metrics across 68 brain regions in TD, ASD-nANX, and ASD-ANX. Panels include the supplementary MAP-MRI parameters not shown in the main figure, including NGRad, RTOP, RTPP, QIV, and the additional parameters displayed in the corresponding panels. Multiple comparisons were controlled using FDR correction. Regions with significant post hoc group differences are detailed in Supplementary Table S1; parameters without significant group differences are summarized in Supplementary Table S3.</w:t>
      </w:r>
    </w:p>
    <w:p w14:paraId="387D4692" w14:textId="1E238F3C" w:rsidR="00AE303F" w:rsidRPr="00BB6408" w:rsidRDefault="00286F7C" w:rsidP="003D3A77">
      <w:pPr>
        <w:pStyle w:val="a9"/>
        <w:spacing w:line="480" w:lineRule="auto"/>
        <w:jc w:val="both"/>
        <w:rPr>
          <w:rFonts w:ascii="Times New Roman" w:eastAsiaTheme="minorEastAsia" w:hAnsi="Times New Roman"/>
          <w:sz w:val="22"/>
        </w:rPr>
      </w:pPr>
      <w:r w:rsidRPr="00B54942">
        <w:rPr>
          <w:rFonts w:ascii="Times New Roman" w:eastAsia="Times New Roman" w:hAnsi="Times New Roman"/>
          <w:b/>
          <w:bCs/>
          <w:sz w:val="22"/>
        </w:rPr>
        <w:t xml:space="preserve">Supplementary Figure 2. </w:t>
      </w:r>
      <w:r w:rsidR="00B54942" w:rsidRPr="00B54942">
        <w:rPr>
          <w:rFonts w:ascii="Times New Roman" w:eastAsiaTheme="minorEastAsia" w:hAnsi="Times New Roman" w:hint="eastAsia"/>
          <w:b/>
          <w:bCs/>
          <w:sz w:val="22"/>
        </w:rPr>
        <w:t>C</w:t>
      </w:r>
      <w:r w:rsidR="00BB6408" w:rsidRPr="00286F7C">
        <w:rPr>
          <w:rStyle w:val="aa"/>
          <w:rFonts w:ascii="Times New Roman" w:hAnsi="Times New Roman" w:cs="Times New Roman"/>
          <w:sz w:val="22"/>
          <w:szCs w:val="22"/>
        </w:rPr>
        <w:t xml:space="preserve">orrelations between biochemical </w:t>
      </w:r>
      <w:r w:rsidR="00B54942" w:rsidRPr="00B54942">
        <w:rPr>
          <w:rStyle w:val="aa"/>
          <w:rFonts w:ascii="Times New Roman" w:hAnsi="Times New Roman"/>
          <w:sz w:val="22"/>
        </w:rPr>
        <w:t>metrics</w:t>
      </w:r>
      <w:r w:rsidR="00B54942" w:rsidRPr="00286F7C">
        <w:rPr>
          <w:rStyle w:val="aa"/>
          <w:rFonts w:ascii="Times New Roman" w:hAnsi="Times New Roman" w:cs="Times New Roman"/>
          <w:sz w:val="22"/>
          <w:szCs w:val="22"/>
        </w:rPr>
        <w:t xml:space="preserve"> </w:t>
      </w:r>
      <w:r w:rsidR="00BB6408" w:rsidRPr="00286F7C">
        <w:rPr>
          <w:rStyle w:val="aa"/>
          <w:rFonts w:ascii="Times New Roman" w:hAnsi="Times New Roman" w:cs="Times New Roman"/>
          <w:sz w:val="22"/>
          <w:szCs w:val="22"/>
        </w:rPr>
        <w:t>in ASD-ANX.</w:t>
      </w:r>
      <w:r w:rsidR="00BB6408">
        <w:rPr>
          <w:rFonts w:ascii="Times New Roman" w:eastAsiaTheme="minorEastAsia" w:hAnsi="Times New Roman" w:hint="eastAsia"/>
          <w:sz w:val="22"/>
        </w:rPr>
        <w:t xml:space="preserve"> </w:t>
      </w:r>
      <w:r w:rsidR="00AE303F" w:rsidRPr="00BB6408">
        <w:rPr>
          <w:rFonts w:ascii="Times New Roman" w:eastAsia="Times New Roman" w:hAnsi="Times New Roman"/>
          <w:sz w:val="22"/>
        </w:rPr>
        <w:t>(</w:t>
      </w:r>
      <w:r w:rsidR="00AE303F" w:rsidRPr="00BB6408">
        <w:rPr>
          <w:rFonts w:ascii="Times New Roman" w:eastAsiaTheme="minorEastAsia" w:hAnsi="Times New Roman" w:hint="eastAsia"/>
          <w:sz w:val="22"/>
        </w:rPr>
        <w:t>A</w:t>
      </w:r>
      <w:r w:rsidR="00AE303F" w:rsidRPr="00BB6408">
        <w:rPr>
          <w:rFonts w:ascii="Times New Roman" w:eastAsia="Times New Roman" w:hAnsi="Times New Roman"/>
          <w:sz w:val="22"/>
        </w:rPr>
        <w:t>–</w:t>
      </w:r>
      <w:r w:rsidR="00AE303F" w:rsidRPr="00BB6408">
        <w:rPr>
          <w:rFonts w:ascii="Times New Roman" w:eastAsiaTheme="minorEastAsia" w:hAnsi="Times New Roman" w:hint="eastAsia"/>
          <w:sz w:val="22"/>
        </w:rPr>
        <w:t>D</w:t>
      </w:r>
      <w:r w:rsidR="00AE303F" w:rsidRPr="00BB6408">
        <w:rPr>
          <w:rFonts w:ascii="Times New Roman" w:eastAsia="Times New Roman" w:hAnsi="Times New Roman"/>
          <w:sz w:val="22"/>
        </w:rPr>
        <w:t>) Scatter plots showing the associations of serum iron (Fe) and blood lead with thyroid-related measures in the ASD-ANX group: Fe versus free triiodothyronine (FT3) and free thyroxine (</w:t>
      </w:r>
      <w:r w:rsidR="00AE303F" w:rsidRPr="00BB6408">
        <w:rPr>
          <w:rFonts w:ascii="Times New Roman" w:eastAsiaTheme="minorEastAsia" w:hAnsi="Times New Roman" w:hint="eastAsia"/>
          <w:sz w:val="22"/>
        </w:rPr>
        <w:t>T</w:t>
      </w:r>
      <w:r w:rsidR="00AE303F" w:rsidRPr="00BB6408">
        <w:rPr>
          <w:rFonts w:ascii="Times New Roman" w:eastAsia="Times New Roman" w:hAnsi="Times New Roman"/>
          <w:sz w:val="22"/>
        </w:rPr>
        <w:t>T4) (</w:t>
      </w:r>
      <w:r w:rsidR="00AE303F" w:rsidRPr="00BB6408">
        <w:rPr>
          <w:rFonts w:ascii="Times New Roman" w:eastAsiaTheme="minorEastAsia" w:hAnsi="Times New Roman" w:hint="eastAsia"/>
          <w:sz w:val="22"/>
        </w:rPr>
        <w:t>A</w:t>
      </w:r>
      <w:r w:rsidR="00AE303F" w:rsidRPr="00BB6408">
        <w:rPr>
          <w:rFonts w:ascii="Times New Roman" w:eastAsia="Times New Roman" w:hAnsi="Times New Roman"/>
          <w:sz w:val="22"/>
        </w:rPr>
        <w:t>), Fe versus thyroid-stimulating hormone (TSH) (</w:t>
      </w:r>
      <w:r w:rsidR="00AE303F" w:rsidRPr="00BB6408">
        <w:rPr>
          <w:rFonts w:ascii="Times New Roman" w:eastAsiaTheme="minorEastAsia" w:hAnsi="Times New Roman" w:hint="eastAsia"/>
          <w:sz w:val="22"/>
        </w:rPr>
        <w:t>B</w:t>
      </w:r>
      <w:r w:rsidR="00AE303F" w:rsidRPr="00BB6408">
        <w:rPr>
          <w:rFonts w:ascii="Times New Roman" w:eastAsia="Times New Roman" w:hAnsi="Times New Roman"/>
          <w:sz w:val="22"/>
        </w:rPr>
        <w:t>), blood lead versus FT3 (</w:t>
      </w:r>
      <w:r w:rsidR="00AE303F" w:rsidRPr="00BB6408">
        <w:rPr>
          <w:rFonts w:ascii="Times New Roman" w:eastAsiaTheme="minorEastAsia" w:hAnsi="Times New Roman" w:hint="eastAsia"/>
          <w:sz w:val="22"/>
        </w:rPr>
        <w:t>C</w:t>
      </w:r>
      <w:r w:rsidR="00AE303F" w:rsidRPr="00BB6408">
        <w:rPr>
          <w:rFonts w:ascii="Times New Roman" w:eastAsia="Times New Roman" w:hAnsi="Times New Roman"/>
          <w:sz w:val="22"/>
        </w:rPr>
        <w:t xml:space="preserve">), and blood lead versus </w:t>
      </w:r>
      <w:r w:rsidR="00AE303F" w:rsidRPr="00BB6408">
        <w:rPr>
          <w:rFonts w:ascii="Times New Roman" w:eastAsiaTheme="minorEastAsia" w:hAnsi="Times New Roman" w:hint="eastAsia"/>
          <w:sz w:val="22"/>
        </w:rPr>
        <w:t>T</w:t>
      </w:r>
      <w:r w:rsidR="00AE303F" w:rsidRPr="00BB6408">
        <w:rPr>
          <w:rFonts w:ascii="Times New Roman" w:eastAsia="Times New Roman" w:hAnsi="Times New Roman"/>
          <w:sz w:val="22"/>
        </w:rPr>
        <w:t>T4 (</w:t>
      </w:r>
      <w:r w:rsidR="00AE303F" w:rsidRPr="00BB6408">
        <w:rPr>
          <w:rFonts w:ascii="Times New Roman" w:eastAsiaTheme="minorEastAsia" w:hAnsi="Times New Roman" w:hint="eastAsia"/>
          <w:sz w:val="22"/>
        </w:rPr>
        <w:t>D</w:t>
      </w:r>
      <w:r w:rsidR="00AE303F" w:rsidRPr="00BB6408">
        <w:rPr>
          <w:rFonts w:ascii="Times New Roman" w:eastAsia="Times New Roman" w:hAnsi="Times New Roman"/>
          <w:sz w:val="22"/>
        </w:rPr>
        <w:t xml:space="preserve">). </w:t>
      </w:r>
    </w:p>
    <w:p w14:paraId="26EB89F0" w14:textId="50FD48B5" w:rsidR="00B54942" w:rsidRDefault="00AE303F" w:rsidP="003D3A77">
      <w:pPr>
        <w:pStyle w:val="a9"/>
        <w:spacing w:line="480" w:lineRule="auto"/>
        <w:jc w:val="both"/>
        <w:rPr>
          <w:rFonts w:ascii="Times New Roman" w:hAnsi="Times New Roman" w:cs="Times New Roman"/>
          <w:sz w:val="22"/>
          <w:szCs w:val="22"/>
        </w:rPr>
      </w:pPr>
      <w:r w:rsidRPr="00B54942">
        <w:rPr>
          <w:rFonts w:ascii="Times New Roman" w:eastAsia="Times New Roman" w:hAnsi="Times New Roman"/>
          <w:b/>
          <w:bCs/>
          <w:sz w:val="22"/>
        </w:rPr>
        <w:t xml:space="preserve">Supplementary Figure 3. </w:t>
      </w:r>
      <w:r w:rsidR="00B54942" w:rsidRPr="00286F7C">
        <w:rPr>
          <w:rStyle w:val="aa"/>
          <w:rFonts w:ascii="Times New Roman" w:hAnsi="Times New Roman" w:cs="Times New Roman"/>
          <w:sz w:val="22"/>
          <w:szCs w:val="22"/>
        </w:rPr>
        <w:t>Additional correlations between biochemical measures and regional MAP-MRI metrics in ASD-ANX.</w:t>
      </w:r>
      <w:r w:rsidR="00B54942">
        <w:rPr>
          <w:rStyle w:val="aa"/>
          <w:rFonts w:ascii="Times New Roman" w:hAnsi="Times New Roman" w:cs="Times New Roman" w:hint="eastAsia"/>
          <w:sz w:val="22"/>
          <w:szCs w:val="22"/>
        </w:rPr>
        <w:t xml:space="preserve"> </w:t>
      </w:r>
      <w:r w:rsidR="00B54942" w:rsidRPr="00286F7C">
        <w:rPr>
          <w:rFonts w:ascii="Times New Roman" w:hAnsi="Times New Roman" w:cs="Times New Roman"/>
          <w:sz w:val="22"/>
          <w:szCs w:val="22"/>
        </w:rPr>
        <w:t>(A–E) Heatmaps of age- and sex-adjusted partial correlations between biochemical measures and supplementary MAP-MRI metrics in the ASD-ANX group. Panels show the correlations of Fe, Pb, FT3, FT4, and TSH with the MAP-MRI parameters not displayed in Figure 2G and 2H, in brain regions showing significant group effects. P values were corrected for multiple testing using FDR correction. Corresponding correlation coefficients and adjusted P values are provided in Supplementary Tables S</w:t>
      </w:r>
      <w:r w:rsidR="00B54942">
        <w:rPr>
          <w:rFonts w:ascii="Times New Roman" w:hAnsi="Times New Roman" w:cs="Times New Roman" w:hint="eastAsia"/>
          <w:sz w:val="22"/>
          <w:szCs w:val="22"/>
        </w:rPr>
        <w:t>6</w:t>
      </w:r>
      <w:r w:rsidR="00B54942" w:rsidRPr="00286F7C">
        <w:rPr>
          <w:rFonts w:ascii="Times New Roman" w:hAnsi="Times New Roman" w:cs="Times New Roman"/>
          <w:sz w:val="22"/>
          <w:szCs w:val="22"/>
        </w:rPr>
        <w:t xml:space="preserve"> and S</w:t>
      </w:r>
      <w:r w:rsidR="00B54942">
        <w:rPr>
          <w:rFonts w:ascii="Times New Roman" w:hAnsi="Times New Roman" w:cs="Times New Roman" w:hint="eastAsia"/>
          <w:sz w:val="22"/>
          <w:szCs w:val="22"/>
        </w:rPr>
        <w:t>7</w:t>
      </w:r>
      <w:r w:rsidR="00B54942" w:rsidRPr="00286F7C">
        <w:rPr>
          <w:rFonts w:ascii="Times New Roman" w:hAnsi="Times New Roman" w:cs="Times New Roman"/>
          <w:sz w:val="22"/>
          <w:szCs w:val="22"/>
        </w:rPr>
        <w:t>.</w:t>
      </w:r>
    </w:p>
    <w:p w14:paraId="405F69E1" w14:textId="41CB2D4B" w:rsidR="00B54942" w:rsidRPr="00B54942" w:rsidRDefault="00B54942" w:rsidP="00B54942">
      <w:pPr>
        <w:pStyle w:val="a9"/>
        <w:spacing w:line="480" w:lineRule="auto"/>
        <w:jc w:val="both"/>
        <w:rPr>
          <w:rFonts w:ascii="Times New Roman" w:eastAsiaTheme="minorEastAsia" w:hAnsi="Times New Roman"/>
          <w:sz w:val="22"/>
        </w:rPr>
      </w:pPr>
      <w:r w:rsidRPr="00286F7C">
        <w:rPr>
          <w:rStyle w:val="aa"/>
          <w:rFonts w:ascii="Times New Roman" w:hAnsi="Times New Roman" w:cs="Times New Roman"/>
          <w:sz w:val="22"/>
          <w:szCs w:val="22"/>
        </w:rPr>
        <w:lastRenderedPageBreak/>
        <w:t xml:space="preserve">Supplementary Figure </w:t>
      </w:r>
      <w:r>
        <w:rPr>
          <w:rStyle w:val="aa"/>
          <w:rFonts w:ascii="Times New Roman" w:hAnsi="Times New Roman" w:cs="Times New Roman" w:hint="eastAsia"/>
          <w:sz w:val="22"/>
          <w:szCs w:val="22"/>
        </w:rPr>
        <w:t>4</w:t>
      </w:r>
      <w:r w:rsidRPr="00286F7C">
        <w:rPr>
          <w:rStyle w:val="aa"/>
          <w:rFonts w:ascii="Times New Roman" w:hAnsi="Times New Roman" w:cs="Times New Roman"/>
          <w:sz w:val="22"/>
          <w:szCs w:val="22"/>
        </w:rPr>
        <w:t>. Cross-sectional statistical mediation models linking blood lead, FT3, and amygdala MAP-MRI metrics in ASD-ANX.</w:t>
      </w:r>
      <w:r w:rsidRPr="00B54942">
        <w:rPr>
          <w:rFonts w:ascii="Times New Roman" w:eastAsia="Times New Roman" w:hAnsi="Times New Roman"/>
          <w:sz w:val="22"/>
        </w:rPr>
        <w:t xml:space="preserve"> Panels A and B show the left- and right-amygdala NGAx models, respectively.</w:t>
      </w:r>
      <w:r>
        <w:rPr>
          <w:rFonts w:ascii="Times New Roman" w:eastAsiaTheme="minorEastAsia" w:hAnsi="Times New Roman" w:hint="eastAsia"/>
          <w:sz w:val="22"/>
        </w:rPr>
        <w:t xml:space="preserve"> </w:t>
      </w:r>
      <w:r w:rsidRPr="00B54942">
        <w:rPr>
          <w:rFonts w:ascii="Times New Roman" w:eastAsia="Times New Roman" w:hAnsi="Times New Roman"/>
          <w:sz w:val="22"/>
        </w:rPr>
        <w:t>Standardized estimates are shown for the indirect effect (a*b), the direct effect (c′), and the total effect (c), together with 95% confidence intervals for the indirect effect. These models are presented as cross-sectional statistical mediation analyses and do not imply causality.</w:t>
      </w:r>
    </w:p>
    <w:p w14:paraId="39FE1703" w14:textId="3226D75B" w:rsidR="00D17799" w:rsidRPr="006D482B" w:rsidRDefault="006D482B" w:rsidP="00D17799">
      <w:pPr>
        <w:pStyle w:val="a9"/>
        <w:spacing w:line="480" w:lineRule="auto"/>
        <w:rPr>
          <w:rStyle w:val="aa"/>
          <w:rFonts w:ascii="Times New Roman" w:hAnsi="Times New Roman" w:cs="Times New Roman"/>
          <w:b w:val="0"/>
          <w:bCs w:val="0"/>
          <w:sz w:val="22"/>
          <w:szCs w:val="22"/>
        </w:rPr>
      </w:pPr>
      <w:r w:rsidRPr="00B54942">
        <w:rPr>
          <w:rFonts w:ascii="Times New Roman" w:eastAsia="Times New Roman" w:hAnsi="Times New Roman"/>
          <w:b/>
          <w:bCs/>
          <w:sz w:val="22"/>
        </w:rPr>
        <w:t xml:space="preserve">Supplementary Figure </w:t>
      </w:r>
      <w:r w:rsidR="00AE303F" w:rsidRPr="00B54942">
        <w:rPr>
          <w:rFonts w:ascii="Times New Roman" w:eastAsiaTheme="minorEastAsia" w:hAnsi="Times New Roman" w:hint="eastAsia"/>
          <w:b/>
          <w:bCs/>
          <w:sz w:val="22"/>
        </w:rPr>
        <w:t>5</w:t>
      </w:r>
      <w:r w:rsidRPr="00B54942">
        <w:rPr>
          <w:rFonts w:ascii="Times New Roman" w:eastAsia="Times New Roman" w:hAnsi="Times New Roman"/>
          <w:b/>
          <w:bCs/>
          <w:sz w:val="22"/>
        </w:rPr>
        <w:t>. Independent exploratory glycine silver staining of amygdala nerve fibres</w:t>
      </w:r>
      <w:r w:rsidR="00D17799" w:rsidRPr="00D17799">
        <w:rPr>
          <w:rStyle w:val="aa"/>
          <w:rFonts w:ascii="Times New Roman" w:hAnsi="Times New Roman" w:cs="Times New Roman"/>
          <w:sz w:val="22"/>
          <w:szCs w:val="22"/>
        </w:rPr>
        <w:t xml:space="preserve"> </w:t>
      </w:r>
      <w:r w:rsidR="00D17799" w:rsidRPr="006D482B">
        <w:rPr>
          <w:rStyle w:val="aa"/>
          <w:rFonts w:ascii="Times New Roman" w:hAnsi="Times New Roman" w:cs="Times New Roman"/>
          <w:sz w:val="22"/>
          <w:szCs w:val="22"/>
        </w:rPr>
        <w:t xml:space="preserve">in BTBR mice. </w:t>
      </w:r>
      <w:r w:rsidR="00D17799" w:rsidRPr="006D482B">
        <w:rPr>
          <w:rStyle w:val="aa"/>
          <w:rFonts w:ascii="Times New Roman" w:hAnsi="Times New Roman" w:cs="Times New Roman"/>
          <w:b w:val="0"/>
          <w:bCs w:val="0"/>
          <w:sz w:val="22"/>
          <w:szCs w:val="22"/>
        </w:rPr>
        <w:t>Representative glycine silver staining images and quantitative analysis of the relative nerve fiber area in the amygdala of C57BL/6J control mice (C57), BTBR nANX-like mice, and BTBR ANX-like mice. Dark brown to black fibers indicate stained nerve fibers. Quantification was performed as stained fiber area divided by total field area in three non-overlapping high-power fields per animal. Data are presented as mean ± SEM. Statistical analyses were performed using one-way ANOVA with FDR correction.</w:t>
      </w:r>
    </w:p>
    <w:p w14:paraId="196F51C0" w14:textId="63C5B111" w:rsidR="000724A5" w:rsidRDefault="006D482B" w:rsidP="00D17799">
      <w:pPr>
        <w:pStyle w:val="a9"/>
        <w:spacing w:line="480" w:lineRule="auto"/>
        <w:jc w:val="both"/>
        <w:rPr>
          <w:rStyle w:val="aa"/>
          <w:rFonts w:ascii="Times New Roman" w:hAnsi="Times New Roman" w:cs="Times New Roman"/>
          <w:b w:val="0"/>
          <w:bCs w:val="0"/>
          <w:sz w:val="22"/>
          <w:szCs w:val="22"/>
        </w:rPr>
      </w:pPr>
      <w:r w:rsidRPr="006D482B">
        <w:rPr>
          <w:rStyle w:val="aa"/>
          <w:rFonts w:ascii="Times New Roman" w:hAnsi="Times New Roman" w:cs="Times New Roman"/>
          <w:b w:val="0"/>
          <w:bCs w:val="0"/>
          <w:sz w:val="22"/>
          <w:szCs w:val="22"/>
        </w:rPr>
        <w:t>Abbreviations: BTBR ANX-like, BTBR mice classified as anxiety-positive; BTBR nANX-like, BTBR mice classified as anxiety-negative.</w:t>
      </w:r>
    </w:p>
    <w:p w14:paraId="3641DCE6" w14:textId="77777777" w:rsidR="000724A5" w:rsidRDefault="000724A5" w:rsidP="00845065">
      <w:pPr>
        <w:pStyle w:val="a9"/>
        <w:spacing w:line="480" w:lineRule="auto"/>
        <w:rPr>
          <w:rStyle w:val="aa"/>
          <w:rFonts w:ascii="Times New Roman" w:hAnsi="Times New Roman" w:cs="Times New Roman"/>
          <w:b w:val="0"/>
          <w:bCs w:val="0"/>
          <w:sz w:val="22"/>
          <w:szCs w:val="22"/>
        </w:rPr>
      </w:pPr>
    </w:p>
    <w:p w14:paraId="2214A3B7" w14:textId="77777777" w:rsidR="000724A5" w:rsidRPr="00D17799" w:rsidRDefault="000724A5" w:rsidP="00D17799">
      <w:pPr>
        <w:pStyle w:val="EndNoteBibliography"/>
        <w:spacing w:line="360" w:lineRule="auto"/>
        <w:ind w:left="720" w:hanging="720"/>
        <w:rPr>
          <w:rFonts w:ascii="Times New Roman" w:hAnsi="Times New Roman" w:cs="Times New Roman"/>
          <w:noProof/>
        </w:rPr>
      </w:pPr>
      <w:r w:rsidRPr="00D17799">
        <w:rPr>
          <w:rFonts w:ascii="Times New Roman" w:hAnsi="Times New Roman" w:cs="Times New Roman"/>
          <w:sz w:val="22"/>
          <w:szCs w:val="22"/>
        </w:rPr>
        <w:fldChar w:fldCharType="begin"/>
      </w:r>
      <w:r w:rsidRPr="00D17799">
        <w:rPr>
          <w:rFonts w:ascii="Times New Roman" w:hAnsi="Times New Roman" w:cs="Times New Roman"/>
          <w:sz w:val="22"/>
          <w:szCs w:val="22"/>
        </w:rPr>
        <w:instrText xml:space="preserve"> ADDIN EN.REFLIST </w:instrText>
      </w:r>
      <w:r w:rsidRPr="00D17799">
        <w:rPr>
          <w:rFonts w:ascii="Times New Roman" w:hAnsi="Times New Roman" w:cs="Times New Roman"/>
          <w:sz w:val="22"/>
          <w:szCs w:val="22"/>
        </w:rPr>
        <w:fldChar w:fldCharType="separate"/>
      </w:r>
      <w:r w:rsidRPr="00D17799">
        <w:rPr>
          <w:rFonts w:ascii="Times New Roman" w:hAnsi="Times New Roman" w:cs="Times New Roman"/>
          <w:noProof/>
        </w:rPr>
        <w:t>1.</w:t>
      </w:r>
      <w:r w:rsidRPr="00D17799">
        <w:rPr>
          <w:rFonts w:ascii="Times New Roman" w:hAnsi="Times New Roman" w:cs="Times New Roman"/>
          <w:noProof/>
        </w:rPr>
        <w:tab/>
        <w:t>Park JC, Sim MA, Lee C et al. Gut microbiota and brain-resident CD4(+) T cells shape behavioral outcomes in autism spectrum disorder. Nature communications 2025; 16: 6422. DOI: 10.1038/s41467-025-61544-0</w:t>
      </w:r>
    </w:p>
    <w:p w14:paraId="34DDC6DD" w14:textId="77777777" w:rsidR="000724A5" w:rsidRPr="00D17799" w:rsidRDefault="000724A5" w:rsidP="00D17799">
      <w:pPr>
        <w:pStyle w:val="EndNoteBibliography"/>
        <w:spacing w:line="360" w:lineRule="auto"/>
        <w:ind w:left="720" w:hanging="720"/>
        <w:rPr>
          <w:rFonts w:ascii="Times New Roman" w:hAnsi="Times New Roman" w:cs="Times New Roman"/>
          <w:noProof/>
        </w:rPr>
      </w:pPr>
      <w:r w:rsidRPr="00D17799">
        <w:rPr>
          <w:rFonts w:ascii="Times New Roman" w:hAnsi="Times New Roman" w:cs="Times New Roman"/>
          <w:noProof/>
        </w:rPr>
        <w:t>2.</w:t>
      </w:r>
      <w:r w:rsidRPr="00D17799">
        <w:rPr>
          <w:rFonts w:ascii="Times New Roman" w:hAnsi="Times New Roman" w:cs="Times New Roman"/>
          <w:noProof/>
        </w:rPr>
        <w:tab/>
        <w:t>Sharghi S, Flunkert S, Daurer M et al. Evaluating the effect of R-Baclofen and LP-211 on autistic behavior of the BTBR and Fmr1-KO mouse models. Front Neurosci 2023; 17: 1087788. DOI: 10.3389/fnins.2023.1087788</w:t>
      </w:r>
    </w:p>
    <w:p w14:paraId="645D1C11" w14:textId="77777777" w:rsidR="000724A5" w:rsidRPr="00D17799" w:rsidRDefault="000724A5" w:rsidP="00D17799">
      <w:pPr>
        <w:pStyle w:val="EndNoteBibliography"/>
        <w:spacing w:line="360" w:lineRule="auto"/>
        <w:ind w:left="720" w:hanging="720"/>
        <w:rPr>
          <w:rFonts w:ascii="Times New Roman" w:hAnsi="Times New Roman" w:cs="Times New Roman"/>
          <w:noProof/>
        </w:rPr>
      </w:pPr>
      <w:r w:rsidRPr="00D17799">
        <w:rPr>
          <w:rFonts w:ascii="Times New Roman" w:hAnsi="Times New Roman" w:cs="Times New Roman"/>
          <w:noProof/>
        </w:rPr>
        <w:lastRenderedPageBreak/>
        <w:t>3.</w:t>
      </w:r>
      <w:r w:rsidRPr="00D17799">
        <w:rPr>
          <w:rFonts w:ascii="Times New Roman" w:hAnsi="Times New Roman" w:cs="Times New Roman"/>
          <w:noProof/>
        </w:rPr>
        <w:tab/>
        <w:t>Eissa N, Alwattar JK, Jayaprakash P et al. The Effects of Novel Thymoquinone-Loaded Nanovesicles as a Promising Avenue to Modulate Autism Associated Dysregulation by Restoring Oxidative Stress in Autism in Mice. Int J Nanomedicine 2025; 20: 8041–8061. DOI: 10.2147/ijn.S509158</w:t>
      </w:r>
    </w:p>
    <w:p w14:paraId="1930E5E2" w14:textId="41CCAEDD" w:rsidR="006D482B" w:rsidRPr="00D17799" w:rsidRDefault="000724A5" w:rsidP="00D17799">
      <w:pPr>
        <w:pStyle w:val="a9"/>
        <w:spacing w:line="360" w:lineRule="auto"/>
        <w:rPr>
          <w:rFonts w:ascii="Times New Roman" w:hAnsi="Times New Roman" w:cs="Times New Roman"/>
          <w:sz w:val="22"/>
          <w:szCs w:val="22"/>
        </w:rPr>
      </w:pPr>
      <w:r w:rsidRPr="00D17799">
        <w:rPr>
          <w:rFonts w:ascii="Times New Roman" w:hAnsi="Times New Roman" w:cs="Times New Roman"/>
          <w:sz w:val="22"/>
          <w:szCs w:val="22"/>
        </w:rPr>
        <w:fldChar w:fldCharType="end"/>
      </w:r>
    </w:p>
    <w:sectPr w:rsidR="006D482B" w:rsidRPr="00D17799" w:rsidSect="00EA0E51">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6AB46" w14:textId="77777777" w:rsidR="000F7088" w:rsidRDefault="000F7088" w:rsidP="00E85F91">
      <w:r>
        <w:separator/>
      </w:r>
    </w:p>
  </w:endnote>
  <w:endnote w:type="continuationSeparator" w:id="0">
    <w:p w14:paraId="423CB1AD" w14:textId="77777777" w:rsidR="000F7088" w:rsidRDefault="000F7088" w:rsidP="00E85F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CC753" w14:textId="77777777" w:rsidR="000F7088" w:rsidRDefault="000F7088" w:rsidP="00E85F91">
      <w:r>
        <w:separator/>
      </w:r>
    </w:p>
  </w:footnote>
  <w:footnote w:type="continuationSeparator" w:id="0">
    <w:p w14:paraId="1F3D9777" w14:textId="77777777" w:rsidR="000F7088" w:rsidRDefault="000F7088" w:rsidP="00E85F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E7DC6"/>
    <w:multiLevelType w:val="multilevel"/>
    <w:tmpl w:val="0EEE7DC6"/>
    <w:lvl w:ilvl="0">
      <w:start w:val="1"/>
      <w:numFmt w:val="decimal"/>
      <w:lvlText w:val="%1."/>
      <w:lvlJc w:val="left"/>
      <w:pPr>
        <w:tabs>
          <w:tab w:val="left" w:pos="720"/>
        </w:tabs>
        <w:ind w:left="720" w:hanging="360"/>
      </w:pPr>
      <w:rPr>
        <w:rFonts w:ascii="Times New Roman" w:hAnsi="Times New Roman" w:cs="Times New Roman" w:hint="default"/>
      </w:rPr>
    </w:lvl>
    <w:lvl w:ilvl="1">
      <w:start w:val="1"/>
      <w:numFmt w:val="decimal"/>
      <w:lvlText w:val="%2."/>
      <w:lvlJc w:val="left"/>
      <w:pPr>
        <w:tabs>
          <w:tab w:val="left" w:pos="1440"/>
        </w:tabs>
        <w:ind w:left="1440" w:hanging="360"/>
      </w:pPr>
      <w:rPr>
        <w:rFonts w:ascii="Times New Roman" w:hAnsi="Times New Roman" w:cs="Times New Roman" w:hint="default"/>
      </w:rPr>
    </w:lvl>
    <w:lvl w:ilvl="2">
      <w:start w:val="1"/>
      <w:numFmt w:val="decimal"/>
      <w:lvlText w:val="%3."/>
      <w:lvlJc w:val="left"/>
      <w:pPr>
        <w:tabs>
          <w:tab w:val="left" w:pos="2160"/>
        </w:tabs>
        <w:ind w:left="2160" w:hanging="360"/>
      </w:pPr>
      <w:rPr>
        <w:rFonts w:ascii="Times New Roman" w:hAnsi="Times New Roman" w:cs="Times New Roman" w:hint="default"/>
      </w:rPr>
    </w:lvl>
    <w:lvl w:ilvl="3">
      <w:start w:val="1"/>
      <w:numFmt w:val="decimal"/>
      <w:lvlText w:val="%4."/>
      <w:lvlJc w:val="left"/>
      <w:pPr>
        <w:tabs>
          <w:tab w:val="left" w:pos="2880"/>
        </w:tabs>
        <w:ind w:left="2880" w:hanging="360"/>
      </w:pPr>
      <w:rPr>
        <w:rFonts w:ascii="Times New Roman" w:hAnsi="Times New Roman" w:cs="Times New Roman" w:hint="default"/>
      </w:rPr>
    </w:lvl>
    <w:lvl w:ilvl="4">
      <w:start w:val="1"/>
      <w:numFmt w:val="decimal"/>
      <w:lvlText w:val="%5."/>
      <w:lvlJc w:val="left"/>
      <w:pPr>
        <w:tabs>
          <w:tab w:val="left" w:pos="3600"/>
        </w:tabs>
        <w:ind w:left="3600" w:hanging="360"/>
      </w:pPr>
      <w:rPr>
        <w:rFonts w:ascii="Times New Roman" w:hAnsi="Times New Roman" w:cs="Times New Roman" w:hint="default"/>
      </w:rPr>
    </w:lvl>
    <w:lvl w:ilvl="5">
      <w:start w:val="1"/>
      <w:numFmt w:val="decimal"/>
      <w:lvlText w:val="%6."/>
      <w:lvlJc w:val="left"/>
      <w:pPr>
        <w:tabs>
          <w:tab w:val="left" w:pos="4320"/>
        </w:tabs>
        <w:ind w:left="4320" w:hanging="360"/>
      </w:pPr>
      <w:rPr>
        <w:rFonts w:ascii="Times New Roman" w:hAnsi="Times New Roman" w:cs="Times New Roman" w:hint="default"/>
      </w:rPr>
    </w:lvl>
    <w:lvl w:ilvl="6">
      <w:start w:val="1"/>
      <w:numFmt w:val="decimal"/>
      <w:lvlText w:val="%7."/>
      <w:lvlJc w:val="left"/>
      <w:pPr>
        <w:tabs>
          <w:tab w:val="left" w:pos="5040"/>
        </w:tabs>
        <w:ind w:left="5040" w:hanging="360"/>
      </w:pPr>
      <w:rPr>
        <w:rFonts w:ascii="Times New Roman" w:hAnsi="Times New Roman" w:cs="Times New Roman" w:hint="default"/>
      </w:rPr>
    </w:lvl>
    <w:lvl w:ilvl="7">
      <w:start w:val="1"/>
      <w:numFmt w:val="decimal"/>
      <w:lvlText w:val="%8."/>
      <w:lvlJc w:val="left"/>
      <w:pPr>
        <w:tabs>
          <w:tab w:val="left" w:pos="5760"/>
        </w:tabs>
        <w:ind w:left="5760" w:hanging="360"/>
      </w:pPr>
      <w:rPr>
        <w:rFonts w:ascii="Times New Roman" w:hAnsi="Times New Roman" w:cs="Times New Roman" w:hint="default"/>
      </w:rPr>
    </w:lvl>
    <w:lvl w:ilvl="8">
      <w:start w:val="1"/>
      <w:numFmt w:val="decimal"/>
      <w:lvlText w:val="%9."/>
      <w:lvlJc w:val="left"/>
      <w:pPr>
        <w:tabs>
          <w:tab w:val="left" w:pos="6480"/>
        </w:tabs>
        <w:ind w:left="6480" w:hanging="360"/>
      </w:pPr>
      <w:rPr>
        <w:rFonts w:ascii="Times New Roman" w:hAnsi="Times New Roman" w:cs="Times New Roman" w:hint="default"/>
      </w:rPr>
    </w:lvl>
  </w:abstractNum>
  <w:abstractNum w:abstractNumId="1" w15:restartNumberingAfterBreak="0">
    <w:nsid w:val="1DEF19FE"/>
    <w:multiLevelType w:val="multilevel"/>
    <w:tmpl w:val="1DEF19FE"/>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2" w15:restartNumberingAfterBreak="0">
    <w:nsid w:val="29EF0282"/>
    <w:multiLevelType w:val="multilevel"/>
    <w:tmpl w:val="29EF0282"/>
    <w:lvl w:ilvl="0">
      <w:start w:val="1"/>
      <w:numFmt w:val="decimal"/>
      <w:lvlText w:val="%1."/>
      <w:lvlJc w:val="left"/>
      <w:pPr>
        <w:tabs>
          <w:tab w:val="left" w:pos="720"/>
        </w:tabs>
        <w:ind w:left="720" w:hanging="360"/>
      </w:pPr>
      <w:rPr>
        <w:rFonts w:ascii="Times New Roman" w:hAnsi="Times New Roman" w:cs="Times New Roman" w:hint="default"/>
      </w:rPr>
    </w:lvl>
    <w:lvl w:ilvl="1">
      <w:start w:val="1"/>
      <w:numFmt w:val="decimal"/>
      <w:lvlText w:val="%2."/>
      <w:lvlJc w:val="left"/>
      <w:pPr>
        <w:tabs>
          <w:tab w:val="left" w:pos="1440"/>
        </w:tabs>
        <w:ind w:left="1440" w:hanging="360"/>
      </w:pPr>
      <w:rPr>
        <w:rFonts w:ascii="Times New Roman" w:hAnsi="Times New Roman" w:cs="Times New Roman" w:hint="default"/>
      </w:rPr>
    </w:lvl>
    <w:lvl w:ilvl="2">
      <w:start w:val="1"/>
      <w:numFmt w:val="decimal"/>
      <w:lvlText w:val="%3."/>
      <w:lvlJc w:val="left"/>
      <w:pPr>
        <w:tabs>
          <w:tab w:val="left" w:pos="2160"/>
        </w:tabs>
        <w:ind w:left="2160" w:hanging="360"/>
      </w:pPr>
      <w:rPr>
        <w:rFonts w:ascii="Times New Roman" w:hAnsi="Times New Roman" w:cs="Times New Roman" w:hint="default"/>
      </w:rPr>
    </w:lvl>
    <w:lvl w:ilvl="3">
      <w:start w:val="1"/>
      <w:numFmt w:val="decimal"/>
      <w:lvlText w:val="%4."/>
      <w:lvlJc w:val="left"/>
      <w:pPr>
        <w:tabs>
          <w:tab w:val="left" w:pos="2880"/>
        </w:tabs>
        <w:ind w:left="2880" w:hanging="360"/>
      </w:pPr>
      <w:rPr>
        <w:rFonts w:ascii="Times New Roman" w:hAnsi="Times New Roman" w:cs="Times New Roman" w:hint="default"/>
      </w:rPr>
    </w:lvl>
    <w:lvl w:ilvl="4">
      <w:start w:val="1"/>
      <w:numFmt w:val="decimal"/>
      <w:lvlText w:val="%5."/>
      <w:lvlJc w:val="left"/>
      <w:pPr>
        <w:tabs>
          <w:tab w:val="left" w:pos="3600"/>
        </w:tabs>
        <w:ind w:left="3600" w:hanging="360"/>
      </w:pPr>
      <w:rPr>
        <w:rFonts w:ascii="Times New Roman" w:hAnsi="Times New Roman" w:cs="Times New Roman" w:hint="default"/>
      </w:rPr>
    </w:lvl>
    <w:lvl w:ilvl="5">
      <w:start w:val="1"/>
      <w:numFmt w:val="decimal"/>
      <w:lvlText w:val="%6."/>
      <w:lvlJc w:val="left"/>
      <w:pPr>
        <w:tabs>
          <w:tab w:val="left" w:pos="4320"/>
        </w:tabs>
        <w:ind w:left="4320" w:hanging="360"/>
      </w:pPr>
      <w:rPr>
        <w:rFonts w:ascii="Times New Roman" w:hAnsi="Times New Roman" w:cs="Times New Roman" w:hint="default"/>
      </w:rPr>
    </w:lvl>
    <w:lvl w:ilvl="6">
      <w:start w:val="1"/>
      <w:numFmt w:val="decimal"/>
      <w:lvlText w:val="%7."/>
      <w:lvlJc w:val="left"/>
      <w:pPr>
        <w:tabs>
          <w:tab w:val="left" w:pos="5040"/>
        </w:tabs>
        <w:ind w:left="5040" w:hanging="360"/>
      </w:pPr>
      <w:rPr>
        <w:rFonts w:ascii="Times New Roman" w:hAnsi="Times New Roman" w:cs="Times New Roman" w:hint="default"/>
      </w:rPr>
    </w:lvl>
    <w:lvl w:ilvl="7">
      <w:start w:val="1"/>
      <w:numFmt w:val="decimal"/>
      <w:lvlText w:val="%8."/>
      <w:lvlJc w:val="left"/>
      <w:pPr>
        <w:tabs>
          <w:tab w:val="left" w:pos="5760"/>
        </w:tabs>
        <w:ind w:left="5760" w:hanging="360"/>
      </w:pPr>
      <w:rPr>
        <w:rFonts w:ascii="Times New Roman" w:hAnsi="Times New Roman" w:cs="Times New Roman" w:hint="default"/>
      </w:rPr>
    </w:lvl>
    <w:lvl w:ilvl="8">
      <w:start w:val="1"/>
      <w:numFmt w:val="decimal"/>
      <w:lvlText w:val="%9."/>
      <w:lvlJc w:val="left"/>
      <w:pPr>
        <w:tabs>
          <w:tab w:val="left" w:pos="6480"/>
        </w:tabs>
        <w:ind w:left="6480" w:hanging="360"/>
      </w:pPr>
      <w:rPr>
        <w:rFonts w:ascii="Times New Roman" w:hAnsi="Times New Roman" w:cs="Times New Roman" w:hint="default"/>
      </w:rPr>
    </w:lvl>
  </w:abstractNum>
  <w:abstractNum w:abstractNumId="3" w15:restartNumberingAfterBreak="0">
    <w:nsid w:val="4C732B7C"/>
    <w:multiLevelType w:val="multilevel"/>
    <w:tmpl w:val="4C732B7C"/>
    <w:lvl w:ilvl="0">
      <w:start w:val="1"/>
      <w:numFmt w:val="bullet"/>
      <w:lvlText w:val=""/>
      <w:lvlJc w:val="left"/>
      <w:pPr>
        <w:tabs>
          <w:tab w:val="left" w:pos="720"/>
        </w:tabs>
        <w:ind w:left="720" w:hanging="360"/>
      </w:pPr>
      <w:rPr>
        <w:rFonts w:ascii="Symbol" w:hAnsi="Symbol" w:hint="default"/>
        <w:sz w:val="20"/>
        <w:szCs w:val="20"/>
      </w:rPr>
    </w:lvl>
    <w:lvl w:ilvl="1">
      <w:start w:val="1"/>
      <w:numFmt w:val="bullet"/>
      <w:lvlText w:val="o"/>
      <w:lvlJc w:val="left"/>
      <w:pPr>
        <w:tabs>
          <w:tab w:val="left" w:pos="1440"/>
        </w:tabs>
        <w:ind w:left="1440" w:hanging="360"/>
      </w:pPr>
      <w:rPr>
        <w:rFonts w:ascii="Courier New" w:hAnsi="Courier New" w:cs="Courier New" w:hint="default"/>
        <w:sz w:val="20"/>
        <w:szCs w:val="20"/>
      </w:rPr>
    </w:lvl>
    <w:lvl w:ilvl="2">
      <w:start w:val="1"/>
      <w:numFmt w:val="bullet"/>
      <w:lvlText w:val=""/>
      <w:lvlJc w:val="left"/>
      <w:pPr>
        <w:tabs>
          <w:tab w:val="left" w:pos="2160"/>
        </w:tabs>
        <w:ind w:left="2160" w:hanging="360"/>
      </w:pPr>
      <w:rPr>
        <w:rFonts w:ascii="Wingdings" w:hAnsi="Wingdings" w:hint="default"/>
        <w:sz w:val="20"/>
        <w:szCs w:val="20"/>
      </w:rPr>
    </w:lvl>
    <w:lvl w:ilvl="3">
      <w:start w:val="1"/>
      <w:numFmt w:val="bullet"/>
      <w:lvlText w:val=""/>
      <w:lvlJc w:val="left"/>
      <w:pPr>
        <w:tabs>
          <w:tab w:val="left" w:pos="2880"/>
        </w:tabs>
        <w:ind w:left="2880" w:hanging="360"/>
      </w:pPr>
      <w:rPr>
        <w:rFonts w:ascii="Wingdings" w:hAnsi="Wingdings" w:hint="default"/>
        <w:sz w:val="20"/>
        <w:szCs w:val="20"/>
      </w:rPr>
    </w:lvl>
    <w:lvl w:ilvl="4">
      <w:start w:val="1"/>
      <w:numFmt w:val="bullet"/>
      <w:lvlText w:val=""/>
      <w:lvlJc w:val="left"/>
      <w:pPr>
        <w:tabs>
          <w:tab w:val="left" w:pos="3600"/>
        </w:tabs>
        <w:ind w:left="3600" w:hanging="360"/>
      </w:pPr>
      <w:rPr>
        <w:rFonts w:ascii="Wingdings" w:hAnsi="Wingdings" w:hint="default"/>
        <w:sz w:val="20"/>
        <w:szCs w:val="20"/>
      </w:rPr>
    </w:lvl>
    <w:lvl w:ilvl="5">
      <w:start w:val="1"/>
      <w:numFmt w:val="bullet"/>
      <w:lvlText w:val=""/>
      <w:lvlJc w:val="left"/>
      <w:pPr>
        <w:tabs>
          <w:tab w:val="left" w:pos="4320"/>
        </w:tabs>
        <w:ind w:left="4320" w:hanging="360"/>
      </w:pPr>
      <w:rPr>
        <w:rFonts w:ascii="Wingdings" w:hAnsi="Wingdings" w:hint="default"/>
        <w:sz w:val="20"/>
        <w:szCs w:val="20"/>
      </w:rPr>
    </w:lvl>
    <w:lvl w:ilvl="6">
      <w:start w:val="1"/>
      <w:numFmt w:val="bullet"/>
      <w:lvlText w:val=""/>
      <w:lvlJc w:val="left"/>
      <w:pPr>
        <w:tabs>
          <w:tab w:val="left" w:pos="5040"/>
        </w:tabs>
        <w:ind w:left="5040" w:hanging="360"/>
      </w:pPr>
      <w:rPr>
        <w:rFonts w:ascii="Wingdings" w:hAnsi="Wingdings" w:hint="default"/>
        <w:sz w:val="20"/>
        <w:szCs w:val="20"/>
      </w:rPr>
    </w:lvl>
    <w:lvl w:ilvl="7">
      <w:start w:val="1"/>
      <w:numFmt w:val="bullet"/>
      <w:lvlText w:val=""/>
      <w:lvlJc w:val="left"/>
      <w:pPr>
        <w:tabs>
          <w:tab w:val="left" w:pos="5760"/>
        </w:tabs>
        <w:ind w:left="5760" w:hanging="360"/>
      </w:pPr>
      <w:rPr>
        <w:rFonts w:ascii="Wingdings" w:hAnsi="Wingdings" w:hint="default"/>
        <w:sz w:val="20"/>
        <w:szCs w:val="20"/>
      </w:rPr>
    </w:lvl>
    <w:lvl w:ilvl="8">
      <w:start w:val="1"/>
      <w:numFmt w:val="bullet"/>
      <w:lvlText w:val=""/>
      <w:lvlJc w:val="left"/>
      <w:pPr>
        <w:tabs>
          <w:tab w:val="left" w:pos="6480"/>
        </w:tabs>
        <w:ind w:left="6480" w:hanging="360"/>
      </w:pPr>
      <w:rPr>
        <w:rFonts w:ascii="Wingdings" w:hAnsi="Wingdings" w:hint="default"/>
        <w:sz w:val="20"/>
        <w:szCs w:val="20"/>
      </w:rPr>
    </w:lvl>
  </w:abstractNum>
  <w:abstractNum w:abstractNumId="4" w15:restartNumberingAfterBreak="0">
    <w:nsid w:val="543E04FC"/>
    <w:multiLevelType w:val="multilevel"/>
    <w:tmpl w:val="543E04FC"/>
    <w:lvl w:ilvl="0">
      <w:start w:val="1"/>
      <w:numFmt w:val="decimal"/>
      <w:lvlText w:val="%1."/>
      <w:lvlJc w:val="left"/>
      <w:pPr>
        <w:ind w:left="360" w:hanging="360"/>
      </w:pPr>
      <w:rPr>
        <w:rFonts w:hint="default"/>
        <w:color w:val="000000"/>
      </w:rPr>
    </w:lvl>
    <w:lvl w:ilvl="1">
      <w:start w:val="1"/>
      <w:numFmt w:val="decimal"/>
      <w:isLgl/>
      <w:lvlText w:val="%1.%2."/>
      <w:lvlJc w:val="left"/>
      <w:pPr>
        <w:ind w:left="360" w:hanging="360"/>
      </w:pPr>
      <w:rPr>
        <w:rFonts w:ascii="Times New Roman" w:hAnsi="Times New Roman" w:cs="Times New Roman" w:hint="default"/>
        <w:b/>
        <w:bCs/>
        <w:sz w:val="22"/>
        <w:szCs w:val="22"/>
      </w:rPr>
    </w:lvl>
    <w:lvl w:ilvl="2">
      <w:start w:val="1"/>
      <w:numFmt w:val="decimal"/>
      <w:isLgl/>
      <w:lvlText w:val="%1.%2.%3."/>
      <w:lvlJc w:val="left"/>
      <w:pPr>
        <w:ind w:left="720" w:hanging="720"/>
      </w:pPr>
      <w:rPr>
        <w:rFonts w:asciiTheme="minorHAnsi" w:hAnsiTheme="minorHAnsi" w:cstheme="minorBidi" w:hint="default"/>
        <w:b/>
        <w:bCs/>
        <w:sz w:val="21"/>
      </w:rPr>
    </w:lvl>
    <w:lvl w:ilvl="3">
      <w:start w:val="1"/>
      <w:numFmt w:val="decimal"/>
      <w:isLgl/>
      <w:lvlText w:val="%1.%2.%3.%4."/>
      <w:lvlJc w:val="left"/>
      <w:pPr>
        <w:ind w:left="720" w:hanging="720"/>
      </w:pPr>
      <w:rPr>
        <w:rFonts w:asciiTheme="minorHAnsi" w:hAnsiTheme="minorHAnsi" w:cstheme="minorBidi" w:hint="default"/>
        <w:sz w:val="21"/>
      </w:rPr>
    </w:lvl>
    <w:lvl w:ilvl="4">
      <w:start w:val="1"/>
      <w:numFmt w:val="decimal"/>
      <w:isLgl/>
      <w:lvlText w:val="%1.%2.%3.%4.%5."/>
      <w:lvlJc w:val="left"/>
      <w:pPr>
        <w:ind w:left="1080" w:hanging="1080"/>
      </w:pPr>
      <w:rPr>
        <w:rFonts w:asciiTheme="minorHAnsi" w:hAnsiTheme="minorHAnsi" w:cstheme="minorBidi" w:hint="default"/>
        <w:sz w:val="21"/>
      </w:rPr>
    </w:lvl>
    <w:lvl w:ilvl="5">
      <w:start w:val="1"/>
      <w:numFmt w:val="decimal"/>
      <w:isLgl/>
      <w:lvlText w:val="%1.%2.%3.%4.%5.%6."/>
      <w:lvlJc w:val="left"/>
      <w:pPr>
        <w:ind w:left="1080" w:hanging="1080"/>
      </w:pPr>
      <w:rPr>
        <w:rFonts w:asciiTheme="minorHAnsi" w:hAnsiTheme="minorHAnsi" w:cstheme="minorBidi" w:hint="default"/>
        <w:sz w:val="21"/>
      </w:rPr>
    </w:lvl>
    <w:lvl w:ilvl="6">
      <w:start w:val="1"/>
      <w:numFmt w:val="decimal"/>
      <w:isLgl/>
      <w:lvlText w:val="%1.%2.%3.%4.%5.%6.%7."/>
      <w:lvlJc w:val="left"/>
      <w:pPr>
        <w:ind w:left="1440" w:hanging="1440"/>
      </w:pPr>
      <w:rPr>
        <w:rFonts w:asciiTheme="minorHAnsi" w:hAnsiTheme="minorHAnsi" w:cstheme="minorBidi" w:hint="default"/>
        <w:sz w:val="21"/>
      </w:rPr>
    </w:lvl>
    <w:lvl w:ilvl="7">
      <w:start w:val="1"/>
      <w:numFmt w:val="decimal"/>
      <w:isLgl/>
      <w:lvlText w:val="%1.%2.%3.%4.%5.%6.%7.%8."/>
      <w:lvlJc w:val="left"/>
      <w:pPr>
        <w:ind w:left="1440" w:hanging="1440"/>
      </w:pPr>
      <w:rPr>
        <w:rFonts w:asciiTheme="minorHAnsi" w:hAnsiTheme="minorHAnsi" w:cstheme="minorBidi" w:hint="default"/>
        <w:sz w:val="21"/>
      </w:rPr>
    </w:lvl>
    <w:lvl w:ilvl="8">
      <w:start w:val="1"/>
      <w:numFmt w:val="decimal"/>
      <w:isLgl/>
      <w:lvlText w:val="%1.%2.%3.%4.%5.%6.%7.%8.%9."/>
      <w:lvlJc w:val="left"/>
      <w:pPr>
        <w:ind w:left="1800" w:hanging="1800"/>
      </w:pPr>
      <w:rPr>
        <w:rFonts w:asciiTheme="minorHAnsi" w:hAnsiTheme="minorHAnsi" w:cstheme="minorBidi" w:hint="default"/>
        <w:sz w:val="21"/>
      </w:rPr>
    </w:lvl>
  </w:abstractNum>
  <w:num w:numId="1" w16cid:durableId="569459808">
    <w:abstractNumId w:val="4"/>
  </w:num>
  <w:num w:numId="2" w16cid:durableId="1218012339">
    <w:abstractNumId w:val="3"/>
  </w:num>
  <w:num w:numId="3" w16cid:durableId="662899277">
    <w:abstractNumId w:val="1"/>
  </w:num>
  <w:num w:numId="4" w16cid:durableId="18808991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988564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hideSpellingErrors/>
  <w:hideGrammaticalErrors/>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Lc0MzAxNbQwsbCwNDNR0lEKTi0uzszPAykwNK0FADal5FEtAAAA"/>
    <w:docVar w:name="EN.InstantFormat" w:val="&lt;ENInstantFormat&gt;&lt;Enabled&gt;1&lt;/Enabled&gt;&lt;ScanUnformatted&gt;1&lt;/ScanUnformatted&gt;&lt;ScanChanges&gt;1&lt;/ScanChanges&gt;&lt;Suspended&gt;0&lt;/Suspended&gt;&lt;/ENInstantFormat&gt;"/>
    <w:docVar w:name="EN.Layout" w:val="&lt;ENLayout&gt;&lt;Style&gt;J Pediatr Neurol Copy&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r2taefessxdvjezs5dpfd09dse0zzdftrtr&quot;&gt;毕业最新课题-Converted&lt;record-ids&gt;&lt;item&gt;330&lt;/item&gt;&lt;item&gt;333&lt;/item&gt;&lt;item&gt;334&lt;/item&gt;&lt;/record-ids&gt;&lt;/item&gt;&lt;/Libraries&gt;"/>
  </w:docVars>
  <w:rsids>
    <w:rsidRoot w:val="65846087"/>
    <w:rsid w:val="00007470"/>
    <w:rsid w:val="00015176"/>
    <w:rsid w:val="00042DA2"/>
    <w:rsid w:val="0005413D"/>
    <w:rsid w:val="000724A5"/>
    <w:rsid w:val="00076DB6"/>
    <w:rsid w:val="0008101B"/>
    <w:rsid w:val="000B4D11"/>
    <w:rsid w:val="000D0EBC"/>
    <w:rsid w:val="000D20F1"/>
    <w:rsid w:val="000F7088"/>
    <w:rsid w:val="001054B1"/>
    <w:rsid w:val="00115D53"/>
    <w:rsid w:val="001228E6"/>
    <w:rsid w:val="00126D16"/>
    <w:rsid w:val="00137C79"/>
    <w:rsid w:val="001542F9"/>
    <w:rsid w:val="001A4839"/>
    <w:rsid w:val="001B2BF3"/>
    <w:rsid w:val="001D0231"/>
    <w:rsid w:val="001D4824"/>
    <w:rsid w:val="001D7D5A"/>
    <w:rsid w:val="00215180"/>
    <w:rsid w:val="002476A3"/>
    <w:rsid w:val="00253D7D"/>
    <w:rsid w:val="00262C46"/>
    <w:rsid w:val="00265E71"/>
    <w:rsid w:val="002803F6"/>
    <w:rsid w:val="00286F7C"/>
    <w:rsid w:val="002C71B8"/>
    <w:rsid w:val="002D2299"/>
    <w:rsid w:val="002F0BE1"/>
    <w:rsid w:val="003109D5"/>
    <w:rsid w:val="00321CC4"/>
    <w:rsid w:val="00332607"/>
    <w:rsid w:val="00341EDB"/>
    <w:rsid w:val="00352320"/>
    <w:rsid w:val="00383B32"/>
    <w:rsid w:val="00397DF4"/>
    <w:rsid w:val="003A7D70"/>
    <w:rsid w:val="003B4D45"/>
    <w:rsid w:val="003B5321"/>
    <w:rsid w:val="003B73A4"/>
    <w:rsid w:val="003D3A77"/>
    <w:rsid w:val="003D7468"/>
    <w:rsid w:val="004221E1"/>
    <w:rsid w:val="00447CF5"/>
    <w:rsid w:val="0046639D"/>
    <w:rsid w:val="004A7C0B"/>
    <w:rsid w:val="004E0B14"/>
    <w:rsid w:val="00502D19"/>
    <w:rsid w:val="005859B7"/>
    <w:rsid w:val="00590DEA"/>
    <w:rsid w:val="005B5142"/>
    <w:rsid w:val="005C0AE8"/>
    <w:rsid w:val="005D6C51"/>
    <w:rsid w:val="005E02A0"/>
    <w:rsid w:val="005F504D"/>
    <w:rsid w:val="006053BC"/>
    <w:rsid w:val="00622409"/>
    <w:rsid w:val="00670C3D"/>
    <w:rsid w:val="0069198F"/>
    <w:rsid w:val="006A0489"/>
    <w:rsid w:val="006D482B"/>
    <w:rsid w:val="006E41D9"/>
    <w:rsid w:val="006E780F"/>
    <w:rsid w:val="006F1163"/>
    <w:rsid w:val="006F2EE8"/>
    <w:rsid w:val="007455CB"/>
    <w:rsid w:val="0080156B"/>
    <w:rsid w:val="008131CA"/>
    <w:rsid w:val="00834E3C"/>
    <w:rsid w:val="00845065"/>
    <w:rsid w:val="00847569"/>
    <w:rsid w:val="00895E9D"/>
    <w:rsid w:val="00896435"/>
    <w:rsid w:val="008A1B04"/>
    <w:rsid w:val="008D3308"/>
    <w:rsid w:val="00903307"/>
    <w:rsid w:val="00905F7D"/>
    <w:rsid w:val="00944DE7"/>
    <w:rsid w:val="00950AC0"/>
    <w:rsid w:val="0095425A"/>
    <w:rsid w:val="009606C4"/>
    <w:rsid w:val="009673BB"/>
    <w:rsid w:val="00975DA4"/>
    <w:rsid w:val="009828E7"/>
    <w:rsid w:val="0098311E"/>
    <w:rsid w:val="00985B2C"/>
    <w:rsid w:val="009953D7"/>
    <w:rsid w:val="009A0545"/>
    <w:rsid w:val="009A5323"/>
    <w:rsid w:val="009E3361"/>
    <w:rsid w:val="009F7DDB"/>
    <w:rsid w:val="00A42A4D"/>
    <w:rsid w:val="00A7682E"/>
    <w:rsid w:val="00A907FE"/>
    <w:rsid w:val="00A9250E"/>
    <w:rsid w:val="00A9624B"/>
    <w:rsid w:val="00AA5B66"/>
    <w:rsid w:val="00AE303F"/>
    <w:rsid w:val="00AF6628"/>
    <w:rsid w:val="00B4567D"/>
    <w:rsid w:val="00B54942"/>
    <w:rsid w:val="00B70E8C"/>
    <w:rsid w:val="00B722D7"/>
    <w:rsid w:val="00B72ED6"/>
    <w:rsid w:val="00B834B6"/>
    <w:rsid w:val="00B844B4"/>
    <w:rsid w:val="00B965C0"/>
    <w:rsid w:val="00BA2A7F"/>
    <w:rsid w:val="00BB09AB"/>
    <w:rsid w:val="00BB6408"/>
    <w:rsid w:val="00BD4091"/>
    <w:rsid w:val="00BE255D"/>
    <w:rsid w:val="00C0061E"/>
    <w:rsid w:val="00C031BA"/>
    <w:rsid w:val="00C400C3"/>
    <w:rsid w:val="00C415C7"/>
    <w:rsid w:val="00C82CB7"/>
    <w:rsid w:val="00C83CB2"/>
    <w:rsid w:val="00CA1AF8"/>
    <w:rsid w:val="00CC1D28"/>
    <w:rsid w:val="00CC3D1A"/>
    <w:rsid w:val="00CC4488"/>
    <w:rsid w:val="00CD360D"/>
    <w:rsid w:val="00CD387D"/>
    <w:rsid w:val="00CE767A"/>
    <w:rsid w:val="00D13E58"/>
    <w:rsid w:val="00D17799"/>
    <w:rsid w:val="00D30326"/>
    <w:rsid w:val="00D446E7"/>
    <w:rsid w:val="00D464FD"/>
    <w:rsid w:val="00D47938"/>
    <w:rsid w:val="00D55B16"/>
    <w:rsid w:val="00D832EB"/>
    <w:rsid w:val="00D86FAE"/>
    <w:rsid w:val="00DA3636"/>
    <w:rsid w:val="00DB2113"/>
    <w:rsid w:val="00DB4F71"/>
    <w:rsid w:val="00DD342C"/>
    <w:rsid w:val="00DD381F"/>
    <w:rsid w:val="00E06430"/>
    <w:rsid w:val="00E36903"/>
    <w:rsid w:val="00E41A71"/>
    <w:rsid w:val="00E65C8C"/>
    <w:rsid w:val="00E77048"/>
    <w:rsid w:val="00E81BF9"/>
    <w:rsid w:val="00E85F91"/>
    <w:rsid w:val="00E9204E"/>
    <w:rsid w:val="00EA0E51"/>
    <w:rsid w:val="00EB59E7"/>
    <w:rsid w:val="00EC137C"/>
    <w:rsid w:val="00EC3434"/>
    <w:rsid w:val="00F00F61"/>
    <w:rsid w:val="00F075F0"/>
    <w:rsid w:val="00F501AA"/>
    <w:rsid w:val="00F676BB"/>
    <w:rsid w:val="00F759BE"/>
    <w:rsid w:val="00F772EC"/>
    <w:rsid w:val="00FA1611"/>
    <w:rsid w:val="00FB5344"/>
    <w:rsid w:val="00FC205C"/>
    <w:rsid w:val="00FF1B11"/>
    <w:rsid w:val="10A137B6"/>
    <w:rsid w:val="145C4FD4"/>
    <w:rsid w:val="1C0F6CA1"/>
    <w:rsid w:val="23212087"/>
    <w:rsid w:val="291002B5"/>
    <w:rsid w:val="2A0314CA"/>
    <w:rsid w:val="327A3ADF"/>
    <w:rsid w:val="3F5E7289"/>
    <w:rsid w:val="41AF401E"/>
    <w:rsid w:val="478C7274"/>
    <w:rsid w:val="48EF634C"/>
    <w:rsid w:val="50214833"/>
    <w:rsid w:val="56C521BD"/>
    <w:rsid w:val="57E722A5"/>
    <w:rsid w:val="585E3E0A"/>
    <w:rsid w:val="5C060A9F"/>
    <w:rsid w:val="65846087"/>
    <w:rsid w:val="68864EB8"/>
    <w:rsid w:val="740B2A1F"/>
    <w:rsid w:val="758D37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2C2E00"/>
  <w15:docId w15:val="{4E37640E-BFFA-474F-BA6E-7B404E015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ind w:firstLine="42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tabs>
        <w:tab w:val="center" w:pos="4153"/>
        <w:tab w:val="right" w:pos="8306"/>
      </w:tabs>
      <w:snapToGrid w:val="0"/>
      <w:jc w:val="center"/>
    </w:pPr>
    <w:rPr>
      <w:sz w:val="18"/>
      <w:szCs w:val="18"/>
    </w:rPr>
  </w:style>
  <w:style w:type="character" w:styleId="a7">
    <w:name w:val="Hyperlink"/>
    <w:basedOn w:val="a0"/>
    <w:qFormat/>
    <w:rPr>
      <w:color w:val="0000FF"/>
      <w:u w:val="single"/>
    </w:rPr>
  </w:style>
  <w:style w:type="paragraph" w:customStyle="1" w:styleId="EndNoteBibliographyTitle">
    <w:name w:val="EndNote Bibliography Title"/>
    <w:qFormat/>
    <w:pPr>
      <w:ind w:firstLine="420"/>
      <w:jc w:val="center"/>
    </w:pPr>
    <w:rPr>
      <w:rFonts w:ascii="Calibri" w:eastAsiaTheme="minorEastAsia" w:hAnsi="Calibri" w:cs="Calibri"/>
      <w:kern w:val="2"/>
      <w:szCs w:val="24"/>
    </w:rPr>
  </w:style>
  <w:style w:type="paragraph" w:customStyle="1" w:styleId="EndNoteBibliography">
    <w:name w:val="EndNote Bibliography"/>
    <w:qFormat/>
    <w:pPr>
      <w:ind w:firstLine="420"/>
      <w:jc w:val="both"/>
    </w:pPr>
    <w:rPr>
      <w:rFonts w:ascii="Calibri" w:eastAsiaTheme="minorEastAsia" w:hAnsi="Calibri" w:cs="Calibri"/>
      <w:kern w:val="2"/>
      <w:szCs w:val="24"/>
    </w:rPr>
  </w:style>
  <w:style w:type="character" w:customStyle="1" w:styleId="a6">
    <w:name w:val="页眉 字符"/>
    <w:basedOn w:val="a0"/>
    <w:link w:val="a5"/>
    <w:qFormat/>
    <w:rPr>
      <w:rFonts w:asciiTheme="minorHAnsi" w:eastAsiaTheme="minorEastAsia" w:hAnsiTheme="minorHAnsi" w:cstheme="minorBidi"/>
      <w:kern w:val="2"/>
      <w:sz w:val="18"/>
      <w:szCs w:val="18"/>
    </w:rPr>
  </w:style>
  <w:style w:type="character" w:customStyle="1" w:styleId="a4">
    <w:name w:val="页脚 字符"/>
    <w:basedOn w:val="a0"/>
    <w:link w:val="a3"/>
    <w:qFormat/>
    <w:rPr>
      <w:rFonts w:asciiTheme="minorHAnsi" w:eastAsiaTheme="minorEastAsia" w:hAnsiTheme="minorHAnsi" w:cstheme="minorBidi"/>
      <w:kern w:val="2"/>
      <w:sz w:val="18"/>
      <w:szCs w:val="18"/>
    </w:rPr>
  </w:style>
  <w:style w:type="paragraph" w:styleId="a8">
    <w:name w:val="List Paragraph"/>
    <w:basedOn w:val="a"/>
    <w:uiPriority w:val="99"/>
    <w:unhideWhenUsed/>
    <w:qFormat/>
    <w:pPr>
      <w:ind w:firstLineChars="200" w:firstLine="200"/>
    </w:pPr>
  </w:style>
  <w:style w:type="paragraph" w:styleId="a9">
    <w:name w:val="Normal (Web)"/>
    <w:basedOn w:val="a"/>
    <w:uiPriority w:val="99"/>
    <w:unhideWhenUsed/>
    <w:rsid w:val="00E85F91"/>
    <w:pPr>
      <w:spacing w:before="100" w:beforeAutospacing="1" w:after="100" w:afterAutospacing="1"/>
      <w:ind w:firstLine="0"/>
      <w:jc w:val="left"/>
    </w:pPr>
    <w:rPr>
      <w:rFonts w:ascii="宋体" w:eastAsia="宋体" w:hAnsi="宋体" w:cs="宋体"/>
      <w:kern w:val="0"/>
      <w:sz w:val="24"/>
    </w:rPr>
  </w:style>
  <w:style w:type="character" w:styleId="aa">
    <w:name w:val="Strong"/>
    <w:basedOn w:val="a0"/>
    <w:uiPriority w:val="22"/>
    <w:qFormat/>
    <w:rsid w:val="00286F7C"/>
    <w:rPr>
      <w:b/>
      <w:bCs/>
    </w:rPr>
  </w:style>
  <w:style w:type="paragraph" w:styleId="ab">
    <w:name w:val="annotation text"/>
    <w:basedOn w:val="a"/>
    <w:link w:val="ac"/>
    <w:pPr>
      <w:jc w:val="left"/>
    </w:pPr>
  </w:style>
  <w:style w:type="character" w:customStyle="1" w:styleId="ac">
    <w:name w:val="批注文字 字符"/>
    <w:basedOn w:val="a0"/>
    <w:link w:val="ab"/>
    <w:rPr>
      <w:rFonts w:asciiTheme="minorHAnsi" w:eastAsiaTheme="minorEastAsia" w:hAnsiTheme="minorHAnsi" w:cstheme="minorBidi"/>
      <w:kern w:val="2"/>
      <w:sz w:val="21"/>
      <w:szCs w:val="24"/>
    </w:rPr>
  </w:style>
  <w:style w:type="character" w:styleId="ad">
    <w:name w:val="annotation reference"/>
    <w:basedOn w:val="a0"/>
    <w:rPr>
      <w:sz w:val="21"/>
      <w:szCs w:val="21"/>
    </w:rPr>
  </w:style>
  <w:style w:type="character" w:styleId="ae">
    <w:name w:val="line number"/>
    <w:basedOn w:val="a0"/>
    <w:rsid w:val="00FC20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86356F-D178-457B-92CB-225945FEA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13</Pages>
  <Words>2376</Words>
  <Characters>14924</Characters>
  <Application>Microsoft Office Word</Application>
  <DocSecurity>0</DocSecurity>
  <Lines>331</Lines>
  <Paragraphs>184</Paragraphs>
  <ScaleCrop>false</ScaleCrop>
  <Company/>
  <LinksUpToDate>false</LinksUpToDate>
  <CharactersWithSpaces>17116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Revised supplementary material – highlighted</dc:title>
  <dc:subject>Revised submission materials</dc:subject>
  <dc:creator>Authors</dc:creator>
  <cp:keywords/>
  <dc:description/>
  <cp:lastModifiedBy>a7025</cp:lastModifiedBy>
  <cp:revision>16</cp:revision>
  <dcterms:created xsi:type="dcterms:W3CDTF">2026-05-27T12:23:00Z</dcterms:created>
  <dcterms:modified xsi:type="dcterms:W3CDTF">2026-08-22T16:25:00Z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905814D57376427898252327D962BB07_13</vt:lpwstr>
  </property>
  <property fmtid="{D5CDD505-2E9C-101B-9397-08002B2CF9AE}" pid="4" name="KSOTemplateDocerSaveRecord">
    <vt:lpwstr>eyJoZGlkIjoiNzNkODQwMDgxM2IwZTE2NjM2NDczNmNkZjBmYzFlYWUiLCJ1c2VySWQiOiIzNjQyNDU4MjEifQ==</vt:lpwstr>
  </property>
</Properties>
</file>