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left"/>
      </w:pPr>
      <w:r>
        <w:rPr>
          <w:rFonts w:ascii="Times New Roman" w:hAnsi="Times New Roman" w:eastAsia="Times New Roman"/>
          <w:b/>
          <w:sz w:val="28"/>
        </w:rPr>
        <w:t>Additional file 1. Supplementary analyses</w:t>
      </w:r>
    </w:p>
    <w:p>
      <w:pPr>
        <w:pStyle w:val="Heading1"/>
      </w:pPr>
      <w:r>
        <w:rPr>
          <w:color w:val="000000"/>
        </w:rPr>
        <w:t>Table S1. Concomitant medications recorded during follow-up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Borders>
          <w:top w:val="single" w:sz="12" w:color="000000"/>
          <w:left w:val="nil"/>
          <w:bottom w:val="single" w:sz="12" w:color="000000"/>
          <w:right w:val="nil"/>
          <w:insideH w:val="nil"/>
          <w:insideV w:val="nil"/>
        </w:tblBorders>
      </w:tblPr>
      <w:tblGrid>
        <w:gridCol w:w="2520"/>
        <w:gridCol w:w="5400"/>
        <w:gridCol w:w="1440"/>
      </w:tblGrid>
      <w:tr>
        <w:trPr>
          <w:tblHeader w:val="true"/>
          <w:cantSplit/>
        </w:trPr>
        <w:tc>
          <w:tcPr>
            <w:tcW w:type="dxa" w:w="2520"/>
            <w:vAlign w:val="center"/>
            <w:tcBorders>
              <w:bottom w:val="single" w:sz="6" w:color="00000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Medication class</w:t>
            </w:r>
          </w:p>
        </w:tc>
        <w:tc>
          <w:tcPr>
            <w:tcW w:type="dxa" w:w="5400"/>
            <w:vAlign w:val="center"/>
            <w:tcBorders>
              <w:bottom w:val="single" w:sz="6" w:color="00000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Agents recorded</w:t>
            </w:r>
          </w:p>
        </w:tc>
        <w:tc>
          <w:tcPr>
            <w:tcW w:type="dxa" w:w="1440"/>
            <w:vAlign w:val="center"/>
            <w:tcBorders>
              <w:bottom w:val="single" w:sz="6" w:color="00000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Patients, n (%)</w:t>
            </w:r>
          </w:p>
        </w:tc>
      </w:tr>
      <w:tr>
        <w:trPr>
          <w:cantSplit/>
        </w:trPr>
        <w:tc>
          <w:tcPr>
            <w:tcW w:type="dxa" w:w="252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Antidepressants</w:t>
            </w:r>
          </w:p>
        </w:tc>
        <w:tc>
          <w:tcPr>
            <w:tcW w:type="dxa" w:w="54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Sertraline, bupropion, trazodone, clomipramine, fluoxetine, vortioxetine, escitalopram, desvenlafaxine, paroxetine, tianeptine, venlafaxine, duloxetine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57 (36.8)</w:t>
            </w:r>
          </w:p>
        </w:tc>
      </w:tr>
      <w:tr>
        <w:trPr>
          <w:cantSplit/>
        </w:trPr>
        <w:tc>
          <w:tcPr>
            <w:tcW w:type="dxa" w:w="252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Psychiatric medications</w:t>
            </w:r>
          </w:p>
        </w:tc>
        <w:tc>
          <w:tcPr>
            <w:tcW w:type="dxa" w:w="54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Quetiapine, lithium, olanzapine, risperidone, aripiprazole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48 (31.0)</w:t>
            </w:r>
          </w:p>
        </w:tc>
      </w:tr>
      <w:tr>
        <w:trPr>
          <w:cantSplit/>
        </w:trPr>
        <w:tc>
          <w:tcPr>
            <w:tcW w:type="dxa" w:w="252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Anxiolytics</w:t>
            </w:r>
          </w:p>
        </w:tc>
        <w:tc>
          <w:tcPr>
            <w:tcW w:type="dxa" w:w="54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Diazepam, lorazepam, alprazolam, tofisopam, bromazepam, buspirone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32 (20.6)</w:t>
            </w:r>
          </w:p>
        </w:tc>
      </w:tr>
      <w:tr>
        <w:trPr>
          <w:cantSplit/>
        </w:trPr>
        <w:tc>
          <w:tcPr>
            <w:tcW w:type="dxa" w:w="252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Anticonvulsants</w:t>
            </w:r>
          </w:p>
        </w:tc>
        <w:tc>
          <w:tcPr>
            <w:tcW w:type="dxa" w:w="54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Topiramate, lamotrigine, valproic acid, clonazepam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25 (16.1)</w:t>
            </w:r>
          </w:p>
        </w:tc>
      </w:tr>
      <w:tr>
        <w:trPr>
          <w:cantSplit/>
        </w:trPr>
        <w:tc>
          <w:tcPr>
            <w:tcW w:type="dxa" w:w="252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Attention-deficit/hyperactivity disorder and other central nervous system medications</w:t>
            </w:r>
          </w:p>
        </w:tc>
        <w:tc>
          <w:tcPr>
            <w:tcW w:type="dxa" w:w="54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Methylphenidate (n = 14), atomoxetine (n = 6)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18 (11.6)</w:t>
            </w:r>
          </w:p>
        </w:tc>
      </w:tr>
      <w:tr>
        <w:trPr>
          <w:cantSplit/>
        </w:trPr>
        <w:tc>
          <w:tcPr>
            <w:tcW w:type="dxa" w:w="252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Hypnotics and sedatives</w:t>
            </w:r>
          </w:p>
        </w:tc>
        <w:tc>
          <w:tcPr>
            <w:tcW w:type="dxa" w:w="54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Zolpidem, melatonin, triazolam, zaleplon, flunitrazepam, eszopiclone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10 (6.5)</w:t>
            </w:r>
          </w:p>
        </w:tc>
      </w:tr>
      <w:tr>
        <w:trPr>
          <w:cantSplit/>
        </w:trPr>
        <w:tc>
          <w:tcPr>
            <w:tcW w:type="dxa" w:w="252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Beta-blockers</w:t>
            </w:r>
          </w:p>
        </w:tc>
        <w:tc>
          <w:tcPr>
            <w:tcW w:type="dxa" w:w="54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Propranolol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9 (5.8)</w:t>
            </w:r>
          </w:p>
        </w:tc>
      </w:tr>
      <w:tr>
        <w:trPr>
          <w:cantSplit/>
        </w:trPr>
        <w:tc>
          <w:tcPr>
            <w:tcW w:type="dxa" w:w="252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Drugs for substance dependence</w:t>
            </w:r>
          </w:p>
        </w:tc>
        <w:tc>
          <w:tcPr>
            <w:tcW w:type="dxa" w:w="54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Naltrexone, acamprosate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3 (1.9)</w:t>
            </w:r>
          </w:p>
        </w:tc>
      </w:tr>
      <w:tr>
        <w:trPr>
          <w:cantSplit/>
        </w:trPr>
        <w:tc>
          <w:tcPr>
            <w:tcW w:type="dxa" w:w="252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Gastrointestinal motility agents</w:t>
            </w:r>
          </w:p>
        </w:tc>
        <w:tc>
          <w:tcPr>
            <w:tcW w:type="dxa" w:w="54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Mosapride, itopride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3 (1.9)</w:t>
            </w:r>
          </w:p>
        </w:tc>
      </w:tr>
      <w:tr>
        <w:trPr>
          <w:cantSplit/>
        </w:trPr>
        <w:tc>
          <w:tcPr>
            <w:tcW w:type="dxa" w:w="252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Acid-suppressive and peptic-ulcer medications</w:t>
            </w:r>
          </w:p>
        </w:tc>
        <w:tc>
          <w:tcPr>
            <w:tcW w:type="dxa" w:w="54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Lafutidine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2 (1.3)</w:t>
            </w:r>
          </w:p>
        </w:tc>
      </w:tr>
      <w:tr>
        <w:trPr>
          <w:cantSplit/>
        </w:trPr>
        <w:tc>
          <w:tcPr>
            <w:tcW w:type="dxa" w:w="252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Digestive enzymes</w:t>
            </w:r>
          </w:p>
        </w:tc>
        <w:tc>
          <w:tcPr>
            <w:tcW w:type="dxa" w:w="54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Digestives, including enzymes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1 (0.6)</w:t>
            </w:r>
          </w:p>
        </w:tc>
      </w:tr>
      <w:tr>
        <w:trPr>
          <w:cantSplit/>
        </w:trPr>
        <w:tc>
          <w:tcPr>
            <w:tcW w:type="dxa" w:w="252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Anti-obesity medication</w:t>
            </w:r>
          </w:p>
        </w:tc>
        <w:tc>
          <w:tcPr>
            <w:tcW w:type="dxa" w:w="54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Semaglutide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1 (0.6)</w:t>
            </w:r>
          </w:p>
        </w:tc>
      </w:tr>
    </w:tbl>
    <w:p>
      <w:pPr>
        <w:spacing w:before="80" w:after="0"/>
      </w:pPr>
      <w:r>
        <w:rPr>
          <w:rFonts w:ascii="Times New Roman" w:hAnsi="Times New Roman" w:eastAsia="Times New Roman"/>
          <w:color w:val="000000"/>
          <w:sz w:val="20"/>
        </w:rPr>
        <w:t xml:space="preserve">FAS = Full Analysis Set. Values are unique patients, n (% of FAS, N = 155). Patients could be included in more than one medication class; therefore, percentages do not sum to 100%. </w:t>
      </w:r>
      <w:r>
        <w:rPr>
          <w:color w:val="000000"/>
        </w:rPr>
      </w:r>
      <w:r>
        <w:rPr>
          <w:rFonts w:ascii="Times New Roman" w:hAnsi="Times New Roman"/>
          <w:color w:val="000000"/>
          <w:sz w:val="20"/>
        </w:rPr>
        <w:t>Selected potentially weight-relevant medications included lithium (n = 35), methylphenidate (n = 14), atomoxetine (n = 6), topiramate (n = 6), valproic acid (n = 3), and semaglutide (n = 1). Individual agent counts are not mutually exclusive.</w:t>
      </w:r>
    </w:p>
    <w:p/>
    <w:p>
      <w:pPr>
        <w:pStyle w:val="Heading1"/>
        <w:keepNext/>
      </w:pPr>
      <w:r>
        <w:rPr>
          <w:color w:val="000000"/>
        </w:rPr>
        <w:t>Table S2. Proportion of patients with ≥5% body weight reduction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12" w:color="000000"/>
          <w:left w:val="nil"/>
          <w:bottom w:val="single" w:sz="12" w:color="000000"/>
          <w:right w:val="nil"/>
          <w:insideH w:val="nil"/>
          <w:insideV w:val="nil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 w:val="true"/>
          <w:cantSplit/>
        </w:trPr>
        <w:tc>
          <w:tcPr>
            <w:tcW w:type="dxa" w:w="2304"/>
            <w:vAlign w:val="center"/>
            <w:tcBorders>
              <w:bottom w:val="single" w:sz="6" w:color="000000"/>
            </w:tcBorders>
          </w:tcPr>
          <w:p>
            <w:pPr>
              <w:spacing w:after="0" w:line="240" w:lineRule="auto" w:before="0"/>
            </w:pPr>
            <w:r>
              <w:rPr>
                <w:b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Comparison period</w:t>
            </w:r>
          </w:p>
        </w:tc>
        <w:tc>
          <w:tcPr>
            <w:tcW w:type="dxa" w:w="1152"/>
            <w:vAlign w:val="center"/>
            <w:tcBorders>
              <w:bottom w:val="single" w:sz="6" w:color="000000"/>
            </w:tcBorders>
          </w:tcPr>
          <w:p>
            <w:pPr>
              <w:spacing w:after="0" w:line="240" w:lineRule="auto" w:before="0"/>
            </w:pPr>
            <w:r>
              <w:rPr>
                <w:b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Analysis set</w:t>
            </w:r>
          </w:p>
        </w:tc>
        <w:tc>
          <w:tcPr>
            <w:tcW w:type="dxa" w:w="1296"/>
            <w:vAlign w:val="center"/>
            <w:tcBorders>
              <w:bottom w:val="single" w:sz="6" w:color="000000"/>
            </w:tcBorders>
          </w:tcPr>
          <w:p>
            <w:pPr>
              <w:spacing w:after="0" w:line="240" w:lineRule="auto" w:before="0"/>
            </w:pPr>
            <w:r>
              <w:rPr>
                <w:b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Denominator</w:t>
            </w:r>
          </w:p>
        </w:tc>
        <w:tc>
          <w:tcPr>
            <w:tcW w:type="dxa" w:w="2160"/>
            <w:vAlign w:val="center"/>
            <w:tcBorders>
              <w:bottom w:val="single" w:sz="6" w:color="000000"/>
            </w:tcBorders>
          </w:tcPr>
          <w:p>
            <w:pPr>
              <w:spacing w:line="240" w:lineRule="auto" w:before="0" w:after="0"/>
            </w:pPr>
            <w:r>
              <w:rPr>
                <w:b/>
                <w:sz w:val="18"/>
              </w:rPr>
              <w:t>Patients with at least 5% reduction</w:t>
            </w:r>
          </w:p>
        </w:tc>
        <w:tc>
          <w:tcPr>
            <w:tcW w:type="dxa" w:w="1008"/>
            <w:vAlign w:val="center"/>
            <w:tcBorders>
              <w:bottom w:val="single" w:sz="6" w:color="000000"/>
            </w:tcBorders>
          </w:tcPr>
          <w:p>
            <w:pPr>
              <w:spacing w:after="0" w:line="240" w:lineRule="auto" w:before="0"/>
            </w:pPr>
            <w:r>
              <w:rPr>
                <w:b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%</w:t>
            </w:r>
          </w:p>
        </w:tc>
        <w:tc>
          <w:tcPr>
            <w:tcW w:type="dxa" w:w="1440"/>
            <w:vAlign w:val="center"/>
            <w:tcBorders>
              <w:bottom w:val="single" w:sz="6" w:color="000000"/>
            </w:tcBorders>
          </w:tcPr>
          <w:p>
            <w:pPr>
              <w:spacing w:after="0" w:line="240" w:lineRule="auto" w:before="0"/>
            </w:pPr>
            <w:r>
              <w:rPr>
                <w:b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95% CI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Baseline to Visit 2</w:t>
            </w:r>
          </w:p>
        </w:tc>
        <w:tc>
          <w:tcPr>
            <w:tcW w:type="dxa" w:w="1152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FAS</w:t>
            </w:r>
          </w:p>
        </w:tc>
        <w:tc>
          <w:tcPr>
            <w:tcW w:type="dxa" w:w="1296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153</w:t>
            </w:r>
          </w:p>
        </w:tc>
        <w:tc>
          <w:tcPr>
            <w:tcW w:type="dxa" w:w="2160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8</w:t>
            </w:r>
          </w:p>
        </w:tc>
        <w:tc>
          <w:tcPr>
            <w:tcW w:type="dxa" w:w="1008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5.2</w:t>
            </w:r>
          </w:p>
        </w:tc>
        <w:tc>
          <w:tcPr>
            <w:tcW w:type="dxa" w:w="1440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2.7–10.0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Visit 2 to Visit 3</w:t>
            </w:r>
          </w:p>
        </w:tc>
        <w:tc>
          <w:tcPr>
            <w:tcW w:type="dxa" w:w="1152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FAS</w:t>
            </w:r>
          </w:p>
        </w:tc>
        <w:tc>
          <w:tcPr>
            <w:tcW w:type="dxa" w:w="1296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153</w:t>
            </w:r>
          </w:p>
        </w:tc>
        <w:tc>
          <w:tcPr>
            <w:tcW w:type="dxa" w:w="2160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18</w:t>
            </w:r>
          </w:p>
        </w:tc>
        <w:tc>
          <w:tcPr>
            <w:tcW w:type="dxa" w:w="1008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11.8</w:t>
            </w:r>
          </w:p>
        </w:tc>
        <w:tc>
          <w:tcPr>
            <w:tcW w:type="dxa" w:w="1440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7.6–17.8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Baseline to Visit 3</w:t>
            </w:r>
          </w:p>
        </w:tc>
        <w:tc>
          <w:tcPr>
            <w:tcW w:type="dxa" w:w="1152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FAS</w:t>
            </w:r>
          </w:p>
        </w:tc>
        <w:tc>
          <w:tcPr>
            <w:tcW w:type="dxa" w:w="1296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155</w:t>
            </w:r>
          </w:p>
        </w:tc>
        <w:tc>
          <w:tcPr>
            <w:tcW w:type="dxa" w:w="2160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40</w:t>
            </w:r>
          </w:p>
        </w:tc>
        <w:tc>
          <w:tcPr>
            <w:tcW w:type="dxa" w:w="1008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25.8</w:t>
            </w:r>
          </w:p>
        </w:tc>
        <w:tc>
          <w:tcPr>
            <w:tcW w:type="dxa" w:w="1440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19.6–33.2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b w:val="0"/>
                <w:sz w:val="18"/>
                <w:color w:val="000000"/>
              </w:rPr>
              <w:t>Baseline to Visit 3 (baseline BMI ≥25 kg/m²)</w:t>
            </w:r>
          </w:p>
        </w:tc>
        <w:tc>
          <w:tcPr>
            <w:tcW w:type="dxa" w:w="1152"/>
            <w:vAlign w:val="center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b w:val="0"/>
                <w:sz w:val="18"/>
                <w:color w:val="000000"/>
              </w:rPr>
              <w:t>FAS subgroup</w:t>
            </w:r>
          </w:p>
        </w:tc>
        <w:tc>
          <w:tcPr>
            <w:tcW w:type="dxa" w:w="1296"/>
            <w:vAlign w:val="center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b w:val="0"/>
                <w:sz w:val="18"/>
                <w:color w:val="000000"/>
              </w:rPr>
              <w:t>101</w:t>
            </w:r>
          </w:p>
        </w:tc>
        <w:tc>
          <w:tcPr>
            <w:tcW w:type="dxa" w:w="2160"/>
            <w:vAlign w:val="center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b w:val="0"/>
                <w:sz w:val="18"/>
                <w:color w:val="000000"/>
              </w:rPr>
              <w:t>26</w:t>
            </w:r>
          </w:p>
        </w:tc>
        <w:tc>
          <w:tcPr>
            <w:tcW w:type="dxa" w:w="1008"/>
            <w:vAlign w:val="center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b w:val="0"/>
                <w:sz w:val="18"/>
                <w:color w:val="000000"/>
              </w:rPr>
              <w:t>25.7</w:t>
            </w:r>
          </w:p>
        </w:tc>
        <w:tc>
          <w:tcPr>
            <w:tcW w:type="dxa" w:w="1440"/>
            <w:vAlign w:val="center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b w:val="0"/>
                <w:sz w:val="18"/>
                <w:color w:val="000000"/>
              </w:rPr>
              <w:t>18.2–35.0</w:t>
            </w:r>
          </w:p>
        </w:tc>
      </w:tr>
    </w:tbl>
    <w:p>
      <w:pPr>
        <w:spacing w:after="120" w:before="60"/>
      </w:pPr>
      <w:r>
        <w:rPr>
          <w:rFonts w:ascii="Times New Roman" w:hAnsi="Times New Roman" w:eastAsia="Times New Roman"/>
          <w:color w:val="000000"/>
          <w:sz w:val="20"/>
        </w:rPr>
        <w:t xml:space="preserve">BMI = body mass index; </w:t>
      </w:r>
      <w:r>
        <w:rPr>
          <w:rFonts w:ascii="Times New Roman" w:hAnsi="Times New Roman" w:eastAsia="Times New Roman"/>
          <w:sz w:val="20"/>
        </w:rPr>
        <w:t xml:space="preserve">CI = confidence interval; FAS = Full Analysis Set. </w:t>
      </w:r>
      <w:r>
        <w:rPr>
          <w:rFonts w:ascii="Times New Roman" w:hAnsi="Times New Roman" w:eastAsia="Times New Roman"/>
          <w:color w:val="000000"/>
          <w:sz w:val="20"/>
        </w:rPr>
        <w:t>A ≥5% weight reduction was defined relative to the first visit in each comparison interval.</w:t>
      </w:r>
      <w:r>
        <w:rPr>
          <w:rFonts w:ascii="Times New Roman" w:hAnsi="Times New Roman" w:eastAsia="Times New Roman"/>
          <w:sz w:val="20"/>
        </w:rPr>
        <w:t xml:space="preserve"> The 95% CIs were calculated using the Wilson method.</w:t>
      </w:r>
    </w:p>
    <w:p/>
    <w:p>
      <w:r>
        <w:br w:type="page"/>
      </w:r>
    </w:p>
    <w:p>
      <w:pPr>
        <w:pStyle w:val="Heading1"/>
      </w:pPr>
      <w:r>
        <w:rPr>
          <w:color w:val="000000"/>
        </w:rPr>
        <w:t>Table S3. HAM-D item and total score changes through 16 weeks (Full Analysis Set, N = 155)</w:t>
      </w:r>
    </w:p>
    <w:tbl>
      <w:tblPr>
        <w:tblW w:w="9100" w:type="dxa"/>
        <w:jc w:val="left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  <w:tblBorders>
          <w:top w:val="single" w:sz="12" w:color="000000"/>
          <w:left w:val="nil"/>
          <w:bottom w:val="single" w:sz="12" w:color="000000"/>
          <w:right w:val="nil"/>
          <w:insideH w:val="nil"/>
          <w:insideV w:val="nil"/>
        </w:tblBorders>
      </w:tblPr>
      <w:tblGrid>
        <w:gridCol w:w="2800"/>
        <w:gridCol w:w="1300"/>
        <w:gridCol w:w="1300"/>
        <w:gridCol w:w="1300"/>
        <w:gridCol w:w="1500"/>
        <w:gridCol w:w="900"/>
      </w:tblGrid>
      <w:tr w:rsidR="00866894" w14:paraId="3DD1BECD" w14:textId="77777777" w:rsidTr="00E05962">
        <w:trPr>
          <w:tblHeader/>
          <w:cantSplit/>
        </w:trPr>
        <w:tc>
          <w:tcPr>
            <w:tcW w:w="2800" w:type="dxa"/>
            <w:tcBorders>
              <w:bottom w:val="single" w:sz="6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9676B2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b/>
                <w:sz w:val="18"/>
              </w:rPr>
              <w:t>HAM-D item</w:t>
            </w:r>
          </w:p>
        </w:tc>
        <w:tc>
          <w:tcPr>
            <w:tcW w:w="1300" w:type="dxa"/>
            <w:tcBorders>
              <w:bottom w:val="single" w:sz="6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545058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b/>
                <w:sz w:val="18"/>
              </w:rPr>
              <w:t>Baseline</w:t>
            </w:r>
            <w:r>
              <w:rPr>
                <w:b/>
                <w:sz w:val="18"/>
              </w:rPr>
              <w:br/>
              <w:t>mean ± SD</w:t>
            </w:r>
          </w:p>
        </w:tc>
        <w:tc>
          <w:tcPr>
            <w:tcW w:w="1300" w:type="dxa"/>
            <w:tcBorders>
              <w:bottom w:val="single" w:sz="6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9B3D53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b/>
                <w:sz w:val="18"/>
              </w:rPr>
              <w:t>Visit 2</w:t>
            </w:r>
            <w:r>
              <w:rPr>
                <w:b/>
                <w:sz w:val="18"/>
              </w:rPr>
              <w:br/>
              <w:t>mean ± SD</w:t>
            </w:r>
          </w:p>
        </w:tc>
        <w:tc>
          <w:tcPr>
            <w:tcW w:w="1300" w:type="dxa"/>
            <w:tcBorders>
              <w:bottom w:val="single" w:sz="6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8C6EA5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b/>
                <w:sz w:val="18"/>
              </w:rPr>
              <w:t>Visit 3</w:t>
            </w:r>
            <w:r>
              <w:rPr>
                <w:b/>
                <w:sz w:val="18"/>
              </w:rPr>
              <w:br/>
              <w:t>mean ± SD</w:t>
            </w:r>
          </w:p>
        </w:tc>
        <w:tc>
          <w:tcPr>
            <w:tcW w:w="1500" w:type="dxa"/>
            <w:tcBorders>
              <w:bottom w:val="single" w:sz="6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7D9373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b/>
                <w:sz w:val="18"/>
              </w:rPr>
              <w:t>Baseline-to-V</w:t>
            </w:r>
            <w:r>
              <w:rPr>
                <w:rFonts w:eastAsia="맑은 고딕" w:hint="eastAsia"/>
                <w:b/>
                <w:sz w:val="18"/>
                <w:lang w:eastAsia="ko-KR"/>
              </w:rPr>
              <w:t xml:space="preserve">isit </w:t>
            </w:r>
            <w:r>
              <w:rPr>
                <w:b/>
                <w:sz w:val="18"/>
              </w:rPr>
              <w:t>3 change</w:t>
            </w:r>
            <w:r>
              <w:rPr>
                <w:b/>
                <w:sz w:val="18"/>
              </w:rPr>
              <w:br/>
              <w:t>mean ± SD</w:t>
            </w:r>
          </w:p>
        </w:tc>
        <w:tc>
          <w:tcPr>
            <w:tcW w:w="900" w:type="dxa"/>
            <w:tcBorders>
              <w:bottom w:val="single" w:sz="6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8E5EA5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b/>
                <w:sz w:val="18"/>
              </w:rPr>
              <w:t>p-value</w:t>
            </w:r>
            <w:r>
              <w:rPr>
                <w:b/>
                <w:sz w:val="18"/>
                <w:vertAlign w:val="superscript"/>
              </w:rPr>
              <w:t>a</w:t>
            </w:r>
          </w:p>
        </w:tc>
      </w:tr>
      <w:tr w:rsidR="00866894" w14:paraId="359364A9" w14:textId="77777777" w:rsidTr="00E05962">
        <w:trPr>
          <w:cantSplit/>
        </w:trPr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9196AA" w14:textId="77777777" w:rsidR="00866894" w:rsidRDefault="00866894" w:rsidP="00E05962">
            <w:pPr>
              <w:spacing w:after="0" w:line="240" w:lineRule="auto" w:before="0"/>
            </w:pPr>
            <w:r>
              <w:rPr>
                <w:sz w:val="18"/>
              </w:rPr>
              <w:t>01. Depressed mood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4DC995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1.73 ± 0.93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3B1A18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1.42 ± 0.83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64D0B4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1.12 ± 0.71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A755E5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-0.61 ± 0.84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96F720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&lt;0.0001</w:t>
            </w:r>
          </w:p>
        </w:tc>
      </w:tr>
      <w:tr w:rsidR="00866894" w14:paraId="765A7B3A" w14:textId="77777777" w:rsidTr="00E05962">
        <w:trPr>
          <w:cantSplit/>
        </w:trPr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897FA8" w14:textId="77777777" w:rsidR="00866894" w:rsidRDefault="00866894" w:rsidP="00E05962">
            <w:pPr>
              <w:spacing w:after="0" w:line="240" w:lineRule="auto" w:before="0"/>
            </w:pPr>
            <w:r>
              <w:rPr>
                <w:sz w:val="18"/>
              </w:rPr>
              <w:t>02. Feelings of guilt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F34F30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1.05 ± 0.83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31A15A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0.85 ± 0.77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07ED63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0.68 ± 0.70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2AB3D3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-0.37 ± 0.73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417CB9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&lt;0.0001</w:t>
            </w:r>
          </w:p>
        </w:tc>
      </w:tr>
      <w:tr w:rsidR="00866894" w14:paraId="3F75760A" w14:textId="77777777" w:rsidTr="00E05962">
        <w:trPr>
          <w:cantSplit/>
        </w:trPr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365EDA" w14:textId="77777777" w:rsidR="00866894" w:rsidRDefault="00866894" w:rsidP="00E05962">
            <w:pPr>
              <w:spacing w:after="0" w:line="240" w:lineRule="auto" w:before="0"/>
            </w:pPr>
            <w:r>
              <w:rPr>
                <w:sz w:val="18"/>
              </w:rPr>
              <w:t>03. Suicide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E1918F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0.48 ± 0.65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99F5E9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0.47 ± 0.67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7BD91D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0.25 ± 0.50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4515E8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-0.24 ± 0.64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666675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&lt;0.0001</w:t>
            </w:r>
          </w:p>
        </w:tc>
      </w:tr>
      <w:tr w:rsidR="00866894" w14:paraId="58E4E2C7" w14:textId="77777777" w:rsidTr="00E05962">
        <w:trPr>
          <w:cantSplit/>
        </w:trPr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3E27D1" w14:textId="77777777" w:rsidR="00866894" w:rsidRDefault="00866894" w:rsidP="00E05962">
            <w:pPr>
              <w:spacing w:after="0" w:line="240" w:lineRule="auto" w:before="0"/>
            </w:pPr>
            <w:r>
              <w:rPr>
                <w:sz w:val="18"/>
              </w:rPr>
              <w:t>04. Insomnia early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8A29A9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0.97 ± 0.70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6CFCBC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0.79 ± 0.63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285E96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0.65 ± 0.60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C1735E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-0.32 ± 0.57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738C94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&lt;0.0001</w:t>
            </w:r>
          </w:p>
        </w:tc>
      </w:tr>
      <w:tr w:rsidR="00866894" w14:paraId="2DC73FF8" w14:textId="77777777" w:rsidTr="00E05962">
        <w:trPr>
          <w:cantSplit/>
        </w:trPr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DCE467" w14:textId="77777777" w:rsidR="00866894" w:rsidRDefault="00866894" w:rsidP="00E05962">
            <w:pPr>
              <w:spacing w:after="0" w:line="240" w:lineRule="auto" w:before="0"/>
            </w:pPr>
            <w:r>
              <w:rPr>
                <w:sz w:val="18"/>
              </w:rPr>
              <w:t>05. Insomnia middle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3323C7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0.83 ± 0.66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F05366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0.62 ± 0.56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BC3C2E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0.50 ± 0.57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5D9F88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-0.32 ± 0.65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BDF0AF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&lt;0.0001</w:t>
            </w:r>
          </w:p>
        </w:tc>
      </w:tr>
      <w:tr w:rsidR="00866894" w14:paraId="51DDF90B" w14:textId="77777777" w:rsidTr="00E05962">
        <w:trPr>
          <w:cantSplit/>
        </w:trPr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EDD121" w14:textId="77777777" w:rsidR="00866894" w:rsidRDefault="00866894" w:rsidP="00E05962">
            <w:pPr>
              <w:spacing w:after="0" w:line="240" w:lineRule="auto" w:before="0"/>
            </w:pPr>
            <w:r>
              <w:rPr>
                <w:sz w:val="18"/>
              </w:rPr>
              <w:t>06. Insomnia late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7CB621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0.64 ± 0.63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63F358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0.47 ± 0.57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7B4B6B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0.41 ± 0.57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08F02F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-0.23 ± 0.62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F30A46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&lt;0.0001</w:t>
            </w:r>
          </w:p>
        </w:tc>
      </w:tr>
      <w:tr w:rsidR="00866894" w14:paraId="618DAB56" w14:textId="77777777" w:rsidTr="00E05962">
        <w:trPr>
          <w:cantSplit/>
        </w:trPr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A7FE20" w14:textId="77777777" w:rsidR="00866894" w:rsidRDefault="00866894" w:rsidP="00E05962">
            <w:pPr>
              <w:spacing w:after="0" w:line="240" w:lineRule="auto" w:before="0"/>
            </w:pPr>
            <w:r>
              <w:rPr>
                <w:sz w:val="18"/>
              </w:rPr>
              <w:t>07. Work and activities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CCF762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1.57 ± 0.99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3B1158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1.16 ± 0.85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150CEC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0.99 ± 0.73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9D9D2A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-0.58 ± 0.93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A33DFC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&lt;0.0001</w:t>
            </w:r>
          </w:p>
        </w:tc>
      </w:tr>
      <w:tr w:rsidR="00866894" w14:paraId="51A19F95" w14:textId="77777777" w:rsidTr="00E05962">
        <w:trPr>
          <w:cantSplit/>
        </w:trPr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F2E454" w14:textId="77777777" w:rsidR="00866894" w:rsidRDefault="00866894" w:rsidP="00E05962">
            <w:pPr>
              <w:spacing w:after="0" w:line="240" w:lineRule="auto" w:before="0"/>
            </w:pPr>
            <w:r>
              <w:rPr>
                <w:sz w:val="18"/>
              </w:rPr>
              <w:t>08. Retardation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2E1514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1.15 ± 0.99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EB5A57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0.91 ± 0.87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F56651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0.72 ± 0.78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62F970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-0.43 ± 0.80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07F728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&lt;0.0001</w:t>
            </w:r>
          </w:p>
        </w:tc>
      </w:tr>
      <w:tr w:rsidR="00866894" w14:paraId="1A26C6BF" w14:textId="77777777" w:rsidTr="00E05962">
        <w:trPr>
          <w:cantSplit/>
        </w:trPr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74001B" w14:textId="77777777" w:rsidR="00866894" w:rsidRDefault="00866894" w:rsidP="00E05962">
            <w:pPr>
              <w:spacing w:after="0" w:line="240" w:lineRule="auto" w:before="0"/>
            </w:pPr>
            <w:r>
              <w:rPr>
                <w:sz w:val="18"/>
              </w:rPr>
              <w:t>09. Agitation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34D1A4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1.15 ± 0.80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5B6582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0.93 ± 0.66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51F968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0.77 ± 0.64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D9C1B3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-0.38 ± 0.76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E8F5B5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&lt;0.0001</w:t>
            </w:r>
          </w:p>
        </w:tc>
      </w:tr>
      <w:tr w:rsidR="00866894" w14:paraId="44183516" w14:textId="77777777" w:rsidTr="00E05962">
        <w:trPr>
          <w:cantSplit/>
        </w:trPr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A34462" w14:textId="77777777" w:rsidR="00866894" w:rsidRDefault="00866894" w:rsidP="00E05962">
            <w:pPr>
              <w:spacing w:after="0" w:line="240" w:lineRule="auto" w:before="0"/>
            </w:pPr>
            <w:r>
              <w:rPr>
                <w:sz w:val="18"/>
              </w:rPr>
              <w:t>10. Anxiety, psychic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8349E0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1.46 ± 0.79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B61442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1.15 ± 0.67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33E173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0.95 ± 0.62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5CB877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-0.51 ± 0.73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1D9636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&lt;0.0001</w:t>
            </w:r>
          </w:p>
        </w:tc>
      </w:tr>
      <w:tr w:rsidR="00866894" w14:paraId="62664D8D" w14:textId="77777777" w:rsidTr="00E05962">
        <w:trPr>
          <w:cantSplit/>
        </w:trPr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B971EC" w14:textId="77777777" w:rsidR="00866894" w:rsidRDefault="00866894" w:rsidP="00E05962">
            <w:pPr>
              <w:spacing w:after="0" w:line="240" w:lineRule="auto" w:before="0"/>
            </w:pPr>
            <w:r>
              <w:rPr>
                <w:sz w:val="18"/>
              </w:rPr>
              <w:t>11. Anxiety, somatic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544EEA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1.19 ± 0.77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643B4E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0.86 ± 0.63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43E013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0.71 ± 0.62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F81057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-0.48 ± 0.74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97D8D6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&lt;0.0001</w:t>
            </w:r>
          </w:p>
        </w:tc>
      </w:tr>
      <w:tr w:rsidR="00866894" w14:paraId="7890BC3C" w14:textId="77777777" w:rsidTr="00E05962">
        <w:trPr>
          <w:cantSplit/>
        </w:trPr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BA02D4" w14:textId="77777777" w:rsidR="00866894" w:rsidRDefault="00866894" w:rsidP="00E05962">
            <w:pPr>
              <w:spacing w:after="0" w:line="240" w:lineRule="auto" w:before="0"/>
            </w:pPr>
            <w:r>
              <w:rPr>
                <w:sz w:val="18"/>
              </w:rPr>
              <w:t>12. Somatic symptoms, gastrointestinal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0B2202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0.54 ± 0.55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2479E7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0.44 ± 0.54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6537DC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0.38 ± 0.51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1CBB75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-0.16 ± 0.56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502464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&lt;0.0001</w:t>
            </w:r>
          </w:p>
        </w:tc>
      </w:tr>
      <w:tr w:rsidR="00866894" w14:paraId="7A73D8F9" w14:textId="77777777" w:rsidTr="00E05962">
        <w:trPr>
          <w:cantSplit/>
        </w:trPr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923491" w14:textId="77777777" w:rsidR="00866894" w:rsidRDefault="00866894" w:rsidP="00E05962">
            <w:pPr>
              <w:spacing w:after="0" w:line="240" w:lineRule="auto" w:before="0"/>
            </w:pPr>
            <w:r>
              <w:rPr>
                <w:sz w:val="18"/>
              </w:rPr>
              <w:t>13. General somatic symptoms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F798BB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0.86 ± 0.65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AB3A05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0.63 ± 0.59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DD7D80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0.54 ± 0.54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246D5F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-0.32 ± 0.61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848F21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0.0005</w:t>
            </w:r>
          </w:p>
        </w:tc>
      </w:tr>
      <w:tr w:rsidR="00866894" w14:paraId="181741F2" w14:textId="77777777" w:rsidTr="00E05962">
        <w:trPr>
          <w:cantSplit/>
        </w:trPr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57CF8D" w14:textId="77777777" w:rsidR="00866894" w:rsidRDefault="00866894" w:rsidP="00E05962">
            <w:pPr>
              <w:spacing w:after="0" w:line="240" w:lineRule="auto" w:before="0"/>
            </w:pPr>
            <w:r>
              <w:rPr>
                <w:sz w:val="18"/>
              </w:rPr>
              <w:t>14. Genital symptoms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C2413E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0.44 ± 0.59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4DCC60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0.31 ± 0.48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A66B72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0.26 ± 0.44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74D5D1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-0.18 ± 0.45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3BB83A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&lt;0.0001</w:t>
            </w:r>
          </w:p>
        </w:tc>
      </w:tr>
      <w:tr w:rsidR="00866894" w14:paraId="4DF5BB18" w14:textId="77777777" w:rsidTr="00E05962">
        <w:trPr>
          <w:cantSplit/>
        </w:trPr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498F38" w14:textId="77777777" w:rsidR="00866894" w:rsidRDefault="00866894" w:rsidP="00E05962">
            <w:pPr>
              <w:spacing w:after="0" w:line="240" w:lineRule="auto" w:before="0"/>
            </w:pPr>
            <w:r>
              <w:rPr>
                <w:sz w:val="18"/>
              </w:rPr>
              <w:t>15. Hypochondriasis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83AEC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0.65 ± 0.68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C958EF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0.51 ± 0.59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65A38F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0.39 ± 0.56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40A3E1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-0.26 ± 0.59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DBBD31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&lt;0.0001</w:t>
            </w:r>
          </w:p>
        </w:tc>
      </w:tr>
      <w:tr w:rsidR="00866894" w14:paraId="42CC583C" w14:textId="77777777" w:rsidTr="00E05962">
        <w:trPr>
          <w:cantSplit/>
        </w:trPr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176DB2" w14:textId="77777777" w:rsidR="00866894" w:rsidRDefault="00866894" w:rsidP="00E05962">
            <w:pPr>
              <w:spacing w:after="0" w:line="240" w:lineRule="auto" w:before="0"/>
            </w:pPr>
            <w:r>
              <w:rPr>
                <w:sz w:val="18"/>
              </w:rPr>
              <w:t>16. Loss of weight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D827AD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0.05 ± 0.25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76BB70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0.12 ± 0.35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019C3E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0.11 ± 0.33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D3C739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+0.06 ± 0.40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8EA13C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0.0717</w:t>
            </w:r>
          </w:p>
        </w:tc>
      </w:tr>
      <w:tr w:rsidR="00866894" w14:paraId="6241D816" w14:textId="77777777" w:rsidTr="00E05962">
        <w:trPr>
          <w:cantSplit/>
        </w:trPr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61BCAE" w14:textId="77777777" w:rsidR="00866894" w:rsidRDefault="00866894" w:rsidP="00E05962">
            <w:pPr>
              <w:spacing w:after="0" w:line="240" w:lineRule="auto" w:before="0"/>
            </w:pPr>
            <w:r>
              <w:rPr>
                <w:sz w:val="18"/>
              </w:rPr>
              <w:t>17. Insight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90329C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0.41 ± 0.53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F24484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0.41 ± 0.52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3B5E7C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0.37 ± 0.52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A48F6B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-0.04 ± 0.34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1EC394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0.1580</w:t>
            </w:r>
          </w:p>
        </w:tc>
      </w:tr>
      <w:tr w:rsidR="00866894" w14:paraId="5B3580CF" w14:textId="77777777" w:rsidTr="00E05962">
        <w:trPr>
          <w:cantSplit/>
        </w:trPr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0B9D3C" w14:textId="77777777" w:rsidR="00866894" w:rsidRDefault="00866894" w:rsidP="00E05962">
            <w:pPr>
              <w:spacing w:after="0" w:line="240" w:lineRule="auto" w:before="0"/>
            </w:pPr>
            <w:r>
              <w:rPr>
                <w:sz w:val="18"/>
              </w:rPr>
              <w:t>Total HAM-D score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9BC716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15.17 ± 7.82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316AFC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12.03 ± 6.46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E23723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9.81 ± 5.82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6A21A4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-5.36 ± 5.99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9967F2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sz w:val="18"/>
              </w:rPr>
              <w:t>&lt;0.0001</w:t>
            </w:r>
          </w:p>
        </w:tc>
      </w:tr>
      <w:tr w:rsidR="00866894" w14:paraId="5B3580CF" w14:textId="77777777" w:rsidTr="00E05962">
        <w:trPr>
          <w:cantSplit/>
        </w:trPr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0B9D3C" w14:textId="77777777" w:rsidR="00866894" w:rsidRDefault="00866894" w:rsidP="00E05962">
            <w:pPr>
              <w:spacing w:after="0" w:line="240" w:lineRule="auto" w:before="0"/>
            </w:pPr>
            <w:r>
              <w:rPr>
                <w:color w:val="000000"/>
                <w:sz w:val="18"/>
              </w:rPr>
              <w:t>Total HAM-D score excluding Item 16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9BC716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color w:val="000000"/>
                <w:sz w:val="18"/>
              </w:rPr>
              <w:t>15.12 ± 7.76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316AFC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color w:val="000000"/>
                <w:sz w:val="18"/>
              </w:rPr>
              <w:t>11.90 ± 6.37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E23723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color w:val="000000"/>
                <w:sz w:val="18"/>
              </w:rPr>
              <w:t>9.70 ± 5.80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6A21A4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color w:val="000000"/>
                <w:sz w:val="18"/>
              </w:rPr>
              <w:t>-5.42 ± 6.05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9967F2" w14:textId="77777777" w:rsidR="00866894" w:rsidRDefault="00866894" w:rsidP="00E05962">
            <w:pPr>
              <w:spacing w:after="0" w:line="240" w:lineRule="auto" w:before="0"/>
              <w:jc w:val="center"/>
            </w:pPr>
            <w:r>
              <w:rPr>
                <w:color w:val="000000"/>
                <w:sz w:val="18"/>
              </w:rPr>
              <w:t>&lt;0.0001</w:t>
            </w:r>
          </w:p>
        </w:tc>
      </w:tr>
    </w:tbl>
    <w:p>
      <w:r>
        <w:rPr>
          <w:rFonts w:ascii="Times New Roman" w:hAnsi="Times New Roman" w:eastAsia="Times New Roman"/>
          <w:sz w:val="20"/>
        </w:rPr>
        <w:t xml:space="preserve">HAM-D = 17-item Hamilton Depression Rating Scale; SD = standard deviation. Visit 2 and Visit 3 item-level denominators ranged from 153 to 154 and 154 to 155, respectively. ᵃWilcoxon signed-rank test for the within-patient change from baseline to Visit 3 using available observations. </w:t>
      </w:r>
      <w:r>
        <w:rPr>
          <w:rFonts w:ascii="Times New Roman" w:hAnsi="Times New Roman" w:eastAsia="Times New Roman"/>
          <w:color w:val="000000"/>
          <w:sz w:val="20"/>
        </w:rPr>
        <w:t>Item-level analyses were exploratory; nominal p-values were not adjusted for multiple comparisons.</w:t>
      </w:r>
      <w:r>
        <w:rPr>
          <w:rFonts w:ascii="Times New Roman" w:hAnsi="Times New Roman" w:eastAsia="Times New Roman"/>
          <w:color w:val="000000"/>
          <w:sz w:val="20"/>
        </w:rPr>
        <w:t xml:space="preserve"> The total score excluding Item 16 was evaluated post hoc as a sensitivity analysis.</w:t>
      </w:r>
    </w:p>
    <w:p>
      <w:r>
        <w:br w:type="page"/>
      </w:r>
    </w:p>
    <w:p>
      <w:pPr>
        <w:pStyle w:val="Heading1"/>
        <w:keepNext/>
      </w:pPr>
      <w:r>
        <w:rPr>
          <w:color w:val="000000"/>
        </w:rPr>
        <w:t>Table S4. CGI-I dose subgroup analysis at 4 and 16 weeks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12" w:color="000000"/>
          <w:left w:val="nil"/>
          <w:bottom w:val="single" w:sz="12" w:color="000000"/>
          <w:right w:val="nil"/>
          <w:insideH w:val="nil"/>
          <w:insideV w:val="nil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cantSplit/>
        </w:trPr>
        <w:tc>
          <w:tcPr>
            <w:tcW w:type="dxa" w:w="1418"/>
            <w:vAlign w:val="center"/>
            <w:tcBorders>
              <w:bottom w:val="single" w:sz="6" w:color="000000"/>
            </w:tcBorders>
          </w:tcPr>
          <w:p>
            <w:pPr>
              <w:spacing w:after="0" w:line="240" w:lineRule="auto" w:before="0"/>
            </w:pPr>
            <w:r>
              <w:rPr>
                <w:b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Dose subgroup</w:t>
            </w:r>
          </w:p>
        </w:tc>
        <w:tc>
          <w:tcPr>
            <w:tcW w:type="dxa" w:w="2269"/>
            <w:vAlign w:val="center"/>
            <w:tcBorders>
              <w:bottom w:val="single" w:sz="6" w:color="000000"/>
            </w:tcBorders>
          </w:tcPr>
          <w:p>
            <w:pPr>
              <w:spacing w:after="0" w:line="240" w:lineRule="auto" w:before="0"/>
            </w:pPr>
            <w:r>
              <w:rPr>
                <w:b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Visit 2 CGI-I</w:t>
            </w:r>
          </w:p>
        </w:tc>
        <w:tc>
          <w:tcPr>
            <w:tcW w:type="dxa" w:w="2269"/>
            <w:vAlign w:val="center"/>
            <w:tcBorders>
              <w:bottom w:val="single" w:sz="6" w:color="000000"/>
            </w:tcBorders>
          </w:tcPr>
          <w:p>
            <w:pPr>
              <w:spacing w:after="0" w:line="240" w:lineRule="auto" w:before="0"/>
            </w:pPr>
            <w:r>
              <w:rPr>
                <w:b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Visit 3 CGI-I</w:t>
            </w:r>
          </w:p>
        </w:tc>
        <w:tc>
          <w:tcPr>
            <w:tcW w:type="dxa" w:w="2269"/>
            <w:vAlign w:val="center"/>
            <w:tcBorders>
              <w:bottom w:val="single" w:sz="6" w:color="000000"/>
            </w:tcBorders>
          </w:tcPr>
          <w:p>
            <w:pPr>
              <w:spacing w:after="0" w:line="240" w:lineRule="auto" w:before="0"/>
            </w:pPr>
            <w:r>
              <w:rPr>
                <w:b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Visit 2 to Visit 3 change</w:t>
            </w:r>
          </w:p>
        </w:tc>
        <w:tc>
          <w:tcPr>
            <w:tcW w:type="dxa" w:w="1135"/>
            <w:vAlign w:val="center"/>
            <w:tcBorders>
              <w:bottom w:val="single" w:sz="6" w:color="000000"/>
            </w:tcBorders>
          </w:tcPr>
          <w:p>
            <w:pPr>
              <w:spacing w:after="0" w:line="240" w:lineRule="auto" w:before="0"/>
            </w:pPr>
            <w:r>
              <w:rPr>
                <w:b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p-value</w:t>
            </w:r>
          </w:p>
        </w:tc>
      </w:tr>
      <w:tr>
        <w:trPr>
          <w:cantSplit/>
        </w:trPr>
        <w:tc>
          <w:tcPr>
            <w:tcW w:type="dxa" w:w="1418"/>
            <w:vAlign w:val="center"/>
          </w:tcPr>
          <w:p>
            <w:pPr>
              <w:spacing w:line="240" w:lineRule="auto" w:before="0" w:after="0"/>
            </w:pPr>
            <w:r>
              <w:rPr>
                <w:sz w:val="18"/>
              </w:rPr>
              <w:t>Overall</w:t>
            </w:r>
          </w:p>
        </w:tc>
        <w:tc>
          <w:tcPr>
            <w:tcW w:type="dxa" w:w="2269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154, 3.44±0.72</w:t>
              <w:br/>
              <w:t>(3, 1, 6)</w:t>
            </w:r>
          </w:p>
        </w:tc>
        <w:tc>
          <w:tcPr>
            <w:tcW w:type="dxa" w:w="2269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155, 3.07±0.94</w:t>
              <w:br/>
              <w:t>(3, 1, 6)</w:t>
            </w:r>
          </w:p>
        </w:tc>
        <w:tc>
          <w:tcPr>
            <w:tcW w:type="dxa" w:w="2269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154, -0.36±1.00</w:t>
              <w:br/>
              <w:t>(0, -4, 3)</w:t>
            </w:r>
          </w:p>
        </w:tc>
        <w:tc>
          <w:tcPr>
            <w:tcW w:type="dxa" w:w="1135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&lt;0.0001</w:t>
            </w:r>
          </w:p>
        </w:tc>
      </w:tr>
      <w:tr>
        <w:trPr>
          <w:cantSplit/>
        </w:trPr>
        <w:tc>
          <w:tcPr>
            <w:tcW w:type="dxa" w:w="1418"/>
            <w:vAlign w:val="center"/>
          </w:tcPr>
          <w:p>
            <w:pPr>
              <w:spacing w:line="240" w:lineRule="auto" w:before="0" w:after="0"/>
            </w:pPr>
            <w:r>
              <w:rPr>
                <w:sz w:val="18"/>
              </w:rPr>
              <w:t>10 mg</w:t>
            </w:r>
          </w:p>
        </w:tc>
        <w:tc>
          <w:tcPr>
            <w:tcW w:type="dxa" w:w="2269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1, 3</w:t>
            </w:r>
          </w:p>
        </w:tc>
        <w:tc>
          <w:tcPr>
            <w:tcW w:type="dxa" w:w="2269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1, 2</w:t>
            </w:r>
          </w:p>
        </w:tc>
        <w:tc>
          <w:tcPr>
            <w:tcW w:type="dxa" w:w="2269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1, -1</w:t>
            </w:r>
          </w:p>
        </w:tc>
        <w:tc>
          <w:tcPr>
            <w:tcW w:type="dxa" w:w="1135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-</w:t>
            </w:r>
          </w:p>
        </w:tc>
      </w:tr>
      <w:tr>
        <w:trPr>
          <w:cantSplit/>
        </w:trPr>
        <w:tc>
          <w:tcPr>
            <w:tcW w:type="dxa" w:w="1418"/>
            <w:vAlign w:val="center"/>
          </w:tcPr>
          <w:p>
            <w:pPr>
              <w:spacing w:line="240" w:lineRule="auto" w:before="0" w:after="0"/>
            </w:pPr>
            <w:r>
              <w:rPr>
                <w:sz w:val="18"/>
              </w:rPr>
              <w:t>20 mg</w:t>
            </w:r>
          </w:p>
        </w:tc>
        <w:tc>
          <w:tcPr>
            <w:tcW w:type="dxa" w:w="2269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60, 3.47±0.75</w:t>
              <w:br/>
              <w:t>(3, 2, 5)</w:t>
            </w:r>
          </w:p>
        </w:tc>
        <w:tc>
          <w:tcPr>
            <w:tcW w:type="dxa" w:w="2269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61, 3.15±1.00</w:t>
              <w:br/>
              <w:t>(3, 1, 6)</w:t>
            </w:r>
          </w:p>
        </w:tc>
        <w:tc>
          <w:tcPr>
            <w:tcW w:type="dxa" w:w="2269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60, -0.30±1.14</w:t>
              <w:br/>
              <w:t>(0, -3, 3)</w:t>
            </w:r>
          </w:p>
        </w:tc>
        <w:tc>
          <w:tcPr>
            <w:tcW w:type="dxa" w:w="1135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0.0459</w:t>
            </w:r>
          </w:p>
        </w:tc>
      </w:tr>
      <w:tr>
        <w:trPr>
          <w:cantSplit/>
        </w:trPr>
        <w:tc>
          <w:tcPr>
            <w:tcW w:type="dxa" w:w="1418"/>
            <w:vAlign w:val="center"/>
          </w:tcPr>
          <w:p>
            <w:pPr>
              <w:spacing w:line="240" w:lineRule="auto" w:before="0" w:after="0"/>
            </w:pPr>
            <w:r>
              <w:rPr>
                <w:sz w:val="18"/>
              </w:rPr>
              <w:t>40 mg</w:t>
            </w:r>
          </w:p>
        </w:tc>
        <w:tc>
          <w:tcPr>
            <w:tcW w:type="dxa" w:w="2269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47, 3.51±0.78</w:t>
              <w:br/>
              <w:t>(4, 1, 6)</w:t>
            </w:r>
          </w:p>
        </w:tc>
        <w:tc>
          <w:tcPr>
            <w:tcW w:type="dxa" w:w="2269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47, 3.11±0.91</w:t>
              <w:br/>
              <w:t>(3, 1, 5)</w:t>
            </w:r>
          </w:p>
        </w:tc>
        <w:tc>
          <w:tcPr>
            <w:tcW w:type="dxa" w:w="2269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47, -0.40±0.97</w:t>
              <w:br/>
              <w:t>(0, -4, 1)</w:t>
            </w:r>
          </w:p>
        </w:tc>
        <w:tc>
          <w:tcPr>
            <w:tcW w:type="dxa" w:w="1135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0.0064</w:t>
            </w:r>
          </w:p>
        </w:tc>
      </w:tr>
      <w:tr>
        <w:trPr>
          <w:cantSplit/>
        </w:trPr>
        <w:tc>
          <w:tcPr>
            <w:tcW w:type="dxa" w:w="1418"/>
            <w:vAlign w:val="center"/>
          </w:tcPr>
          <w:p>
            <w:pPr>
              <w:spacing w:line="240" w:lineRule="auto" w:before="0" w:after="0"/>
            </w:pPr>
            <w:r>
              <w:rPr>
                <w:sz w:val="18"/>
              </w:rPr>
              <w:t>60 mg</w:t>
            </w:r>
          </w:p>
        </w:tc>
        <w:tc>
          <w:tcPr>
            <w:tcW w:type="dxa" w:w="2269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19, 3.53±0.70</w:t>
              <w:br/>
              <w:t>(4, 2, 5)</w:t>
            </w:r>
          </w:p>
        </w:tc>
        <w:tc>
          <w:tcPr>
            <w:tcW w:type="dxa" w:w="2269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19, 3.37±0.76</w:t>
              <w:br/>
              <w:t>(3, 2, 5)</w:t>
            </w:r>
          </w:p>
        </w:tc>
        <w:tc>
          <w:tcPr>
            <w:tcW w:type="dxa" w:w="2269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19, -0.16±1.01</w:t>
              <w:br/>
              <w:t>(0, -3, 2)</w:t>
            </w:r>
          </w:p>
        </w:tc>
        <w:tc>
          <w:tcPr>
            <w:tcW w:type="dxa" w:w="1135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0.5061</w:t>
            </w:r>
          </w:p>
        </w:tc>
      </w:tr>
      <w:tr>
        <w:trPr>
          <w:cantSplit/>
        </w:trPr>
        <w:tc>
          <w:tcPr>
            <w:tcW w:type="dxa" w:w="1418"/>
            <w:vAlign w:val="center"/>
          </w:tcPr>
          <w:p>
            <w:pPr>
              <w:spacing w:line="240" w:lineRule="auto" w:before="0" w:after="0"/>
            </w:pPr>
            <w:r>
              <w:rPr>
                <w:sz w:val="18"/>
              </w:rPr>
              <w:t>80 mg</w:t>
            </w:r>
          </w:p>
        </w:tc>
        <w:tc>
          <w:tcPr>
            <w:tcW w:type="dxa" w:w="2269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27, 3.22±0.58</w:t>
              <w:br/>
              <w:t>(3, 2, 4)</w:t>
            </w:r>
          </w:p>
        </w:tc>
        <w:tc>
          <w:tcPr>
            <w:tcW w:type="dxa" w:w="2269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27, 2.67±0.88</w:t>
              <w:br/>
              <w:t>(2, 1, 4)</w:t>
            </w:r>
          </w:p>
        </w:tc>
        <w:tc>
          <w:tcPr>
            <w:tcW w:type="dxa" w:w="2269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27, -0.56±0.64</w:t>
              <w:br/>
              <w:t>(-1, -2, 1)</w:t>
            </w:r>
          </w:p>
        </w:tc>
        <w:tc>
          <w:tcPr>
            <w:tcW w:type="dxa" w:w="1135"/>
            <w:vAlign w:val="center"/>
          </w:tcPr>
          <w:p>
            <w:pPr>
              <w:spacing w:after="0" w:line="240" w:lineRule="auto" w:before="0"/>
            </w:pPr>
            <w:r>
              <w:rPr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sz w:val="18"/>
              </w:rPr>
              <w:t>&lt;0.0001</w:t>
            </w:r>
          </w:p>
        </w:tc>
      </w:tr>
    </w:tbl>
    <w:p>
      <w:pPr>
        <w:spacing w:after="120" w:before="60"/>
      </w:pPr>
      <w:r>
        <w:rPr>
          <w:rFonts w:ascii="Times New Roman" w:hAnsi="Times New Roman"/>
          <w:sz w:val="20"/>
        </w:rPr>
        <w:t>CGI-I = Clinical Global Impression-Improvement; SD = standard deviation. Dose subgroups were based on the most frequently administered lurasidone daily dose during follow-up. Values are n, mean ± SD (median, minimum, maximum); single observations are reported as n, value. P-values are from Wilcoxon signed-rank tests of changes from Visit 2 to Visit 3.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1. Supplementary analyses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