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E860F" w14:textId="5A2C3142" w:rsidR="009C683D" w:rsidRPr="002A5F8F" w:rsidRDefault="009C683D">
      <w:pPr>
        <w:rPr>
          <w:rFonts w:ascii="Times New Roman" w:hAnsi="Times New Roman" w:cs="Times New Roman"/>
          <w:b/>
          <w:bCs/>
        </w:rPr>
      </w:pPr>
      <w:r w:rsidRPr="009C683D">
        <w:rPr>
          <w:rFonts w:ascii="Times New Roman" w:hAnsi="Times New Roman" w:cs="Times New Roman"/>
          <w:b/>
          <w:bCs/>
        </w:rPr>
        <w:t xml:space="preserve">Supplementary </w:t>
      </w:r>
      <w:r w:rsidR="002106CF">
        <w:rPr>
          <w:rFonts w:ascii="Times New Roman" w:hAnsi="Times New Roman" w:cs="Times New Roman" w:hint="eastAsia"/>
          <w:b/>
          <w:bCs/>
        </w:rPr>
        <w:t>T</w:t>
      </w:r>
      <w:r w:rsidRPr="009C683D">
        <w:rPr>
          <w:rFonts w:ascii="Times New Roman" w:hAnsi="Times New Roman" w:cs="Times New Roman"/>
          <w:b/>
          <w:bCs/>
        </w:rPr>
        <w:t>able S</w:t>
      </w:r>
      <w:r w:rsidR="00DA4BE7">
        <w:rPr>
          <w:rFonts w:ascii="Times New Roman" w:hAnsi="Times New Roman" w:cs="Times New Roman" w:hint="eastAsia"/>
          <w:b/>
          <w:bCs/>
        </w:rPr>
        <w:t>3</w:t>
      </w:r>
      <w:r w:rsidRPr="009C683D">
        <w:rPr>
          <w:rFonts w:ascii="Times New Roman" w:hAnsi="Times New Roman" w:cs="Times New Roman"/>
          <w:b/>
          <w:bCs/>
        </w:rPr>
        <w:t>.</w:t>
      </w:r>
      <w:r w:rsidRPr="002A5F8F">
        <w:rPr>
          <w:rFonts w:ascii="Times New Roman" w:hAnsi="Times New Roman" w:cs="Times New Roman"/>
          <w:b/>
          <w:bCs/>
        </w:rPr>
        <w:t xml:space="preserve"> </w:t>
      </w:r>
      <w:r w:rsidR="003A571D" w:rsidRPr="002A5F8F">
        <w:rPr>
          <w:rFonts w:ascii="Times New Roman" w:hAnsi="Times New Roman" w:cs="Times New Roman"/>
          <w:b/>
          <w:bCs/>
        </w:rPr>
        <w:t>Effect sizes and group-specific proportions for significant psychiatric diagnosis–suicide attempt method associations in primary and exploratory analyses</w:t>
      </w:r>
    </w:p>
    <w:tbl>
      <w:tblPr>
        <w:tblStyle w:val="11"/>
        <w:tblW w:w="5000" w:type="pct"/>
        <w:tblLook w:val="0420" w:firstRow="1" w:lastRow="0" w:firstColumn="0" w:lastColumn="0" w:noHBand="0" w:noVBand="1"/>
      </w:tblPr>
      <w:tblGrid>
        <w:gridCol w:w="1471"/>
        <w:gridCol w:w="1771"/>
        <w:gridCol w:w="1919"/>
        <w:gridCol w:w="1622"/>
        <w:gridCol w:w="1858"/>
        <w:gridCol w:w="1099"/>
        <w:gridCol w:w="1244"/>
        <w:gridCol w:w="2158"/>
      </w:tblGrid>
      <w:tr w:rsidR="000D3CAC" w:rsidRPr="000D3CAC" w14:paraId="0C7759A5" w14:textId="77777777" w:rsidTr="005A347D">
        <w:trPr>
          <w:cnfStyle w:val="100000000000" w:firstRow="1" w:lastRow="0" w:firstColumn="0" w:lastColumn="0" w:oddVBand="0" w:evenVBand="0" w:oddHBand="0" w:evenHBand="0" w:firstRowFirstColumn="0" w:firstRowLastColumn="0" w:lastRowFirstColumn="0" w:lastRowLastColumn="0"/>
          <w:trHeight w:val="397"/>
        </w:trPr>
        <w:tc>
          <w:tcPr>
            <w:tcW w:w="560" w:type="pct"/>
          </w:tcPr>
          <w:p w14:paraId="375E7F6E" w14:textId="44DBC393"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eastAsia="Arial" w:hAnsi="Times New Roman" w:cs="Times New Roman"/>
                <w:color w:val="000000"/>
                <w:sz w:val="21"/>
                <w:szCs w:val="21"/>
              </w:rPr>
            </w:pPr>
            <w:r w:rsidRPr="000D3CAC">
              <w:rPr>
                <w:rFonts w:ascii="Times New Roman" w:eastAsia="Arial" w:hAnsi="Times New Roman" w:cs="Times New Roman"/>
                <w:b w:val="0"/>
                <w:bCs w:val="0"/>
                <w:color w:val="000000"/>
                <w:sz w:val="21"/>
                <w:szCs w:val="21"/>
              </w:rPr>
              <w:t>Analysis</w:t>
            </w:r>
          </w:p>
        </w:tc>
        <w:tc>
          <w:tcPr>
            <w:tcW w:w="674" w:type="pct"/>
          </w:tcPr>
          <w:p w14:paraId="3F4B7A86" w14:textId="09E2E277"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hAnsi="Times New Roman" w:cs="Times New Roman"/>
                <w:color w:val="000000"/>
                <w:sz w:val="21"/>
                <w:szCs w:val="21"/>
                <w:lang w:eastAsia="ja-JP"/>
              </w:rPr>
            </w:pPr>
            <w:r w:rsidRPr="000D3CAC">
              <w:rPr>
                <w:rFonts w:ascii="Times New Roman" w:hAnsi="Times New Roman" w:cs="Times New Roman"/>
                <w:b w:val="0"/>
                <w:bCs w:val="0"/>
                <w:color w:val="000000"/>
                <w:sz w:val="21"/>
                <w:szCs w:val="21"/>
                <w:lang w:eastAsia="ja-JP"/>
              </w:rPr>
              <w:t>Psychiatric diagnosis</w:t>
            </w:r>
          </w:p>
        </w:tc>
        <w:tc>
          <w:tcPr>
            <w:tcW w:w="730" w:type="pct"/>
          </w:tcPr>
          <w:p w14:paraId="4DA83F2B" w14:textId="7190E9D9"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eastAsia="Arial" w:hAnsi="Times New Roman" w:cs="Times New Roman"/>
                <w:color w:val="000000"/>
                <w:sz w:val="21"/>
                <w:szCs w:val="21"/>
              </w:rPr>
            </w:pPr>
            <w:r w:rsidRPr="000D3CAC">
              <w:rPr>
                <w:rFonts w:ascii="Times New Roman" w:eastAsia="Arial" w:hAnsi="Times New Roman" w:cs="Times New Roman"/>
                <w:b w:val="0"/>
                <w:bCs w:val="0"/>
                <w:color w:val="000000"/>
                <w:sz w:val="21"/>
                <w:szCs w:val="21"/>
              </w:rPr>
              <w:t>Suicide attempt method</w:t>
            </w:r>
          </w:p>
        </w:tc>
        <w:tc>
          <w:tcPr>
            <w:tcW w:w="617" w:type="pct"/>
          </w:tcPr>
          <w:p w14:paraId="0CA40686" w14:textId="2EF86F44" w:rsidR="000D3CAC" w:rsidRPr="000D3CAC" w:rsidRDefault="000D3CAC" w:rsidP="00E654BD">
            <w:pPr>
              <w:pBdr>
                <w:top w:val="none" w:sz="0" w:space="0" w:color="000000"/>
                <w:left w:val="none" w:sz="0" w:space="0" w:color="000000"/>
                <w:bottom w:val="none" w:sz="0" w:space="0" w:color="000000"/>
                <w:right w:val="none" w:sz="0" w:space="0" w:color="000000"/>
              </w:pBdr>
              <w:spacing w:before="100" w:after="100" w:line="240" w:lineRule="exact"/>
              <w:ind w:left="100" w:right="100"/>
              <w:jc w:val="center"/>
              <w:rPr>
                <w:rFonts w:ascii="Times New Roman" w:hAnsi="Times New Roman" w:cs="Times New Roman"/>
                <w:b w:val="0"/>
                <w:bCs w:val="0"/>
                <w:i/>
                <w:iCs/>
                <w:color w:val="000000"/>
                <w:sz w:val="21"/>
                <w:szCs w:val="21"/>
              </w:rPr>
            </w:pPr>
            <w:r w:rsidRPr="000D3CAC">
              <w:rPr>
                <w:rFonts w:ascii="Times New Roman" w:eastAsia="Arial" w:hAnsi="Times New Roman" w:cs="Times New Roman"/>
                <w:b w:val="0"/>
                <w:color w:val="000000"/>
                <w:sz w:val="21"/>
                <w:szCs w:val="21"/>
              </w:rPr>
              <w:t xml:space="preserve">Target diagnostic category, </w:t>
            </w:r>
            <w:r w:rsidR="00E654BD">
              <w:rPr>
                <w:rFonts w:ascii="Times New Roman" w:hAnsi="Times New Roman" w:cs="Times New Roman"/>
                <w:b w:val="0"/>
                <w:color w:val="000000"/>
                <w:sz w:val="21"/>
                <w:szCs w:val="21"/>
                <w:lang w:eastAsia="ja-JP"/>
              </w:rPr>
              <w:br/>
            </w:r>
            <w:r w:rsidRPr="000D3CAC">
              <w:rPr>
                <w:rFonts w:ascii="Times New Roman" w:eastAsia="Arial" w:hAnsi="Times New Roman" w:cs="Times New Roman"/>
                <w:b w:val="0"/>
                <w:color w:val="000000"/>
                <w:sz w:val="21"/>
                <w:szCs w:val="21"/>
              </w:rPr>
              <w:t>n/N (%)</w:t>
            </w:r>
          </w:p>
        </w:tc>
        <w:tc>
          <w:tcPr>
            <w:tcW w:w="707" w:type="pct"/>
          </w:tcPr>
          <w:p w14:paraId="5F15A9BF" w14:textId="0BD16231" w:rsidR="000D3CAC" w:rsidRPr="000D3CAC" w:rsidRDefault="000D3CAC" w:rsidP="00E654BD">
            <w:pPr>
              <w:pBdr>
                <w:top w:val="none" w:sz="0" w:space="0" w:color="000000"/>
                <w:left w:val="none" w:sz="0" w:space="0" w:color="000000"/>
                <w:bottom w:val="none" w:sz="0" w:space="0" w:color="000000"/>
                <w:right w:val="none" w:sz="0" w:space="0" w:color="000000"/>
              </w:pBdr>
              <w:spacing w:before="100" w:after="100" w:line="240" w:lineRule="exact"/>
              <w:ind w:left="100" w:right="100"/>
              <w:jc w:val="center"/>
              <w:rPr>
                <w:rFonts w:ascii="Times New Roman" w:hAnsi="Times New Roman" w:cs="Times New Roman"/>
                <w:b w:val="0"/>
                <w:bCs w:val="0"/>
                <w:i/>
                <w:iCs/>
                <w:color w:val="000000"/>
                <w:sz w:val="21"/>
                <w:szCs w:val="21"/>
              </w:rPr>
            </w:pPr>
            <w:r w:rsidRPr="000D3CAC">
              <w:rPr>
                <w:rFonts w:ascii="Times New Roman" w:eastAsia="Arial" w:hAnsi="Times New Roman" w:cs="Times New Roman"/>
                <w:b w:val="0"/>
                <w:color w:val="000000"/>
                <w:sz w:val="21"/>
                <w:szCs w:val="21"/>
              </w:rPr>
              <w:t xml:space="preserve">Patients without target diagnosis, </w:t>
            </w:r>
            <w:r w:rsidR="00E654BD">
              <w:rPr>
                <w:rFonts w:ascii="Times New Roman" w:hAnsi="Times New Roman" w:cs="Times New Roman"/>
                <w:b w:val="0"/>
                <w:color w:val="000000"/>
                <w:sz w:val="21"/>
                <w:szCs w:val="21"/>
                <w:lang w:eastAsia="ja-JP"/>
              </w:rPr>
              <w:br/>
            </w:r>
            <w:r w:rsidRPr="000D3CAC">
              <w:rPr>
                <w:rFonts w:ascii="Times New Roman" w:eastAsia="Arial" w:hAnsi="Times New Roman" w:cs="Times New Roman"/>
                <w:b w:val="0"/>
                <w:color w:val="000000"/>
                <w:sz w:val="21"/>
                <w:szCs w:val="21"/>
              </w:rPr>
              <w:t>n/N (%)</w:t>
            </w:r>
          </w:p>
        </w:tc>
        <w:tc>
          <w:tcPr>
            <w:tcW w:w="418" w:type="pct"/>
          </w:tcPr>
          <w:p w14:paraId="4A8C4251" w14:textId="113CA86A"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jc w:val="center"/>
              <w:rPr>
                <w:rFonts w:ascii="Times New Roman" w:eastAsia="Arial" w:hAnsi="Times New Roman" w:cs="Times New Roman"/>
                <w:color w:val="000000"/>
                <w:sz w:val="21"/>
                <w:szCs w:val="21"/>
              </w:rPr>
            </w:pPr>
            <w:r w:rsidRPr="000D3CAC">
              <w:rPr>
                <w:rFonts w:ascii="Times New Roman" w:hAnsi="Times New Roman" w:cs="Times New Roman"/>
                <w:b w:val="0"/>
                <w:bCs w:val="0"/>
                <w:i/>
                <w:iCs/>
                <w:color w:val="000000"/>
                <w:sz w:val="21"/>
                <w:szCs w:val="21"/>
                <w:lang w:eastAsia="ja-JP"/>
              </w:rPr>
              <w:t>p</w:t>
            </w:r>
            <w:r w:rsidRPr="000D3CAC">
              <w:rPr>
                <w:rFonts w:ascii="Times New Roman" w:hAnsi="Times New Roman" w:cs="Times New Roman"/>
                <w:b w:val="0"/>
                <w:bCs w:val="0"/>
                <w:color w:val="000000"/>
                <w:sz w:val="21"/>
                <w:szCs w:val="21"/>
                <w:lang w:eastAsia="ja-JP"/>
              </w:rPr>
              <w:t>-value</w:t>
            </w:r>
          </w:p>
        </w:tc>
        <w:tc>
          <w:tcPr>
            <w:tcW w:w="473" w:type="pct"/>
          </w:tcPr>
          <w:p w14:paraId="01D8F446" w14:textId="36A6551C"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jc w:val="center"/>
              <w:rPr>
                <w:rFonts w:ascii="Times New Roman" w:eastAsia="Arial" w:hAnsi="Times New Roman" w:cs="Times New Roman"/>
                <w:color w:val="000000"/>
                <w:sz w:val="21"/>
                <w:szCs w:val="21"/>
              </w:rPr>
            </w:pPr>
            <w:r w:rsidRPr="000D3CAC">
              <w:rPr>
                <w:rFonts w:ascii="Times New Roman" w:hAnsi="Times New Roman" w:cs="Times New Roman"/>
                <w:b w:val="0"/>
                <w:bCs w:val="0"/>
                <w:color w:val="000000"/>
                <w:sz w:val="21"/>
                <w:szCs w:val="21"/>
                <w:lang w:eastAsia="ja-JP"/>
              </w:rPr>
              <w:t xml:space="preserve">Corrected </w:t>
            </w:r>
            <w:r w:rsidRPr="000D3CAC">
              <w:rPr>
                <w:rFonts w:ascii="Times New Roman" w:hAnsi="Times New Roman" w:cs="Times New Roman"/>
                <w:b w:val="0"/>
                <w:bCs w:val="0"/>
                <w:i/>
                <w:iCs/>
                <w:color w:val="000000"/>
                <w:sz w:val="21"/>
                <w:szCs w:val="21"/>
                <w:lang w:eastAsia="ja-JP"/>
              </w:rPr>
              <w:t>p</w:t>
            </w:r>
            <w:r w:rsidRPr="000D3CAC">
              <w:rPr>
                <w:rFonts w:ascii="Times New Roman" w:hAnsi="Times New Roman" w:cs="Times New Roman"/>
                <w:b w:val="0"/>
                <w:bCs w:val="0"/>
                <w:color w:val="000000"/>
                <w:sz w:val="21"/>
                <w:szCs w:val="21"/>
                <w:lang w:eastAsia="ja-JP"/>
              </w:rPr>
              <w:t>-value</w:t>
            </w:r>
          </w:p>
        </w:tc>
        <w:tc>
          <w:tcPr>
            <w:tcW w:w="821" w:type="pct"/>
          </w:tcPr>
          <w:p w14:paraId="34C307FE" w14:textId="07593D96"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jc w:val="center"/>
              <w:rPr>
                <w:rFonts w:ascii="Times New Roman" w:eastAsia="Arial" w:hAnsi="Times New Roman" w:cs="Times New Roman"/>
                <w:b w:val="0"/>
                <w:bCs w:val="0"/>
                <w:color w:val="000000"/>
                <w:sz w:val="21"/>
                <w:szCs w:val="21"/>
              </w:rPr>
            </w:pPr>
            <w:r w:rsidRPr="000D3CAC">
              <w:rPr>
                <w:rFonts w:ascii="Times New Roman" w:eastAsia="Arial" w:hAnsi="Times New Roman" w:cs="Times New Roman"/>
                <w:b w:val="0"/>
                <w:bCs w:val="0"/>
                <w:color w:val="000000"/>
                <w:sz w:val="21"/>
                <w:szCs w:val="21"/>
              </w:rPr>
              <w:t>Effect size</w:t>
            </w:r>
          </w:p>
          <w:p w14:paraId="7B1FC28B" w14:textId="39166202"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jc w:val="center"/>
              <w:rPr>
                <w:rFonts w:ascii="Times New Roman" w:eastAsia="Arial" w:hAnsi="Times New Roman" w:cs="Times New Roman"/>
                <w:color w:val="000000"/>
                <w:sz w:val="21"/>
                <w:szCs w:val="21"/>
              </w:rPr>
            </w:pPr>
            <w:r w:rsidRPr="000D3CAC">
              <w:rPr>
                <w:rFonts w:ascii="Times New Roman" w:eastAsia="Arial" w:hAnsi="Times New Roman" w:cs="Times New Roman"/>
                <w:b w:val="0"/>
                <w:bCs w:val="0"/>
                <w:color w:val="000000"/>
                <w:sz w:val="21"/>
                <w:szCs w:val="21"/>
              </w:rPr>
              <w:t>(95% CI)</w:t>
            </w:r>
          </w:p>
        </w:tc>
      </w:tr>
      <w:tr w:rsidR="000D3CAC" w:rsidRPr="000D3CAC" w14:paraId="372BEE87" w14:textId="77777777" w:rsidTr="005A347D">
        <w:trPr>
          <w:cnfStyle w:val="000000100000" w:firstRow="0" w:lastRow="0" w:firstColumn="0" w:lastColumn="0" w:oddVBand="0" w:evenVBand="0" w:oddHBand="1" w:evenHBand="0" w:firstRowFirstColumn="0" w:firstRowLastColumn="0" w:lastRowFirstColumn="0" w:lastRowLastColumn="0"/>
          <w:trHeight w:val="397"/>
        </w:trPr>
        <w:tc>
          <w:tcPr>
            <w:tcW w:w="560" w:type="pct"/>
            <w:shd w:val="clear" w:color="auto" w:fill="auto"/>
          </w:tcPr>
          <w:p w14:paraId="3BE8B44F" w14:textId="2AE3D6D8"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eastAsia="Arial" w:hAnsi="Times New Roman" w:cs="Times New Roman"/>
                <w:color w:val="000000"/>
                <w:sz w:val="21"/>
                <w:szCs w:val="21"/>
              </w:rPr>
            </w:pPr>
            <w:r w:rsidRPr="000D3CAC">
              <w:rPr>
                <w:rFonts w:ascii="Times New Roman" w:eastAsia="Arial" w:hAnsi="Times New Roman" w:cs="Times New Roman"/>
                <w:color w:val="000000"/>
                <w:sz w:val="21"/>
                <w:szCs w:val="21"/>
              </w:rPr>
              <w:t>Primary analysis</w:t>
            </w:r>
          </w:p>
        </w:tc>
        <w:tc>
          <w:tcPr>
            <w:tcW w:w="674" w:type="pct"/>
            <w:shd w:val="clear" w:color="auto" w:fill="auto"/>
          </w:tcPr>
          <w:p w14:paraId="695A0181" w14:textId="77777777"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eastAsia="Arial" w:hAnsi="Times New Roman" w:cs="Times New Roman"/>
                <w:color w:val="000000"/>
                <w:sz w:val="21"/>
                <w:szCs w:val="21"/>
              </w:rPr>
            </w:pPr>
          </w:p>
        </w:tc>
        <w:tc>
          <w:tcPr>
            <w:tcW w:w="730" w:type="pct"/>
            <w:shd w:val="clear" w:color="auto" w:fill="auto"/>
          </w:tcPr>
          <w:p w14:paraId="3CF8A4A7" w14:textId="77777777"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eastAsia="Arial" w:hAnsi="Times New Roman" w:cs="Times New Roman"/>
                <w:color w:val="000000"/>
                <w:sz w:val="21"/>
                <w:szCs w:val="21"/>
              </w:rPr>
            </w:pPr>
          </w:p>
        </w:tc>
        <w:tc>
          <w:tcPr>
            <w:tcW w:w="617" w:type="pct"/>
            <w:shd w:val="clear" w:color="auto" w:fill="auto"/>
          </w:tcPr>
          <w:p w14:paraId="564C06E3" w14:textId="77777777"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eastAsia="Arial" w:hAnsi="Times New Roman" w:cs="Times New Roman"/>
                <w:color w:val="000000"/>
                <w:sz w:val="21"/>
                <w:szCs w:val="21"/>
              </w:rPr>
            </w:pPr>
          </w:p>
        </w:tc>
        <w:tc>
          <w:tcPr>
            <w:tcW w:w="707" w:type="pct"/>
            <w:shd w:val="clear" w:color="auto" w:fill="auto"/>
          </w:tcPr>
          <w:p w14:paraId="5FA39491" w14:textId="0B9B0CF0"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eastAsia="Arial" w:hAnsi="Times New Roman" w:cs="Times New Roman"/>
                <w:color w:val="000000"/>
                <w:sz w:val="21"/>
                <w:szCs w:val="21"/>
              </w:rPr>
            </w:pPr>
          </w:p>
        </w:tc>
        <w:tc>
          <w:tcPr>
            <w:tcW w:w="418" w:type="pct"/>
            <w:shd w:val="clear" w:color="auto" w:fill="auto"/>
          </w:tcPr>
          <w:p w14:paraId="29D17F00" w14:textId="5D1DE9EA"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eastAsia="Arial" w:hAnsi="Times New Roman" w:cs="Times New Roman"/>
                <w:color w:val="000000"/>
                <w:sz w:val="21"/>
                <w:szCs w:val="21"/>
              </w:rPr>
            </w:pPr>
          </w:p>
        </w:tc>
        <w:tc>
          <w:tcPr>
            <w:tcW w:w="473" w:type="pct"/>
            <w:shd w:val="clear" w:color="auto" w:fill="auto"/>
          </w:tcPr>
          <w:p w14:paraId="6501DECA" w14:textId="77777777"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eastAsia="Arial" w:hAnsi="Times New Roman" w:cs="Times New Roman"/>
                <w:color w:val="000000"/>
                <w:sz w:val="21"/>
                <w:szCs w:val="21"/>
              </w:rPr>
            </w:pPr>
          </w:p>
        </w:tc>
        <w:tc>
          <w:tcPr>
            <w:tcW w:w="821" w:type="pct"/>
            <w:shd w:val="clear" w:color="auto" w:fill="auto"/>
          </w:tcPr>
          <w:p w14:paraId="13CCE9A4" w14:textId="77777777"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eastAsia="Arial" w:hAnsi="Times New Roman" w:cs="Times New Roman"/>
                <w:color w:val="000000"/>
                <w:sz w:val="21"/>
                <w:szCs w:val="21"/>
              </w:rPr>
            </w:pPr>
          </w:p>
        </w:tc>
      </w:tr>
      <w:tr w:rsidR="000D3CAC" w:rsidRPr="000D3CAC" w14:paraId="3EA69AF4" w14:textId="77777777" w:rsidTr="005A347D">
        <w:trPr>
          <w:trHeight w:val="397"/>
        </w:trPr>
        <w:tc>
          <w:tcPr>
            <w:tcW w:w="560" w:type="pct"/>
          </w:tcPr>
          <w:p w14:paraId="32EC1C6D" w14:textId="59070C31"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right="100"/>
              <w:rPr>
                <w:rFonts w:ascii="Times New Roman" w:hAnsi="Times New Roman" w:cs="Times New Roman"/>
                <w:color w:val="000000"/>
                <w:sz w:val="21"/>
                <w:szCs w:val="21"/>
                <w:lang w:eastAsia="ja-JP"/>
              </w:rPr>
            </w:pPr>
          </w:p>
        </w:tc>
        <w:tc>
          <w:tcPr>
            <w:tcW w:w="674" w:type="pct"/>
          </w:tcPr>
          <w:p w14:paraId="270B3D78" w14:textId="3C89B573"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eastAsia="Arial" w:hAnsi="Times New Roman" w:cs="Times New Roman"/>
                <w:color w:val="000000"/>
                <w:sz w:val="21"/>
                <w:szCs w:val="21"/>
              </w:rPr>
            </w:pPr>
            <w:r w:rsidRPr="000D3CAC">
              <w:rPr>
                <w:rFonts w:ascii="Times New Roman" w:eastAsia="Arial" w:hAnsi="Times New Roman" w:cs="Times New Roman"/>
                <w:color w:val="000000"/>
                <w:sz w:val="21"/>
                <w:szCs w:val="21"/>
              </w:rPr>
              <w:t>Schizophrenia and</w:t>
            </w:r>
            <w:r>
              <w:rPr>
                <w:rFonts w:ascii="Times New Roman" w:hAnsi="Times New Roman" w:cs="Times New Roman" w:hint="eastAsia"/>
                <w:color w:val="000000"/>
                <w:sz w:val="21"/>
                <w:szCs w:val="21"/>
                <w:lang w:eastAsia="ja-JP"/>
              </w:rPr>
              <w:t xml:space="preserve"> </w:t>
            </w:r>
            <w:r w:rsidRPr="000D3CAC">
              <w:rPr>
                <w:rFonts w:ascii="Times New Roman" w:eastAsia="Arial" w:hAnsi="Times New Roman" w:cs="Times New Roman"/>
                <w:color w:val="000000"/>
                <w:sz w:val="21"/>
                <w:szCs w:val="21"/>
              </w:rPr>
              <w:t>other psychotic disorders</w:t>
            </w:r>
          </w:p>
        </w:tc>
        <w:tc>
          <w:tcPr>
            <w:tcW w:w="730" w:type="pct"/>
          </w:tcPr>
          <w:p w14:paraId="7541DD16" w14:textId="14441414"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eastAsia="Arial" w:hAnsi="Times New Roman" w:cs="Times New Roman"/>
                <w:color w:val="000000"/>
                <w:sz w:val="21"/>
                <w:szCs w:val="21"/>
              </w:rPr>
            </w:pPr>
            <w:r w:rsidRPr="000D3CAC">
              <w:rPr>
                <w:rFonts w:ascii="Times New Roman" w:eastAsia="Arial" w:hAnsi="Times New Roman" w:cs="Times New Roman"/>
                <w:color w:val="000000"/>
                <w:sz w:val="21"/>
                <w:szCs w:val="21"/>
              </w:rPr>
              <w:t>Jumping from height</w:t>
            </w:r>
          </w:p>
        </w:tc>
        <w:tc>
          <w:tcPr>
            <w:tcW w:w="617" w:type="pct"/>
          </w:tcPr>
          <w:p w14:paraId="4E1A8806" w14:textId="6A9F3664"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eastAsia="Arial" w:hAnsi="Times New Roman" w:cs="Times New Roman"/>
                <w:color w:val="000000"/>
                <w:sz w:val="21"/>
                <w:szCs w:val="21"/>
              </w:rPr>
            </w:pPr>
            <w:r w:rsidRPr="000D3CAC">
              <w:rPr>
                <w:rFonts w:ascii="Times New Roman" w:eastAsia="Arial" w:hAnsi="Times New Roman" w:cs="Times New Roman"/>
                <w:bCs/>
                <w:color w:val="000000"/>
                <w:sz w:val="21"/>
                <w:szCs w:val="21"/>
              </w:rPr>
              <w:t>15/38 (39.5%)</w:t>
            </w:r>
          </w:p>
        </w:tc>
        <w:tc>
          <w:tcPr>
            <w:tcW w:w="707" w:type="pct"/>
          </w:tcPr>
          <w:p w14:paraId="61AEC25D" w14:textId="78F680C0"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eastAsia="Arial" w:hAnsi="Times New Roman" w:cs="Times New Roman"/>
                <w:color w:val="000000"/>
                <w:sz w:val="21"/>
                <w:szCs w:val="21"/>
              </w:rPr>
            </w:pPr>
            <w:r w:rsidRPr="000D3CAC">
              <w:rPr>
                <w:rFonts w:ascii="Times New Roman" w:eastAsia="Arial" w:hAnsi="Times New Roman" w:cs="Times New Roman"/>
                <w:bCs/>
                <w:color w:val="000000"/>
                <w:sz w:val="21"/>
                <w:szCs w:val="21"/>
              </w:rPr>
              <w:t>36/306 (11.8%)</w:t>
            </w:r>
          </w:p>
        </w:tc>
        <w:tc>
          <w:tcPr>
            <w:tcW w:w="418" w:type="pct"/>
          </w:tcPr>
          <w:p w14:paraId="7ACB938B" w14:textId="2187615C"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eastAsia="Arial" w:hAnsi="Times New Roman" w:cs="Times New Roman"/>
                <w:color w:val="000000"/>
                <w:sz w:val="21"/>
                <w:szCs w:val="21"/>
              </w:rPr>
            </w:pPr>
            <w:r w:rsidRPr="000D3CAC">
              <w:rPr>
                <w:rFonts w:ascii="Times New Roman" w:eastAsia="Arial" w:hAnsi="Times New Roman" w:cs="Times New Roman"/>
                <w:color w:val="000000"/>
                <w:sz w:val="21"/>
                <w:szCs w:val="21"/>
              </w:rPr>
              <w:t>&lt;0.001</w:t>
            </w:r>
          </w:p>
        </w:tc>
        <w:tc>
          <w:tcPr>
            <w:tcW w:w="473" w:type="pct"/>
          </w:tcPr>
          <w:p w14:paraId="6EE833C1" w14:textId="5DFEF77E"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eastAsia="Arial" w:hAnsi="Times New Roman" w:cs="Times New Roman"/>
                <w:color w:val="000000"/>
                <w:sz w:val="21"/>
                <w:szCs w:val="21"/>
              </w:rPr>
            </w:pPr>
            <w:r w:rsidRPr="000D3CAC">
              <w:rPr>
                <w:rFonts w:ascii="Times New Roman" w:eastAsia="Arial" w:hAnsi="Times New Roman" w:cs="Times New Roman"/>
                <w:color w:val="000000"/>
                <w:sz w:val="21"/>
                <w:szCs w:val="21"/>
              </w:rPr>
              <w:t>0.007</w:t>
            </w:r>
          </w:p>
        </w:tc>
        <w:tc>
          <w:tcPr>
            <w:tcW w:w="821" w:type="pct"/>
          </w:tcPr>
          <w:p w14:paraId="5D16617B" w14:textId="19699184"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jc w:val="center"/>
              <w:rPr>
                <w:rFonts w:ascii="Times New Roman" w:eastAsia="Arial" w:hAnsi="Times New Roman" w:cs="Times New Roman"/>
                <w:color w:val="000000"/>
                <w:sz w:val="21"/>
                <w:szCs w:val="21"/>
              </w:rPr>
            </w:pPr>
            <w:r w:rsidRPr="000D3CAC">
              <w:rPr>
                <w:rFonts w:ascii="Times New Roman" w:eastAsia="Arial" w:hAnsi="Times New Roman" w:cs="Times New Roman"/>
                <w:color w:val="000000"/>
                <w:sz w:val="21"/>
                <w:szCs w:val="21"/>
              </w:rPr>
              <w:t>4.86 (2.15–10.79)</w:t>
            </w:r>
          </w:p>
        </w:tc>
      </w:tr>
      <w:tr w:rsidR="000D3CAC" w:rsidRPr="000D3CAC" w14:paraId="5345EF58" w14:textId="77777777" w:rsidTr="005A347D">
        <w:trPr>
          <w:cnfStyle w:val="000000100000" w:firstRow="0" w:lastRow="0" w:firstColumn="0" w:lastColumn="0" w:oddVBand="0" w:evenVBand="0" w:oddHBand="1" w:evenHBand="0" w:firstRowFirstColumn="0" w:firstRowLastColumn="0" w:lastRowFirstColumn="0" w:lastRowLastColumn="0"/>
          <w:trHeight w:val="397"/>
        </w:trPr>
        <w:tc>
          <w:tcPr>
            <w:tcW w:w="560" w:type="pct"/>
            <w:shd w:val="clear" w:color="auto" w:fill="auto"/>
          </w:tcPr>
          <w:p w14:paraId="6F21C69B" w14:textId="01C1D903"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hAnsi="Times New Roman" w:cs="Times New Roman"/>
                <w:color w:val="000000"/>
                <w:sz w:val="21"/>
                <w:szCs w:val="21"/>
                <w:lang w:eastAsia="ja-JP"/>
              </w:rPr>
            </w:pPr>
            <w:r w:rsidRPr="000D3CAC">
              <w:rPr>
                <w:rFonts w:ascii="Times New Roman" w:hAnsi="Times New Roman" w:cs="Times New Roman"/>
                <w:color w:val="000000"/>
                <w:sz w:val="21"/>
                <w:szCs w:val="21"/>
                <w:lang w:eastAsia="ja-JP"/>
              </w:rPr>
              <w:t>S</w:t>
            </w:r>
            <w:r w:rsidRPr="000D3CAC">
              <w:rPr>
                <w:rFonts w:ascii="Times New Roman" w:eastAsia="Arial" w:hAnsi="Times New Roman" w:cs="Times New Roman"/>
                <w:color w:val="000000"/>
                <w:sz w:val="21"/>
                <w:szCs w:val="21"/>
              </w:rPr>
              <w:t>econdary exploratory analys</w:t>
            </w:r>
            <w:r w:rsidRPr="000D3CAC">
              <w:rPr>
                <w:rFonts w:ascii="Times New Roman" w:hAnsi="Times New Roman" w:cs="Times New Roman"/>
                <w:color w:val="000000"/>
                <w:sz w:val="21"/>
                <w:szCs w:val="21"/>
                <w:lang w:eastAsia="ja-JP"/>
              </w:rPr>
              <w:t>is</w:t>
            </w:r>
          </w:p>
        </w:tc>
        <w:tc>
          <w:tcPr>
            <w:tcW w:w="674" w:type="pct"/>
            <w:shd w:val="clear" w:color="auto" w:fill="auto"/>
          </w:tcPr>
          <w:p w14:paraId="7DCD1F5E" w14:textId="77777777"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eastAsia="Arial" w:hAnsi="Times New Roman" w:cs="Times New Roman"/>
                <w:color w:val="000000"/>
                <w:sz w:val="21"/>
                <w:szCs w:val="21"/>
              </w:rPr>
            </w:pPr>
          </w:p>
        </w:tc>
        <w:tc>
          <w:tcPr>
            <w:tcW w:w="730" w:type="pct"/>
            <w:shd w:val="clear" w:color="auto" w:fill="auto"/>
          </w:tcPr>
          <w:p w14:paraId="41394B1D" w14:textId="77777777"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eastAsia="Arial" w:hAnsi="Times New Roman" w:cs="Times New Roman"/>
                <w:color w:val="000000"/>
                <w:sz w:val="21"/>
                <w:szCs w:val="21"/>
              </w:rPr>
            </w:pPr>
          </w:p>
        </w:tc>
        <w:tc>
          <w:tcPr>
            <w:tcW w:w="617" w:type="pct"/>
            <w:shd w:val="clear" w:color="auto" w:fill="auto"/>
          </w:tcPr>
          <w:p w14:paraId="5936AB98" w14:textId="77777777"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eastAsia="Arial" w:hAnsi="Times New Roman" w:cs="Times New Roman"/>
                <w:color w:val="000000"/>
                <w:sz w:val="21"/>
                <w:szCs w:val="21"/>
              </w:rPr>
            </w:pPr>
          </w:p>
        </w:tc>
        <w:tc>
          <w:tcPr>
            <w:tcW w:w="707" w:type="pct"/>
            <w:shd w:val="clear" w:color="auto" w:fill="auto"/>
          </w:tcPr>
          <w:p w14:paraId="64F20E1A" w14:textId="6AE11D87"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eastAsia="Arial" w:hAnsi="Times New Roman" w:cs="Times New Roman"/>
                <w:color w:val="000000"/>
                <w:sz w:val="21"/>
                <w:szCs w:val="21"/>
              </w:rPr>
            </w:pPr>
          </w:p>
        </w:tc>
        <w:tc>
          <w:tcPr>
            <w:tcW w:w="418" w:type="pct"/>
            <w:shd w:val="clear" w:color="auto" w:fill="auto"/>
          </w:tcPr>
          <w:p w14:paraId="4E037C03" w14:textId="08634F9E"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eastAsia="Arial" w:hAnsi="Times New Roman" w:cs="Times New Roman"/>
                <w:color w:val="000000"/>
                <w:sz w:val="21"/>
                <w:szCs w:val="21"/>
              </w:rPr>
            </w:pPr>
          </w:p>
        </w:tc>
        <w:tc>
          <w:tcPr>
            <w:tcW w:w="473" w:type="pct"/>
            <w:shd w:val="clear" w:color="auto" w:fill="auto"/>
          </w:tcPr>
          <w:p w14:paraId="76B96F2E" w14:textId="77777777"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eastAsia="Arial" w:hAnsi="Times New Roman" w:cs="Times New Roman"/>
                <w:color w:val="000000"/>
                <w:sz w:val="21"/>
                <w:szCs w:val="21"/>
              </w:rPr>
            </w:pPr>
          </w:p>
        </w:tc>
        <w:tc>
          <w:tcPr>
            <w:tcW w:w="821" w:type="pct"/>
            <w:shd w:val="clear" w:color="auto" w:fill="auto"/>
          </w:tcPr>
          <w:p w14:paraId="42EB2DB9" w14:textId="77777777"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jc w:val="center"/>
              <w:rPr>
                <w:rFonts w:ascii="Times New Roman" w:eastAsia="Arial" w:hAnsi="Times New Roman" w:cs="Times New Roman"/>
                <w:color w:val="000000"/>
                <w:sz w:val="21"/>
                <w:szCs w:val="21"/>
              </w:rPr>
            </w:pPr>
          </w:p>
        </w:tc>
      </w:tr>
      <w:tr w:rsidR="000D3CAC" w:rsidRPr="000D3CAC" w14:paraId="480D3B36" w14:textId="77777777" w:rsidTr="005A347D">
        <w:trPr>
          <w:trHeight w:val="397"/>
        </w:trPr>
        <w:tc>
          <w:tcPr>
            <w:tcW w:w="560" w:type="pct"/>
          </w:tcPr>
          <w:p w14:paraId="02C956CF" w14:textId="31DB3D0D"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right="100"/>
              <w:rPr>
                <w:rFonts w:ascii="Times New Roman" w:hAnsi="Times New Roman" w:cs="Times New Roman"/>
                <w:color w:val="000000"/>
                <w:sz w:val="21"/>
                <w:szCs w:val="21"/>
                <w:lang w:eastAsia="ja-JP"/>
              </w:rPr>
            </w:pPr>
          </w:p>
        </w:tc>
        <w:tc>
          <w:tcPr>
            <w:tcW w:w="674" w:type="pct"/>
          </w:tcPr>
          <w:p w14:paraId="0113F03C" w14:textId="77777777"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eastAsia="Arial" w:hAnsi="Times New Roman" w:cs="Times New Roman"/>
                <w:color w:val="000000"/>
                <w:sz w:val="21"/>
                <w:szCs w:val="21"/>
              </w:rPr>
            </w:pPr>
            <w:r w:rsidRPr="000D3CAC">
              <w:rPr>
                <w:rFonts w:ascii="Times New Roman" w:eastAsia="Arial" w:hAnsi="Times New Roman" w:cs="Times New Roman"/>
                <w:color w:val="000000"/>
                <w:sz w:val="21"/>
                <w:szCs w:val="21"/>
              </w:rPr>
              <w:t>Dementia</w:t>
            </w:r>
          </w:p>
        </w:tc>
        <w:tc>
          <w:tcPr>
            <w:tcW w:w="730" w:type="pct"/>
          </w:tcPr>
          <w:p w14:paraId="74F3E7A4" w14:textId="77777777"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eastAsia="Arial" w:hAnsi="Times New Roman" w:cs="Times New Roman"/>
                <w:color w:val="000000"/>
                <w:sz w:val="21"/>
                <w:szCs w:val="21"/>
              </w:rPr>
            </w:pPr>
            <w:r w:rsidRPr="000D3CAC">
              <w:rPr>
                <w:rFonts w:ascii="Times New Roman" w:eastAsia="Arial" w:hAnsi="Times New Roman" w:cs="Times New Roman"/>
                <w:color w:val="000000"/>
                <w:sz w:val="21"/>
                <w:szCs w:val="21"/>
              </w:rPr>
              <w:t>Traffic-related injury</w:t>
            </w:r>
          </w:p>
        </w:tc>
        <w:tc>
          <w:tcPr>
            <w:tcW w:w="617" w:type="pct"/>
          </w:tcPr>
          <w:p w14:paraId="3E3FCF0D" w14:textId="1CAA5354"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eastAsia="Arial" w:hAnsi="Times New Roman" w:cs="Times New Roman"/>
                <w:color w:val="000000"/>
                <w:sz w:val="21"/>
                <w:szCs w:val="21"/>
              </w:rPr>
            </w:pPr>
            <w:r w:rsidRPr="000D3CAC">
              <w:rPr>
                <w:rFonts w:ascii="Times New Roman" w:eastAsia="Arial" w:hAnsi="Times New Roman" w:cs="Times New Roman"/>
                <w:bCs/>
                <w:color w:val="000000"/>
                <w:sz w:val="21"/>
                <w:szCs w:val="21"/>
              </w:rPr>
              <w:t>3/19 (15.8%)</w:t>
            </w:r>
          </w:p>
        </w:tc>
        <w:tc>
          <w:tcPr>
            <w:tcW w:w="707" w:type="pct"/>
          </w:tcPr>
          <w:p w14:paraId="5984AE2B" w14:textId="4D4B7C88"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eastAsia="Arial" w:hAnsi="Times New Roman" w:cs="Times New Roman"/>
                <w:color w:val="000000"/>
                <w:sz w:val="21"/>
                <w:szCs w:val="21"/>
              </w:rPr>
            </w:pPr>
            <w:r w:rsidRPr="000D3CAC">
              <w:rPr>
                <w:rFonts w:ascii="Times New Roman" w:eastAsia="Arial" w:hAnsi="Times New Roman" w:cs="Times New Roman"/>
                <w:bCs/>
                <w:color w:val="000000"/>
                <w:sz w:val="21"/>
                <w:szCs w:val="21"/>
              </w:rPr>
              <w:t>3/325 (0.9%)</w:t>
            </w:r>
          </w:p>
        </w:tc>
        <w:tc>
          <w:tcPr>
            <w:tcW w:w="418" w:type="pct"/>
          </w:tcPr>
          <w:p w14:paraId="4C0A781B" w14:textId="3513F402"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eastAsia="Arial" w:hAnsi="Times New Roman" w:cs="Times New Roman"/>
                <w:color w:val="000000"/>
                <w:sz w:val="21"/>
                <w:szCs w:val="21"/>
              </w:rPr>
            </w:pPr>
            <w:r w:rsidRPr="000D3CAC">
              <w:rPr>
                <w:rFonts w:ascii="Times New Roman" w:eastAsia="Arial" w:hAnsi="Times New Roman" w:cs="Times New Roman"/>
                <w:color w:val="000000"/>
                <w:sz w:val="21"/>
                <w:szCs w:val="21"/>
              </w:rPr>
              <w:t>0.003</w:t>
            </w:r>
          </w:p>
        </w:tc>
        <w:tc>
          <w:tcPr>
            <w:tcW w:w="473" w:type="pct"/>
          </w:tcPr>
          <w:p w14:paraId="48AE8271" w14:textId="77777777"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eastAsia="Arial" w:hAnsi="Times New Roman" w:cs="Times New Roman"/>
                <w:color w:val="000000"/>
                <w:sz w:val="21"/>
                <w:szCs w:val="21"/>
              </w:rPr>
            </w:pPr>
            <w:r w:rsidRPr="000D3CAC">
              <w:rPr>
                <w:rFonts w:ascii="Times New Roman" w:eastAsia="Arial" w:hAnsi="Times New Roman" w:cs="Times New Roman"/>
                <w:color w:val="000000"/>
                <w:sz w:val="21"/>
                <w:szCs w:val="21"/>
              </w:rPr>
              <w:t>0.031</w:t>
            </w:r>
          </w:p>
        </w:tc>
        <w:tc>
          <w:tcPr>
            <w:tcW w:w="821" w:type="pct"/>
          </w:tcPr>
          <w:p w14:paraId="69CF12B3" w14:textId="77777777"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jc w:val="center"/>
              <w:rPr>
                <w:rFonts w:ascii="Times New Roman" w:eastAsia="Arial" w:hAnsi="Times New Roman" w:cs="Times New Roman"/>
                <w:color w:val="000000"/>
                <w:sz w:val="21"/>
                <w:szCs w:val="21"/>
              </w:rPr>
            </w:pPr>
            <w:r w:rsidRPr="000D3CAC">
              <w:rPr>
                <w:rFonts w:ascii="Times New Roman" w:eastAsia="Arial" w:hAnsi="Times New Roman" w:cs="Times New Roman"/>
                <w:color w:val="000000"/>
                <w:sz w:val="21"/>
                <w:szCs w:val="21"/>
              </w:rPr>
              <w:t>19.59 (2.43–158.52)</w:t>
            </w:r>
          </w:p>
        </w:tc>
      </w:tr>
      <w:tr w:rsidR="000D3CAC" w:rsidRPr="000D3CAC" w14:paraId="6F6DA541" w14:textId="77777777" w:rsidTr="005A347D">
        <w:trPr>
          <w:cnfStyle w:val="000000100000" w:firstRow="0" w:lastRow="0" w:firstColumn="0" w:lastColumn="0" w:oddVBand="0" w:evenVBand="0" w:oddHBand="1" w:evenHBand="0" w:firstRowFirstColumn="0" w:firstRowLastColumn="0" w:lastRowFirstColumn="0" w:lastRowLastColumn="0"/>
          <w:trHeight w:val="397"/>
        </w:trPr>
        <w:tc>
          <w:tcPr>
            <w:tcW w:w="560" w:type="pct"/>
            <w:shd w:val="clear" w:color="auto" w:fill="auto"/>
          </w:tcPr>
          <w:p w14:paraId="6B4C84D6" w14:textId="7195AB33"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right="100"/>
              <w:rPr>
                <w:rFonts w:ascii="Times New Roman" w:eastAsia="Arial" w:hAnsi="Times New Roman" w:cs="Times New Roman"/>
                <w:color w:val="000000"/>
                <w:sz w:val="21"/>
                <w:szCs w:val="21"/>
              </w:rPr>
            </w:pPr>
          </w:p>
        </w:tc>
        <w:tc>
          <w:tcPr>
            <w:tcW w:w="674" w:type="pct"/>
            <w:shd w:val="clear" w:color="auto" w:fill="auto"/>
          </w:tcPr>
          <w:p w14:paraId="7190E9B2" w14:textId="77777777"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eastAsia="Arial" w:hAnsi="Times New Roman" w:cs="Times New Roman"/>
                <w:color w:val="000000"/>
                <w:sz w:val="21"/>
                <w:szCs w:val="21"/>
              </w:rPr>
            </w:pPr>
            <w:r w:rsidRPr="000D3CAC">
              <w:rPr>
                <w:rFonts w:ascii="Times New Roman" w:eastAsia="Arial" w:hAnsi="Times New Roman" w:cs="Times New Roman"/>
                <w:color w:val="000000"/>
                <w:sz w:val="21"/>
                <w:szCs w:val="21"/>
              </w:rPr>
              <w:t>Personality disorders</w:t>
            </w:r>
          </w:p>
        </w:tc>
        <w:tc>
          <w:tcPr>
            <w:tcW w:w="730" w:type="pct"/>
            <w:shd w:val="clear" w:color="auto" w:fill="auto"/>
          </w:tcPr>
          <w:p w14:paraId="5F62377D" w14:textId="77777777"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eastAsia="Arial" w:hAnsi="Times New Roman" w:cs="Times New Roman"/>
                <w:color w:val="000000"/>
                <w:sz w:val="21"/>
                <w:szCs w:val="21"/>
              </w:rPr>
            </w:pPr>
            <w:r w:rsidRPr="000D3CAC">
              <w:rPr>
                <w:rFonts w:ascii="Times New Roman" w:eastAsia="Arial" w:hAnsi="Times New Roman" w:cs="Times New Roman"/>
                <w:color w:val="000000"/>
                <w:sz w:val="21"/>
                <w:szCs w:val="21"/>
              </w:rPr>
              <w:t>Drug overdose</w:t>
            </w:r>
          </w:p>
        </w:tc>
        <w:tc>
          <w:tcPr>
            <w:tcW w:w="617" w:type="pct"/>
            <w:shd w:val="clear" w:color="auto" w:fill="auto"/>
          </w:tcPr>
          <w:p w14:paraId="1043B724" w14:textId="63F53E07"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eastAsia="Arial" w:hAnsi="Times New Roman" w:cs="Times New Roman"/>
                <w:color w:val="000000"/>
                <w:sz w:val="21"/>
                <w:szCs w:val="21"/>
              </w:rPr>
            </w:pPr>
            <w:r w:rsidRPr="000D3CAC">
              <w:rPr>
                <w:rFonts w:ascii="Times New Roman" w:eastAsia="Arial" w:hAnsi="Times New Roman" w:cs="Times New Roman"/>
                <w:bCs/>
                <w:color w:val="000000"/>
                <w:sz w:val="21"/>
                <w:szCs w:val="21"/>
              </w:rPr>
              <w:t>24/30 (80.0%)</w:t>
            </w:r>
          </w:p>
        </w:tc>
        <w:tc>
          <w:tcPr>
            <w:tcW w:w="707" w:type="pct"/>
            <w:shd w:val="clear" w:color="auto" w:fill="auto"/>
          </w:tcPr>
          <w:p w14:paraId="5D94E129" w14:textId="52597D77"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eastAsia="Arial" w:hAnsi="Times New Roman" w:cs="Times New Roman"/>
                <w:color w:val="000000"/>
                <w:sz w:val="21"/>
                <w:szCs w:val="21"/>
              </w:rPr>
            </w:pPr>
            <w:r w:rsidRPr="000D3CAC">
              <w:rPr>
                <w:rFonts w:ascii="Times New Roman" w:eastAsia="Arial" w:hAnsi="Times New Roman" w:cs="Times New Roman"/>
                <w:bCs/>
                <w:color w:val="000000"/>
                <w:sz w:val="21"/>
                <w:szCs w:val="21"/>
              </w:rPr>
              <w:t>153/314 (48.7%)</w:t>
            </w:r>
          </w:p>
        </w:tc>
        <w:tc>
          <w:tcPr>
            <w:tcW w:w="418" w:type="pct"/>
            <w:shd w:val="clear" w:color="auto" w:fill="auto"/>
          </w:tcPr>
          <w:p w14:paraId="55F7B0EB" w14:textId="521A7F5D"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eastAsia="Arial" w:hAnsi="Times New Roman" w:cs="Times New Roman"/>
                <w:color w:val="000000"/>
                <w:sz w:val="21"/>
                <w:szCs w:val="21"/>
              </w:rPr>
            </w:pPr>
            <w:r w:rsidRPr="000D3CAC">
              <w:rPr>
                <w:rFonts w:ascii="Times New Roman" w:eastAsia="Arial" w:hAnsi="Times New Roman" w:cs="Times New Roman"/>
                <w:color w:val="000000"/>
                <w:sz w:val="21"/>
                <w:szCs w:val="21"/>
              </w:rPr>
              <w:t>0.001</w:t>
            </w:r>
          </w:p>
        </w:tc>
        <w:tc>
          <w:tcPr>
            <w:tcW w:w="473" w:type="pct"/>
            <w:shd w:val="clear" w:color="auto" w:fill="auto"/>
          </w:tcPr>
          <w:p w14:paraId="1A4B008A" w14:textId="77777777"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rPr>
                <w:rFonts w:ascii="Times New Roman" w:eastAsia="Arial" w:hAnsi="Times New Roman" w:cs="Times New Roman"/>
                <w:color w:val="000000"/>
                <w:sz w:val="21"/>
                <w:szCs w:val="21"/>
              </w:rPr>
            </w:pPr>
            <w:r w:rsidRPr="000D3CAC">
              <w:rPr>
                <w:rFonts w:ascii="Times New Roman" w:eastAsia="Arial" w:hAnsi="Times New Roman" w:cs="Times New Roman"/>
                <w:color w:val="000000"/>
                <w:sz w:val="21"/>
                <w:szCs w:val="21"/>
              </w:rPr>
              <w:t>0.012</w:t>
            </w:r>
          </w:p>
        </w:tc>
        <w:tc>
          <w:tcPr>
            <w:tcW w:w="821" w:type="pct"/>
            <w:shd w:val="clear" w:color="auto" w:fill="auto"/>
          </w:tcPr>
          <w:p w14:paraId="4A606774" w14:textId="77777777" w:rsidR="000D3CAC" w:rsidRPr="000D3CAC" w:rsidRDefault="000D3CAC" w:rsidP="000D3CAC">
            <w:pPr>
              <w:pBdr>
                <w:top w:val="none" w:sz="0" w:space="0" w:color="000000"/>
                <w:left w:val="none" w:sz="0" w:space="0" w:color="000000"/>
                <w:bottom w:val="none" w:sz="0" w:space="0" w:color="000000"/>
                <w:right w:val="none" w:sz="0" w:space="0" w:color="000000"/>
              </w:pBdr>
              <w:spacing w:before="100" w:after="100" w:line="240" w:lineRule="exact"/>
              <w:ind w:left="100" w:right="100"/>
              <w:jc w:val="center"/>
              <w:rPr>
                <w:rFonts w:ascii="Times New Roman" w:eastAsia="Arial" w:hAnsi="Times New Roman" w:cs="Times New Roman"/>
                <w:color w:val="000000"/>
                <w:sz w:val="21"/>
                <w:szCs w:val="21"/>
              </w:rPr>
            </w:pPr>
            <w:r w:rsidRPr="000D3CAC">
              <w:rPr>
                <w:rFonts w:ascii="Times New Roman" w:eastAsia="Arial" w:hAnsi="Times New Roman" w:cs="Times New Roman"/>
                <w:color w:val="000000"/>
                <w:sz w:val="21"/>
                <w:szCs w:val="21"/>
              </w:rPr>
              <w:t>4.19 (1.61–12.89)</w:t>
            </w:r>
          </w:p>
        </w:tc>
      </w:tr>
    </w:tbl>
    <w:p w14:paraId="68786CE5" w14:textId="0833EFDC" w:rsidR="009C683D" w:rsidRPr="00B76B1C" w:rsidRDefault="00B76B1C">
      <w:pPr>
        <w:rPr>
          <w:rFonts w:ascii="Times New Roman" w:hAnsi="Times New Roman" w:cs="Times New Roman"/>
        </w:rPr>
      </w:pPr>
      <w:r w:rsidRPr="00B76B1C">
        <w:rPr>
          <w:rFonts w:ascii="Times New Roman" w:hAnsi="Times New Roman" w:cs="Times New Roman"/>
        </w:rPr>
        <w:t xml:space="preserve">Footnote: Data are shown for psychiatric diagnosis–suicide attempt method cells that were statistically significant in the primary or secondary exploratory analyses. The target diagnostic category column shows the number and percentage of patients with the corresponding suicide attempt method within the target diagnostic category. The patients without target diagnosis column shows the number and percentage of patients with the corresponding method among patients without that diagnostic category. The </w:t>
      </w:r>
      <w:r w:rsidRPr="00D07B67">
        <w:rPr>
          <w:rFonts w:ascii="Times New Roman" w:hAnsi="Times New Roman" w:cs="Times New Roman"/>
          <w:i/>
          <w:iCs/>
        </w:rPr>
        <w:t>p</w:t>
      </w:r>
      <w:r w:rsidRPr="00B76B1C">
        <w:rPr>
          <w:rFonts w:ascii="Times New Roman" w:hAnsi="Times New Roman" w:cs="Times New Roman"/>
        </w:rPr>
        <w:t xml:space="preserve"> values are uncorrected </w:t>
      </w:r>
      <w:r w:rsidRPr="00B76B1C">
        <w:rPr>
          <w:rFonts w:ascii="Times New Roman" w:hAnsi="Times New Roman" w:cs="Times New Roman"/>
          <w:i/>
          <w:iCs/>
        </w:rPr>
        <w:t>p</w:t>
      </w:r>
      <w:r w:rsidRPr="00B76B1C">
        <w:rPr>
          <w:rFonts w:ascii="Times New Roman" w:hAnsi="Times New Roman" w:cs="Times New Roman"/>
        </w:rPr>
        <w:t xml:space="preserve"> values calculated using Fisher’s exact test. For the primary analysis, corrected </w:t>
      </w:r>
      <w:r w:rsidRPr="00B76B1C">
        <w:rPr>
          <w:rFonts w:ascii="Times New Roman" w:hAnsi="Times New Roman" w:cs="Times New Roman"/>
          <w:i/>
          <w:iCs/>
        </w:rPr>
        <w:t>p</w:t>
      </w:r>
      <w:r w:rsidRPr="00B76B1C">
        <w:rPr>
          <w:rFonts w:ascii="Times New Roman" w:hAnsi="Times New Roman" w:cs="Times New Roman"/>
        </w:rPr>
        <w:t xml:space="preserve"> values were calculated using Bonferroni correction across all cells in the full psychiatric diagnosis–suicide attempt method table. For the secondary exploratory analysis, corrected </w:t>
      </w:r>
      <w:r w:rsidRPr="00B76B1C">
        <w:rPr>
          <w:rFonts w:ascii="Times New Roman" w:hAnsi="Times New Roman" w:cs="Times New Roman"/>
          <w:i/>
          <w:iCs/>
        </w:rPr>
        <w:t>p</w:t>
      </w:r>
      <w:r w:rsidRPr="00B76B1C">
        <w:rPr>
          <w:rFonts w:ascii="Times New Roman" w:hAnsi="Times New Roman" w:cs="Times New Roman"/>
        </w:rPr>
        <w:t xml:space="preserve"> values were calculated using Bonferroni correction within each psychiatric diagnostic category. Effect sizes are presented with 95% confidence </w:t>
      </w:r>
      <w:r w:rsidRPr="00B76B1C">
        <w:rPr>
          <w:rFonts w:ascii="Times New Roman" w:hAnsi="Times New Roman" w:cs="Times New Roman"/>
        </w:rPr>
        <w:lastRenderedPageBreak/>
        <w:t>intervals and represent odds ratios calculated from patient-level two-by-two contingency tables comparing patients in each target diagnostic category with patients without that diagnosis for the corresponding suicide attempt method. Values greater than 1 indicate higher odds of that method in the target diagnostic category than in patients without that diagnosis, whereas values less than 1 indicate lower odds. These effect sizes do not represent comparisons among suicide attempt methods within the same diagnostic category and were not calculated from the row or column totals displayed in the heatmap. Abbreviation: CI, confidence interval</w:t>
      </w:r>
    </w:p>
    <w:p w14:paraId="0485501D" w14:textId="77777777" w:rsidR="009C683D" w:rsidRPr="00B76B1C" w:rsidRDefault="009C683D">
      <w:pPr>
        <w:rPr>
          <w:rFonts w:ascii="Times New Roman" w:hAnsi="Times New Roman" w:cs="Times New Roman"/>
        </w:rPr>
      </w:pPr>
    </w:p>
    <w:sectPr w:rsidR="009C683D" w:rsidRPr="00B76B1C" w:rsidSect="009C683D">
      <w:pgSz w:w="16838" w:h="11906" w:orient="landscape"/>
      <w:pgMar w:top="1701" w:right="1985"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3780A" w14:textId="77777777" w:rsidR="009478A8" w:rsidRDefault="009478A8" w:rsidP="009C683D">
      <w:r>
        <w:separator/>
      </w:r>
    </w:p>
  </w:endnote>
  <w:endnote w:type="continuationSeparator" w:id="0">
    <w:p w14:paraId="31C5A2C6" w14:textId="77777777" w:rsidR="009478A8" w:rsidRDefault="009478A8" w:rsidP="009C6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Mangal">
    <w:panose1 w:val="00000400000000000000"/>
    <w:charset w:val="00"/>
    <w:family w:val="roman"/>
    <w:pitch w:val="variable"/>
    <w:sig w:usb0="00008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86DA0" w14:textId="77777777" w:rsidR="009478A8" w:rsidRDefault="009478A8" w:rsidP="009C683D">
      <w:r>
        <w:separator/>
      </w:r>
    </w:p>
  </w:footnote>
  <w:footnote w:type="continuationSeparator" w:id="0">
    <w:p w14:paraId="1AB8A383" w14:textId="77777777" w:rsidR="009478A8" w:rsidRDefault="009478A8" w:rsidP="009C68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trackRevision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FF2"/>
    <w:rsid w:val="00006B7B"/>
    <w:rsid w:val="000D3CAC"/>
    <w:rsid w:val="001D7FA9"/>
    <w:rsid w:val="002106CF"/>
    <w:rsid w:val="002A5F8F"/>
    <w:rsid w:val="00392D9C"/>
    <w:rsid w:val="003A571D"/>
    <w:rsid w:val="003D0EF9"/>
    <w:rsid w:val="0045223D"/>
    <w:rsid w:val="004E0860"/>
    <w:rsid w:val="005A347D"/>
    <w:rsid w:val="005F6FF2"/>
    <w:rsid w:val="00605BB1"/>
    <w:rsid w:val="006D2791"/>
    <w:rsid w:val="007C70BC"/>
    <w:rsid w:val="00863BD0"/>
    <w:rsid w:val="008B5DD9"/>
    <w:rsid w:val="00910C7D"/>
    <w:rsid w:val="00932D3B"/>
    <w:rsid w:val="009424A1"/>
    <w:rsid w:val="009478A8"/>
    <w:rsid w:val="009C320E"/>
    <w:rsid w:val="009C683D"/>
    <w:rsid w:val="00A6509B"/>
    <w:rsid w:val="00B66D8A"/>
    <w:rsid w:val="00B76B1C"/>
    <w:rsid w:val="00C0757C"/>
    <w:rsid w:val="00C1488D"/>
    <w:rsid w:val="00C4469B"/>
    <w:rsid w:val="00C84E16"/>
    <w:rsid w:val="00CF40AE"/>
    <w:rsid w:val="00D07B67"/>
    <w:rsid w:val="00D42089"/>
    <w:rsid w:val="00DA4BE7"/>
    <w:rsid w:val="00DD10D7"/>
    <w:rsid w:val="00E654BD"/>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85DBB3"/>
  <w15:chartTrackingRefBased/>
  <w15:docId w15:val="{26FB25DE-28B1-4D29-A2DF-A46D13375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F6FF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F6FF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F6FF2"/>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F6FF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F6FF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F6FF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F6FF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F6FF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F6FF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F6FF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F6FF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F6FF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F6FF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F6FF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F6FF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F6FF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F6FF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F6FF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F6FF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F6FF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F6FF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F6FF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F6FF2"/>
    <w:pPr>
      <w:spacing w:before="160" w:after="160"/>
      <w:jc w:val="center"/>
    </w:pPr>
    <w:rPr>
      <w:i/>
      <w:iCs/>
      <w:color w:val="404040" w:themeColor="text1" w:themeTint="BF"/>
    </w:rPr>
  </w:style>
  <w:style w:type="character" w:customStyle="1" w:styleId="a8">
    <w:name w:val="引用文 (文字)"/>
    <w:basedOn w:val="a0"/>
    <w:link w:val="a7"/>
    <w:uiPriority w:val="29"/>
    <w:rsid w:val="005F6FF2"/>
    <w:rPr>
      <w:i/>
      <w:iCs/>
      <w:color w:val="404040" w:themeColor="text1" w:themeTint="BF"/>
    </w:rPr>
  </w:style>
  <w:style w:type="paragraph" w:styleId="a9">
    <w:name w:val="List Paragraph"/>
    <w:basedOn w:val="a"/>
    <w:uiPriority w:val="34"/>
    <w:qFormat/>
    <w:rsid w:val="005F6FF2"/>
    <w:pPr>
      <w:ind w:left="720"/>
      <w:contextualSpacing/>
    </w:pPr>
  </w:style>
  <w:style w:type="character" w:styleId="21">
    <w:name w:val="Intense Emphasis"/>
    <w:basedOn w:val="a0"/>
    <w:uiPriority w:val="21"/>
    <w:qFormat/>
    <w:rsid w:val="005F6FF2"/>
    <w:rPr>
      <w:i/>
      <w:iCs/>
      <w:color w:val="0F4761" w:themeColor="accent1" w:themeShade="BF"/>
    </w:rPr>
  </w:style>
  <w:style w:type="paragraph" w:styleId="22">
    <w:name w:val="Intense Quote"/>
    <w:basedOn w:val="a"/>
    <w:next w:val="a"/>
    <w:link w:val="23"/>
    <w:uiPriority w:val="30"/>
    <w:qFormat/>
    <w:rsid w:val="005F6F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F6FF2"/>
    <w:rPr>
      <w:i/>
      <w:iCs/>
      <w:color w:val="0F4761" w:themeColor="accent1" w:themeShade="BF"/>
    </w:rPr>
  </w:style>
  <w:style w:type="character" w:styleId="24">
    <w:name w:val="Intense Reference"/>
    <w:basedOn w:val="a0"/>
    <w:uiPriority w:val="32"/>
    <w:qFormat/>
    <w:rsid w:val="005F6FF2"/>
    <w:rPr>
      <w:b/>
      <w:bCs/>
      <w:smallCaps/>
      <w:color w:val="0F4761" w:themeColor="accent1" w:themeShade="BF"/>
      <w:spacing w:val="5"/>
    </w:rPr>
  </w:style>
  <w:style w:type="paragraph" w:styleId="aa">
    <w:name w:val="header"/>
    <w:basedOn w:val="a"/>
    <w:link w:val="ab"/>
    <w:uiPriority w:val="99"/>
    <w:unhideWhenUsed/>
    <w:rsid w:val="009C683D"/>
    <w:pPr>
      <w:tabs>
        <w:tab w:val="center" w:pos="4252"/>
        <w:tab w:val="right" w:pos="8504"/>
      </w:tabs>
      <w:snapToGrid w:val="0"/>
    </w:pPr>
  </w:style>
  <w:style w:type="character" w:customStyle="1" w:styleId="ab">
    <w:name w:val="ヘッダー (文字)"/>
    <w:basedOn w:val="a0"/>
    <w:link w:val="aa"/>
    <w:uiPriority w:val="99"/>
    <w:rsid w:val="009C683D"/>
  </w:style>
  <w:style w:type="paragraph" w:styleId="ac">
    <w:name w:val="footer"/>
    <w:basedOn w:val="a"/>
    <w:link w:val="ad"/>
    <w:uiPriority w:val="99"/>
    <w:unhideWhenUsed/>
    <w:rsid w:val="009C683D"/>
    <w:pPr>
      <w:tabs>
        <w:tab w:val="center" w:pos="4252"/>
        <w:tab w:val="right" w:pos="8504"/>
      </w:tabs>
      <w:snapToGrid w:val="0"/>
    </w:pPr>
  </w:style>
  <w:style w:type="character" w:customStyle="1" w:styleId="ad">
    <w:name w:val="フッター (文字)"/>
    <w:basedOn w:val="a0"/>
    <w:link w:val="ac"/>
    <w:uiPriority w:val="99"/>
    <w:rsid w:val="009C683D"/>
  </w:style>
  <w:style w:type="table" w:styleId="11">
    <w:name w:val="Plain Table 1"/>
    <w:basedOn w:val="a1"/>
    <w:uiPriority w:val="99"/>
    <w:rsid w:val="009C683D"/>
    <w:rPr>
      <w:kern w:val="0"/>
      <w:sz w:val="24"/>
      <w:szCs w:val="24"/>
      <w:lang w:eastAsia="en-US"/>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Revision"/>
    <w:hidden/>
    <w:uiPriority w:val="99"/>
    <w:semiHidden/>
    <w:rsid w:val="006D27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347</Words>
  <Characters>1983</Characters>
  <Application>Microsoft Office Word</Application>
  <DocSecurity>0</DocSecurity>
  <Lines>16</Lines>
  <Paragraphs>4</Paragraphs>
  <ScaleCrop>false</ScaleCrop>
  <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池原 実伸</dc:creator>
  <cp:keywords/>
  <dc:description/>
  <cp:lastModifiedBy>池原 実伸</cp:lastModifiedBy>
  <cp:revision>24</cp:revision>
  <dcterms:created xsi:type="dcterms:W3CDTF">2026-05-24T14:15:00Z</dcterms:created>
  <dcterms:modified xsi:type="dcterms:W3CDTF">2026-09-06T15:42:00Z</dcterms:modified>
</cp:coreProperties>
</file>