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9B321">
      <w:pPr>
        <w:jc w:val="center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sz w:val="20"/>
        </w:rPr>
        <w:t>Supplementary Table S</w:t>
      </w:r>
      <w:r>
        <w:rPr>
          <w:rFonts w:hint="default" w:ascii="Times New Roman" w:hAnsi="Times New Roman" w:eastAsia="宋体" w:cs="Times New Roman"/>
          <w:b/>
          <w:sz w:val="20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sz w:val="20"/>
        </w:rPr>
        <w:t>. Validation performance of the prespecified sensitivity analyses</w:t>
      </w:r>
    </w:p>
    <w:p w14:paraId="6C995ABC"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sz w:val="18"/>
        </w:rPr>
        <w:t>(A). Discrimination, prediction error, and calibration</w:t>
      </w:r>
    </w:p>
    <w:tbl>
      <w:tblPr>
        <w:tblStyle w:val="3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780"/>
        <w:gridCol w:w="927"/>
        <w:gridCol w:w="968"/>
        <w:gridCol w:w="1839"/>
        <w:gridCol w:w="1826"/>
        <w:gridCol w:w="1826"/>
        <w:gridCol w:w="2650"/>
        <w:gridCol w:w="2337"/>
      </w:tblGrid>
      <w:tr w14:paraId="28A25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B6105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Analysis</w:t>
            </w:r>
          </w:p>
        </w:tc>
        <w:tc>
          <w:tcPr>
            <w:tcW w:w="24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1994F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Dataset</w:t>
            </w:r>
          </w:p>
        </w:tc>
        <w:tc>
          <w:tcPr>
            <w:tcW w:w="29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B1171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N / events</w:t>
            </w:r>
          </w:p>
        </w:tc>
        <w:tc>
          <w:tcPr>
            <w:tcW w:w="30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87A7B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Threshold</w:t>
            </w:r>
          </w:p>
        </w:tc>
        <w:tc>
          <w:tcPr>
            <w:tcW w:w="58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FB3A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ROC-AUC (95% CI)</w:t>
            </w:r>
          </w:p>
        </w:tc>
        <w:tc>
          <w:tcPr>
            <w:tcW w:w="58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77ADC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PR-AUC (95% CI)</w:t>
            </w:r>
          </w:p>
        </w:tc>
        <w:tc>
          <w:tcPr>
            <w:tcW w:w="58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59AF8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Brier (95% CI)</w:t>
            </w:r>
          </w:p>
        </w:tc>
        <w:tc>
          <w:tcPr>
            <w:tcW w:w="84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0FDC6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Calibration intercept (95% CI)</w:t>
            </w:r>
          </w:p>
        </w:tc>
        <w:tc>
          <w:tcPr>
            <w:tcW w:w="74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7416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28"/>
              </w:rPr>
              <w:t>Calibration slope (95% CI)</w:t>
            </w:r>
          </w:p>
        </w:tc>
      </w:tr>
      <w:tr w14:paraId="6C1BB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C2A257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A1: adjusted MoCA-BJ &lt;26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13D40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Internal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24022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120 / 65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9B456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0.4964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4233F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0.790 (0.716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0.863)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C8847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0.853 (0.798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0.906)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FB9FB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0.181 (0.148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0.210)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F908A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0.155 (-0.077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0.368)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A7A87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1.042 (0.771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1.457)</w:t>
            </w:r>
          </w:p>
        </w:tc>
      </w:tr>
      <w:tr w14:paraId="12DAC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6B1BC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03715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External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DCE1F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192 / 86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F4D7A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0.4964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E7209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0.951 (0.912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0.985)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1FFF7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0.880 (0.801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0.965)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DC63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0.062 (0.040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0.087)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DEE9B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-0.742 (-1.058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-0.460)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874C1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1.328 (0.944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2.146)</w:t>
            </w:r>
          </w:p>
        </w:tc>
      </w:tr>
      <w:tr w14:paraId="61614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4523F8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A2: raw MoCA-BJ &lt;26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34816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Internal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0AAC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120 / 77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3288E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0.3510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28C90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0.756 (0.667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0.835)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8558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0.839 (0.777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0.900)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51DB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0.204 (0.167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0.245)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7733A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0.550 (0.370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0.730)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9D7C8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0.591 (0.355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0.959)</w:t>
            </w:r>
          </w:p>
        </w:tc>
      </w:tr>
      <w:tr w14:paraId="3EB6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88B273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9A2D0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External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51AB6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192 / 110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26F10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0.3510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D8D8B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0.943 (0.887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0.983)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C06AC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0.888 (0.809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0.971)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63E0E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0.049 (0.029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0.073)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0EB21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-0.176 (-0.499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0.160)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F0C07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1.306 (0.926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2.087)</w:t>
            </w:r>
          </w:p>
        </w:tc>
      </w:tr>
      <w:tr w14:paraId="51952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6D8BA5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B: no PHQ-9/GAD-7/CPSS-14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18A93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Internal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2192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120 / 38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FBFD0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0.4368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CB692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0.916 (0.861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0.968)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3781A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0.792 (0.692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0.935)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5AAE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0.106 (0.073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0.141)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B0851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-0.110 (-0.490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0.322)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6B047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0.952 (0.634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1.697)</w:t>
            </w:r>
          </w:p>
        </w:tc>
      </w:tr>
      <w:tr w14:paraId="03FCB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C7AE12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D6544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External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55E39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192 / 57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9DA71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0.4368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95E01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0.952 (0.923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0.983)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617DF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0.765 (0.689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0.920)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FF2E3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0.057 (0.032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0.080)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B111A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-0.690 (-0.993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-0.328)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CEF7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0.943 (0.733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1.488)</w:t>
            </w:r>
          </w:p>
        </w:tc>
      </w:tr>
      <w:tr w14:paraId="7E09B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9321B2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C: PSG/clinical predictors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E336A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Internal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2BF2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120 / 38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122A8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0.4240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DD2FA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0.873 (0.802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0.928)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C3836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0.765 (0.647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0.868)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8862F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0.134 (0.104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0.173)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BE99B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-0.309 (-0.630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0.206)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0ED0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0.908 (0.536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1.576)</w:t>
            </w:r>
          </w:p>
        </w:tc>
      </w:tr>
      <w:tr w14:paraId="06753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B09BE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8675F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External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9D28A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192 / 57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77DEC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0.4240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A095F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0.947 (0.910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0.976)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E7C17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0.800 (0.714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0.926)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8DC22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0.066 (0.043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0.096)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8ADD1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-0.596 (-0.857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-0.283)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0858D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0.835 (0.499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1.530)</w:t>
            </w:r>
          </w:p>
        </w:tc>
      </w:tr>
      <w:tr w14:paraId="6665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67DA08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D: no coffee consumption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1C49F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Internal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3E332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120 / 38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44AFE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0.3758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770CD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0.956 (0.914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0.994)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BDB8F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0.935 (0.884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0.987)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4093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0.061 (0.036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0.089)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FF18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0.244 (-0.515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BB56F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1.014 (0.717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2.211)</w:t>
            </w:r>
          </w:p>
        </w:tc>
      </w:tr>
      <w:tr w14:paraId="620E9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DED5E8">
            <w:pPr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E191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External</w:t>
            </w:r>
          </w:p>
        </w:tc>
        <w:tc>
          <w:tcPr>
            <w:tcW w:w="296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EE851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192 / 57</w:t>
            </w:r>
          </w:p>
        </w:tc>
        <w:tc>
          <w:tcPr>
            <w:tcW w:w="309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41584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0.3758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BD361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0.955 (0.920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0.982)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1A9FF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0.805 (0.714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0.931)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A980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0.052 (0.026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0.082)</w:t>
            </w:r>
          </w:p>
        </w:tc>
        <w:tc>
          <w:tcPr>
            <w:tcW w:w="846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5EFB0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-0.584 (-0.928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-0.201)</w:t>
            </w:r>
          </w:p>
        </w:tc>
        <w:tc>
          <w:tcPr>
            <w:tcW w:w="746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89F06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0.656 (0.439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28"/>
              </w:rPr>
              <w:t>1.117)</w:t>
            </w:r>
          </w:p>
        </w:tc>
      </w:tr>
    </w:tbl>
    <w:p w14:paraId="2CAD369D">
      <w:pPr>
        <w:rPr>
          <w:rFonts w:hint="default" w:ascii="Times New Roman" w:hAnsi="Times New Roman" w:eastAsia="宋体" w:cs="Times New Roman"/>
        </w:rPr>
      </w:pPr>
    </w:p>
    <w:p w14:paraId="03E9C36F">
      <w:pPr>
        <w:rPr>
          <w:rFonts w:hint="default" w:ascii="Times New Roman" w:hAnsi="Times New Roman" w:eastAsia="宋体" w:cs="Times New Roman"/>
          <w:b/>
          <w:sz w:val="18"/>
        </w:rPr>
      </w:pPr>
    </w:p>
    <w:p w14:paraId="6E8AB76A">
      <w:pPr>
        <w:rPr>
          <w:rFonts w:hint="default" w:ascii="Times New Roman" w:hAnsi="Times New Roman" w:eastAsia="宋体" w:cs="Times New Roman"/>
          <w:b/>
          <w:sz w:val="18"/>
        </w:rPr>
      </w:pPr>
    </w:p>
    <w:p w14:paraId="703055EB">
      <w:pPr>
        <w:rPr>
          <w:rFonts w:hint="default" w:ascii="Times New Roman" w:hAnsi="Times New Roman" w:eastAsia="宋体" w:cs="Times New Roman"/>
          <w:b/>
          <w:sz w:val="18"/>
        </w:rPr>
      </w:pPr>
    </w:p>
    <w:p w14:paraId="67B2980C">
      <w:pPr>
        <w:rPr>
          <w:rFonts w:hint="default" w:ascii="Times New Roman" w:hAnsi="Times New Roman" w:eastAsia="宋体" w:cs="Times New Roman"/>
          <w:b/>
          <w:sz w:val="18"/>
        </w:rPr>
      </w:pPr>
    </w:p>
    <w:p w14:paraId="2B7996F8">
      <w:pPr>
        <w:rPr>
          <w:rFonts w:hint="default" w:ascii="Times New Roman" w:hAnsi="Times New Roman" w:eastAsia="宋体" w:cs="Times New Roman"/>
          <w:b/>
          <w:sz w:val="18"/>
        </w:rPr>
      </w:pPr>
    </w:p>
    <w:p w14:paraId="1230928F"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sz w:val="18"/>
        </w:rPr>
        <w:t>(B). Threshold-dependent classification performance</w:t>
      </w:r>
    </w:p>
    <w:tbl>
      <w:tblPr>
        <w:tblStyle w:val="32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856"/>
        <w:gridCol w:w="2009"/>
        <w:gridCol w:w="2009"/>
        <w:gridCol w:w="2009"/>
        <w:gridCol w:w="2009"/>
        <w:gridCol w:w="2009"/>
        <w:gridCol w:w="2009"/>
      </w:tblGrid>
      <w:tr w14:paraId="4EED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390A1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Analysis</w:t>
            </w:r>
          </w:p>
        </w:tc>
        <w:tc>
          <w:tcPr>
            <w:tcW w:w="2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A416B7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Dataset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01F35D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Accuracy (95% CI)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629216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Sensitivity (95% CI)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9815FA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Specificity (95% CI)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F8D8B0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Precision (95% CI)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DD8BA3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F1 score (95% CI)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FC0C3F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6"/>
                <w:szCs w:val="16"/>
              </w:rPr>
              <w:t>MCC (95% CI)</w:t>
            </w:r>
          </w:p>
        </w:tc>
      </w:tr>
      <w:tr w14:paraId="444A2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4342BF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A1: adjusted MoCA-BJ &lt;26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D26379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Internal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3E58A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0.667 (0.583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0.752)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D67545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0.615 (0.523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0.723)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986A2B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0.727 (0.600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0.836)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CD942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0.727 (0.637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0.817)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86F476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0.667 (0.580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0.763)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BC1681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0.343 (0.176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0.514)</w:t>
            </w:r>
          </w:p>
        </w:tc>
      </w:tr>
      <w:tr w14:paraId="1B97C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C445CB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F33E7A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External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2E4CD2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0.964 (0.938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0.990)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AB3DAD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0.988 (0.965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1.000)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F1BA0D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0.943 (0.906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0.981)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E7D248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0.934 (0.892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D630C6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0.960 (0.933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0.988)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4F8EC3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0.928 (0.878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0.979)</w:t>
            </w:r>
          </w:p>
        </w:tc>
      </w:tr>
      <w:tr w14:paraId="18DA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6663CA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A2: raw MoCA-BJ &lt;26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193C57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Internal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40EFAF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0.700 (0.633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0.769)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E1C7A6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0.857 (0.779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E29A07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0.419 (0.279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0.558)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F1328E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0.725 (0.677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0.782)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80E66A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0.786 (0.735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0.837)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9E9F2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0.309 (0.137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0.480)</w:t>
            </w:r>
          </w:p>
        </w:tc>
      </w:tr>
      <w:tr w14:paraId="6C833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C97517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F336B3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External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33C227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0.969 (0.943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0.990)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67A526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0.991 (0.973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1.000)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E04897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0.939 (0.878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0.988)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AECC5F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0.956 (0.916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0.991)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2182E4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0.973 (0.952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0.991)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0EE854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0.937 (0.885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0.979)</w:t>
            </w:r>
          </w:p>
        </w:tc>
      </w:tr>
      <w:tr w14:paraId="1E6D3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A886E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B: no PHQ-9/GAD-7/CPSS-14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4BE8FB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Internal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719ECE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0.850 (0.775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0.908)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65F542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0.816 (0.684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46252F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0.866 (0.780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0.939)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997F7C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0.738 (0.622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0.851)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9E1B19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0.775 (0.667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0.864)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52C47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0.665 (0.501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0.801)</w:t>
            </w:r>
          </w:p>
        </w:tc>
      </w:tr>
      <w:tr w14:paraId="76404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A8FC71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B57532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External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F1D190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0.948 (0.922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93D421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0.982 (0.947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1.000)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FB517B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0.933 (0.896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0.972)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BD90B3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0.862 (0.800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0.938)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DEA5B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0.918 (0.878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716248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0.884 (0.830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0.951)</w:t>
            </w:r>
          </w:p>
        </w:tc>
      </w:tr>
      <w:tr w14:paraId="3EFE8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79AB1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C: PSG/clinical predictors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6B4671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Internal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2B79EA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0.808 (0.739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0.869)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41FE79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0.763 (0.632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0.868)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CEB76C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0.829 (0.744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0.902)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462A81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0.674 (0.566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0.788)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B34355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0.716 (0.623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0.805)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B2B4C9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0.575 (0.429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0.709)</w:t>
            </w:r>
          </w:p>
        </w:tc>
      </w:tr>
      <w:tr w14:paraId="611D3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8540CF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F1D7CC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External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593A9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0.943 (0.911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2100DB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0.982 (0.947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1.000)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E7CABA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0.926 (0.887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0.963)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C617D2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0.848 (0.782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0.918)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03C0E7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0.911 (0.866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0.950)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FAD031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0.874 (0.810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0.930)</w:t>
            </w:r>
          </w:p>
        </w:tc>
      </w:tr>
      <w:tr w14:paraId="7702C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5D0164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D: no coffee consumption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D6EC25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Internal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F27A14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0.925 (0.883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91C2B1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0.921 (0.842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1.000)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835B6F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0.927 (0.878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0EC6C6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0.854 (0.771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0.947)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43786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0.886 (0.821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0.949)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4B9BC5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0.832 (0.735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0.925)</w:t>
            </w:r>
          </w:p>
        </w:tc>
      </w:tr>
      <w:tr w14:paraId="3228E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A9D1C6">
            <w:pPr>
              <w:jc w:val="left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7A391D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External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E47F5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0.953 (0.922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0.979)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ED0955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0.982 (0.943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1.000)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C7E1DA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0.941 (0.896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0.978)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7A5A3B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0.875 (0.802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0.949)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4E6475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0.926 (0.882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0.966)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5FE1D8">
            <w:pPr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0.895 (0.832</w:t>
            </w:r>
            <w:r>
              <w:rPr>
                <w:rFonts w:hint="eastAsia" w:ascii="Times New Roman" w:hAnsi="Times New Roman" w:eastAsia="宋体" w:cs="Times New Roman"/>
                <w:b w:val="0"/>
                <w:sz w:val="16"/>
                <w:szCs w:val="16"/>
                <w:lang w:eastAsia="zh-CN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b w:val="0"/>
                <w:sz w:val="16"/>
                <w:szCs w:val="16"/>
              </w:rPr>
              <w:t>0.952)</w:t>
            </w:r>
          </w:p>
        </w:tc>
      </w:tr>
    </w:tbl>
    <w:p w14:paraId="7A781B7D">
      <w:pPr>
        <w:jc w:val="both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 xml:space="preserve">Note. Training data were used for feature selection, model fitting, hyperparameter tuning, and training-derived threshold determination. Each sensitivity analysis used the threshold listed in part A, derived from its training out-of-fold predictions and applied unchanged to the corresponding internal algorithm-selection hold-out and independent external-validation data; no validation threshold was re-estimated. The internal hold-out is selection-conditioned and should not be interpreted as unbiased generalization performance, whereas the Shenzhen external dataset is independent of model selection. The raw and education-adjusted MoCA-BJ score-only outcomes in A1-A2 were derived from authentic study-period cognitive-assessment records maintained separately from the machine-learning modeling dataset; raw totals were calculated directly from scored items and one point was added for participants with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  <w:lang w:eastAsia="zh-CN"/>
        </w:rPr>
        <w:t>≤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12 years of formal education, with adjusted scores capped at 30. These score-only outcomes were not used to define or train the primary clinically defined MCI model. A1 and A2 should not be interpreted as direct head-to-head comparisons with analyses B-D, which retain the primary clinically defined MCI classification outcome. No post-hoc recalibration was applied. AHI, apnea-hypopnea index; CI, confidence interval; MCC, Matthews correlation coefficient; MoCA-BJ, Beijing version of the Montreal Cognitive Assessment; PSG, polysomnography.</w:t>
      </w:r>
    </w:p>
    <w:sectPr>
      <w:pgSz w:w="16834" w:h="11909" w:orient="landscape"/>
      <w:pgMar w:top="792" w:right="648" w:bottom="792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671BDD"/>
    <w:rsid w:val="11AB1E5E"/>
    <w:rsid w:val="1D796AC8"/>
    <w:rsid w:val="22AA7723"/>
    <w:rsid w:val="2C9E20A7"/>
    <w:rsid w:val="2FBA1849"/>
    <w:rsid w:val="3DD110BE"/>
    <w:rsid w:val="49153299"/>
    <w:rsid w:val="5DC866D4"/>
    <w:rsid w:val="642D54E3"/>
    <w:rsid w:val="6B6E08BB"/>
    <w:rsid w:val="6BC6476C"/>
    <w:rsid w:val="6DA531CF"/>
    <w:rsid w:val="7AF0292D"/>
    <w:rsid w:val="7CCC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4158</Characters>
  <Lines>0</Lines>
  <Paragraphs>0</Paragraphs>
  <TotalTime>1</TotalTime>
  <ScaleCrop>false</ScaleCrop>
  <LinksUpToDate>false</LinksUpToDate>
  <CharactersWithSpaces>4545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2026-08-28T07:57:20Z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A2BFEF0A183A4F7B869E4A798573073F_12</vt:lpwstr>
  </property>
</Properties>
</file>