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05AF9">
      <w:pPr>
        <w:spacing w:after="120"/>
        <w:jc w:val="center"/>
      </w:pPr>
      <w:r>
        <w:rPr>
          <w:rFonts w:ascii="Times New Roman" w:hAnsi="Times New Roman" w:eastAsia="Times New Roman"/>
          <w:b/>
          <w:sz w:val="21"/>
        </w:rPr>
        <w:t>Supplementary Table S</w:t>
      </w:r>
      <w:r>
        <w:rPr>
          <w:rFonts w:hint="eastAsia" w:eastAsia="宋体"/>
          <w:b/>
          <w:sz w:val="21"/>
          <w:lang w:val="en-US" w:eastAsia="zh-CN"/>
        </w:rPr>
        <w:t>2</w:t>
      </w:r>
      <w:r>
        <w:rPr>
          <w:rFonts w:ascii="Times New Roman" w:hAnsi="Times New Roman" w:eastAsia="Times New Roman"/>
          <w:b/>
          <w:sz w:val="21"/>
        </w:rPr>
        <w:t>. Hyperparameter search spaces, selected settings, and model-development controls for the eight candidate algorithms</w:t>
      </w:r>
    </w:p>
    <w:p w14:paraId="5FECEFE9">
      <w:pPr>
        <w:spacing w:before="80" w:after="60"/>
      </w:pPr>
      <w:r>
        <w:rPr>
          <w:rFonts w:ascii="Times New Roman" w:hAnsi="Times New Roman" w:eastAsia="Times New Roman"/>
          <w:b/>
          <w:sz w:val="19"/>
        </w:rPr>
        <w:t>(A). Complete hyperparameter search spaces and selected/final settings</w:t>
      </w:r>
    </w:p>
    <w:tbl>
      <w:tblPr>
        <w:tblStyle w:val="3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"/>
        <w:gridCol w:w="1311"/>
        <w:gridCol w:w="7266"/>
        <w:gridCol w:w="1475"/>
        <w:gridCol w:w="3605"/>
      </w:tblGrid>
      <w:tr w14:paraId="2ABD8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50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609DAA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/>
                <w:sz w:val="18"/>
                <w:szCs w:val="18"/>
              </w:rPr>
              <w:t>Model</w:t>
            </w:r>
          </w:p>
        </w:tc>
        <w:tc>
          <w:tcPr>
            <w:tcW w:w="446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D445DD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/>
                <w:sz w:val="18"/>
                <w:szCs w:val="18"/>
              </w:rPr>
              <w:t>Engine/method</w:t>
            </w:r>
          </w:p>
        </w:tc>
        <w:tc>
          <w:tcPr>
            <w:tcW w:w="2473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F442E4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/>
                <w:sz w:val="18"/>
                <w:szCs w:val="18"/>
              </w:rPr>
              <w:t>Search space / candidate values actually used</w:t>
            </w:r>
          </w:p>
        </w:tc>
        <w:tc>
          <w:tcPr>
            <w:tcW w:w="502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914B35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/>
                <w:sz w:val="18"/>
                <w:szCs w:val="18"/>
              </w:rPr>
              <w:t>No. candidate combinations</w:t>
            </w:r>
          </w:p>
        </w:tc>
        <w:tc>
          <w:tcPr>
            <w:tcW w:w="1227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5AACC6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/>
                <w:sz w:val="18"/>
                <w:szCs w:val="18"/>
              </w:rPr>
              <w:t>Selected/final setting</w:t>
            </w:r>
          </w:p>
        </w:tc>
      </w:tr>
      <w:tr w14:paraId="2C680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C19CD9">
            <w:pPr>
              <w:jc w:val="left"/>
              <w:rPr>
                <w:sz w:val="18"/>
                <w:szCs w:val="18"/>
              </w:rPr>
            </w:pPr>
            <w:bookmarkStart w:id="0" w:name="_GoBack" w:colFirst="2" w:colLast="2"/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LR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88962D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glm (binomial)</w:t>
            </w:r>
          </w:p>
        </w:tc>
        <w:tc>
          <w:tcPr>
            <w:tcW w:w="2473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7834D6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No tunable model hyperparameter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806D3B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Not applicable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9ABE14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Unpenalized binomial logistic regression</w:t>
            </w:r>
          </w:p>
        </w:tc>
      </w:tr>
      <w:tr w14:paraId="312E99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604CAA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SVM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0CE563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svmRadial</w:t>
            </w:r>
          </w:p>
        </w:tc>
        <w:tc>
          <w:tcPr>
            <w:tcW w:w="2473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74B446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C = {0.1, 0.5}; sigma = {0.001, 0.01, 0.1}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B959EE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6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A30805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C = 0.5; sigma = 0.1</w:t>
            </w:r>
          </w:p>
        </w:tc>
      </w:tr>
      <w:tr w14:paraId="329EF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500640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GBM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07AEAA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gbm</w:t>
            </w:r>
          </w:p>
        </w:tc>
        <w:tc>
          <w:tcPr>
            <w:tcW w:w="2473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5B7289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n.trees = 100; interaction.depth = {2, 3}; shrinkage = {0.01, 0.1}; n.minobsinnode = 5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47E75C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C48A70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n.trees = 100; interaction.depth = 2; shrinkage = 0.1; n.minobsinnode = 5</w:t>
            </w:r>
          </w:p>
        </w:tc>
      </w:tr>
      <w:tr w14:paraId="3EE37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C817FC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Neural network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D485C5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nnet</w:t>
            </w:r>
          </w:p>
        </w:tc>
        <w:tc>
          <w:tcPr>
            <w:tcW w:w="2473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54E2ED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size = {3, 4, 5}; decay = 0.6; maxit = 500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CA7FC9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B6ECD8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size = 3; decay = 0.6; maxit = 500</w:t>
            </w:r>
          </w:p>
        </w:tc>
      </w:tr>
      <w:tr w14:paraId="50E72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4942AA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RF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849D5A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rf</w:t>
            </w:r>
          </w:p>
        </w:tc>
        <w:tc>
          <w:tcPr>
            <w:tcW w:w="2473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AF8471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mtry = {2, 3, 4, 5}; ntree = 1000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77AB86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D6104D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mtry = 4; ntree = 1000</w:t>
            </w:r>
          </w:p>
        </w:tc>
      </w:tr>
      <w:tr w14:paraId="48EE8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3A6626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XGBoost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5C838E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xgbTree</w:t>
            </w:r>
          </w:p>
        </w:tc>
        <w:tc>
          <w:tcPr>
            <w:tcW w:w="2473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21A189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nrounds = 200; max_depth = {3, 4, 5}; eta = {0.001, 0.01, 0.1}; gamma = 0.5; colsample_bytree = 0.5; min_child_weight = 1; subsample = 0.6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AF118E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9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AB825A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nrounds = 200; max_depth = 4; eta = 0.1; gamma = 0.5; colsample_bytree = 0.5; min_child_weight = 1; subsample = 0.6</w:t>
            </w:r>
          </w:p>
        </w:tc>
      </w:tr>
      <w:tr w14:paraId="1226E5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3BC907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KNN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54ED5C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kknn</w:t>
            </w:r>
          </w:p>
        </w:tc>
        <w:tc>
          <w:tcPr>
            <w:tcW w:w="2473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ED3440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kmax = {3, 4, ..., 15}; distance = 1; kernel = optimal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3C379D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13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2D3DD3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kmax = 11; distance = 1; kernel = optimal</w:t>
            </w:r>
          </w:p>
        </w:tc>
      </w:tr>
      <w:tr w14:paraId="0AE4F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" w:type="pct"/>
            <w:tcBorders>
              <w:top w:val="nil"/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B2818F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LightGBM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B4F04A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lightgbm</w:t>
            </w:r>
          </w:p>
        </w:tc>
        <w:tc>
          <w:tcPr>
            <w:tcW w:w="2473" w:type="pct"/>
            <w:tcBorders>
              <w:top w:val="nil"/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0A3060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Fixed parameter set: objective = binary; metric = auc; learning_rate = 0.05; num_leaves = 31; feature_fraction = 0.8; bagging_fraction = 0.8; bagging_freq = 1; min_data_in_leaf = 10; force_col_wise = TRUE. Within each repeated-CV assessment, nrounds &lt;= 500 with early_stopping_rounds = 30.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0BC570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Not a conventional grid</w:t>
            </w:r>
          </w:p>
        </w:tc>
        <w:tc>
          <w:tcPr>
            <w:tcW w:w="1227" w:type="pct"/>
            <w:tcBorders>
              <w:top w:val="nil"/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A9FFF5">
            <w:pPr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18"/>
              </w:rPr>
              <w:t>Same fixed parameter set; final nrounds = median fold-specific best_iter (fallback 200 only if the median is non-finite or &lt;10).</w:t>
            </w:r>
          </w:p>
        </w:tc>
      </w:tr>
      <w:bookmarkEnd w:id="0"/>
    </w:tbl>
    <w:p w14:paraId="35CCD050">
      <w:pPr>
        <w:spacing w:before="80" w:after="60"/>
      </w:pPr>
      <w:r>
        <w:rPr>
          <w:rFonts w:ascii="Times New Roman" w:hAnsi="Times New Roman" w:eastAsia="Times New Roman"/>
          <w:b/>
          <w:sz w:val="19"/>
        </w:rPr>
        <w:t>(B). Common training, probability-generation, and reproducibility controls</w:t>
      </w:r>
    </w:p>
    <w:tbl>
      <w:tblPr>
        <w:tblStyle w:val="3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6"/>
        <w:gridCol w:w="12778"/>
      </w:tblGrid>
      <w:tr w14:paraId="31A6D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49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715AC9">
            <w:pPr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8"/>
              </w:rPr>
              <w:t>Control</w:t>
            </w:r>
          </w:p>
        </w:tc>
        <w:tc>
          <w:tcPr>
            <w:tcW w:w="4350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48E817">
            <w:pPr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8"/>
              </w:rPr>
              <w:t>Actual implementation</w:t>
            </w:r>
          </w:p>
        </w:tc>
      </w:tr>
      <w:tr w14:paraId="669D8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6BDB10">
            <w:pPr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28"/>
              </w:rPr>
              <w:t>Resampling</w:t>
            </w:r>
          </w:p>
        </w:tc>
        <w:tc>
          <w:tcPr>
            <w:tcW w:w="4350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170FAD">
            <w:pPr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28"/>
              </w:rPr>
              <w:t>Repeated 10-fold cross-validation with five repeats, confined to the training data.</w:t>
            </w:r>
          </w:p>
        </w:tc>
      </w:tr>
      <w:tr w14:paraId="7796E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B89FDA">
            <w:pPr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28"/>
              </w:rPr>
              <w:t>Class-imbalance handling</w:t>
            </w:r>
          </w:p>
        </w:tc>
        <w:tc>
          <w:tcPr>
            <w:tcW w:w="4350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010C5E">
            <w:pPr>
              <w:jc w:val="left"/>
              <w:rPr>
                <w:sz w:val="20"/>
                <w:szCs w:val="28"/>
              </w:rPr>
            </w:pPr>
            <w:r>
              <w:rPr>
                <w:rFonts w:hint="eastAsia" w:ascii="Times New Roman" w:hAnsi="Times New Roman" w:eastAsia="Times New Roman"/>
                <w:b w:val="0"/>
                <w:sz w:val="18"/>
                <w:szCs w:val="28"/>
              </w:rPr>
              <w:t>No additional class weighting was applied. Class imbalance was addressed using SMOTE inside each training fold/resample only; neither validation sample was oversampled.</w:t>
            </w:r>
          </w:p>
        </w:tc>
      </w:tr>
      <w:tr w14:paraId="1815BF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CCD3D6">
            <w:pPr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28"/>
              </w:rPr>
              <w:t>Optimization metric</w:t>
            </w:r>
          </w:p>
        </w:tc>
        <w:tc>
          <w:tcPr>
            <w:tcW w:w="4350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8E45CD">
            <w:pPr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28"/>
              </w:rPr>
              <w:t>PR-AUC was the primary tuning metric for candidate-model hyperparameter selection.</w:t>
            </w:r>
          </w:p>
        </w:tc>
      </w:tr>
      <w:tr w14:paraId="3B484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F0870C">
            <w:pPr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28"/>
              </w:rPr>
              <w:t>Centering/scaling</w:t>
            </w:r>
          </w:p>
        </w:tc>
        <w:tc>
          <w:tcPr>
            <w:tcW w:w="4350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BD5CB3">
            <w:pPr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28"/>
              </w:rPr>
              <w:t>Center/scale preprocessing was used for LR, SVM, neural network, and KNN and estimated from training resamples; GBM, RF, XGBoost, and LightGBM were not standardized.</w:t>
            </w:r>
          </w:p>
        </w:tc>
      </w:tr>
      <w:tr w14:paraId="70D6D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55B32B">
            <w:pPr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28"/>
              </w:rPr>
              <w:t>Probability output</w:t>
            </w:r>
          </w:p>
        </w:tc>
        <w:tc>
          <w:tcPr>
            <w:tcW w:w="4350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3F7522">
            <w:pPr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28"/>
              </w:rPr>
              <w:t>For caret models, class probabilities were obtained with predict(..., type = "prob")[, "Yes"]; LightGBM predict() returned the probability of the positive MCI class.</w:t>
            </w:r>
          </w:p>
        </w:tc>
      </w:tr>
      <w:tr w14:paraId="7553B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BB115E">
            <w:pPr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28"/>
              </w:rPr>
              <w:t>Training OOF aggregation</w:t>
            </w:r>
          </w:p>
        </w:tc>
        <w:tc>
          <w:tcPr>
            <w:tcW w:w="4350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214F8E">
            <w:pPr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28"/>
              </w:rPr>
              <w:t>At the selected tuning configuration, repeated-CV validation predictions were aggregated to one mean OOF probability per training participant.</w:t>
            </w:r>
          </w:p>
        </w:tc>
      </w:tr>
      <w:tr w14:paraId="0CEDC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C0E376">
            <w:pPr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28"/>
              </w:rPr>
              <w:t>Classification threshold</w:t>
            </w:r>
          </w:p>
        </w:tc>
        <w:tc>
          <w:tcPr>
            <w:tcW w:w="4350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9F4100">
            <w:pPr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28"/>
              </w:rPr>
              <w:t>The operating threshold was derived exclusively from training OOF probabilities by maximizing the F1 score and then fixed for validation.</w:t>
            </w:r>
          </w:p>
        </w:tc>
      </w:tr>
      <w:tr w14:paraId="1B692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BB9E5C">
            <w:pPr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28"/>
              </w:rPr>
              <w:t>Random seeds</w:t>
            </w:r>
          </w:p>
        </w:tc>
        <w:tc>
          <w:tcPr>
            <w:tcW w:w="4350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3BD871">
            <w:pPr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28"/>
              </w:rPr>
              <w:t xml:space="preserve">Seed 123 was used for the 70:30 </w:t>
            </w:r>
            <w:r>
              <w:rPr>
                <w:rFonts w:hint="eastAsia" w:eastAsia="宋体"/>
                <w:b w:val="0"/>
                <w:sz w:val="18"/>
                <w:szCs w:val="28"/>
                <w:lang w:eastAsia="zh-CN"/>
              </w:rPr>
              <w:t>sample</w:t>
            </w:r>
            <w:r>
              <w:rPr>
                <w:rFonts w:ascii="Times New Roman" w:hAnsi="Times New Roman" w:eastAsia="Times New Roman"/>
                <w:b w:val="0"/>
                <w:sz w:val="18"/>
                <w:szCs w:val="28"/>
              </w:rPr>
              <w:t xml:space="preserve"> split; 2026 was the base analysis seed, with deterministic model/analysis-specific offsets in the locked workflow.</w:t>
            </w:r>
          </w:p>
        </w:tc>
      </w:tr>
      <w:tr w14:paraId="663A3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0417B3">
            <w:pPr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28"/>
              </w:rPr>
              <w:t>Software environment</w:t>
            </w:r>
          </w:p>
        </w:tc>
        <w:tc>
          <w:tcPr>
            <w:tcW w:w="4350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CCC68B">
            <w:pPr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28"/>
              </w:rPr>
              <w:t>R 4.4.3 on Microsoft Windows.</w:t>
            </w:r>
          </w:p>
        </w:tc>
      </w:tr>
      <w:tr w14:paraId="31D74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33275E">
            <w:pPr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28"/>
              </w:rPr>
              <w:t>Model engines/packages</w:t>
            </w:r>
          </w:p>
        </w:tc>
        <w:tc>
          <w:tcPr>
            <w:tcW w:w="4350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A7DACF">
            <w:pPr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28"/>
              </w:rPr>
              <w:t>stats/caret (LR and resampling framework), kernlab (radial SVM via caret), gbm, nnet, randomForest, xgboost, kknn, and lightgbm; supporting workflow packages included PRROC, pROC, smotefamily, glmnet, and Boruta.</w:t>
            </w:r>
          </w:p>
        </w:tc>
      </w:tr>
      <w:tr w14:paraId="78187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9" w:type="pct"/>
            <w:tcBorders>
              <w:top w:val="nil"/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68560A">
            <w:pPr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28"/>
              </w:rPr>
              <w:t>Package versions</w:t>
            </w:r>
          </w:p>
        </w:tc>
        <w:tc>
          <w:tcPr>
            <w:tcW w:w="4350" w:type="pct"/>
            <w:tcBorders>
              <w:top w:val="nil"/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736378">
            <w:pPr>
              <w:jc w:val="left"/>
              <w:rPr>
                <w:sz w:val="20"/>
                <w:szCs w:val="28"/>
              </w:rPr>
            </w:pPr>
            <w:r>
              <w:rPr>
                <w:rFonts w:hint="eastAsia" w:ascii="Times New Roman" w:hAnsi="Times New Roman" w:eastAsia="Times New Roman"/>
                <w:b w:val="0"/>
                <w:sz w:val="18"/>
                <w:szCs w:val="28"/>
              </w:rPr>
              <w:t>Exact versions of individual R packages used in the original analysis were not fully preserved in the supplied session records and are therefore not fabricated; available software/session information is provided in the public GitHub repository and versioned Zenodo archive.</w:t>
            </w:r>
          </w:p>
        </w:tc>
      </w:tr>
    </w:tbl>
    <w:p w14:paraId="66CCDD86">
      <w:pPr>
        <w:spacing w:before="100" w:after="0"/>
        <w:rPr>
          <w:rFonts w:hint="eastAsia" w:eastAsia="宋体"/>
          <w:lang w:val="en-US" w:eastAsia="zh-CN"/>
        </w:rPr>
      </w:pPr>
      <w:r>
        <w:rPr>
          <w:rFonts w:ascii="Times New Roman" w:hAnsi="Times New Roman" w:eastAsia="Times New Roman"/>
          <w:b/>
          <w:sz w:val="15"/>
        </w:rPr>
        <w:t xml:space="preserve">Note. </w:t>
      </w:r>
      <w:r>
        <w:rPr>
          <w:rFonts w:ascii="Times New Roman" w:hAnsi="Times New Roman" w:eastAsia="Times New Roman"/>
          <w:sz w:val="15"/>
        </w:rPr>
        <w:t>The search spaces above reproduce the candidate values coded in the locked AHI-only analysis workflow. LightGBM used a prespecified fixed parameter set with fold-specific early stopping rather than a Cartesian hyperparameter grid. Validation data were not used for preprocessing, tuning, early stopping, threshold selection, or model updating. LR, logistic regression; SVM, support vector machine; GBM, gradient boosting machine; RF, random forest; KNN, k-nearest neighbors; OOF, out-of-fold; PR-AUC, area under the precision-recall curve; SMOTE, synthetic minority oversampling technique.</w:t>
      </w:r>
      <w:r>
        <w:rPr>
          <w:rFonts w:hint="eastAsia" w:eastAsia="宋体"/>
          <w:sz w:val="15"/>
          <w:lang w:val="en-US" w:eastAsia="zh-CN"/>
        </w:rPr>
        <w:t xml:space="preserve">  No additional class weighting was applied; class imbalance was addressed using training-fold-only SMOTE.</w:t>
      </w:r>
    </w:p>
    <w:sectPr>
      <w:pgSz w:w="15840" w:h="12240" w:orient="landscape"/>
      <w:pgMar w:top="792" w:right="648" w:bottom="792" w:left="64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54D61AB"/>
    <w:rsid w:val="1D7F4716"/>
    <w:rsid w:val="217F2190"/>
    <w:rsid w:val="30A22633"/>
    <w:rsid w:val="45DE30BD"/>
    <w:rsid w:val="47D4087C"/>
    <w:rsid w:val="5CAF0117"/>
    <w:rsid w:val="6D5A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40" w:lineRule="auto"/>
    </w:pPr>
    <w:rPr>
      <w:rFonts w:ascii="Times New Roman" w:hAnsi="Times New Roman" w:eastAsia="Times New Roman" w:cstheme="minorBidi"/>
      <w:sz w:val="17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624</Words>
  <Characters>3710</Characters>
  <Lines>0</Lines>
  <Paragraphs>0</Paragraphs>
  <TotalTime>6</TotalTime>
  <ScaleCrop>false</ScaleCrop>
  <LinksUpToDate>false</LinksUpToDate>
  <CharactersWithSpaces>4262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Beacon</cp:lastModifiedBy>
  <dcterms:modified xsi:type="dcterms:W3CDTF">2026-08-22T02:08:52Z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eyJoZGlkIjoiNGM4YTc1Mjc4YzA1Y2QzY2ViMTY2ZDlhNWM4Zjg0MzkiLCJ1c2VySWQiOiI1MTYxMjgxODMifQ==</vt:lpwstr>
  </property>
  <property fmtid="{D5CDD505-2E9C-101B-9397-08002B2CF9AE}" pid="3" name="KSOProductBuildVer">
    <vt:lpwstr>2052-12.1.0.28022</vt:lpwstr>
  </property>
  <property fmtid="{D5CDD505-2E9C-101B-9397-08002B2CF9AE}" pid="4" name="ICV">
    <vt:lpwstr>209C2A598C294289B278CD90408E5772_12</vt:lpwstr>
  </property>
</Properties>
</file>