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B2BF7">
      <w:pPr>
        <w:keepNext/>
        <w:spacing w:after="100"/>
        <w:jc w:val="center"/>
        <w:rPr>
          <w:sz w:val="20"/>
          <w:szCs w:val="28"/>
          <w:highlight w:val="none"/>
        </w:rPr>
      </w:pPr>
      <w:r>
        <w:rPr>
          <w:b/>
          <w:sz w:val="20"/>
          <w:szCs w:val="28"/>
          <w:highlight w:val="none"/>
        </w:rPr>
        <w:t>Supplementary Table S5. Sex-specific sample/event counts and exploratory male-stratum performance of the locked random-forest model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8"/>
        <w:gridCol w:w="798"/>
        <w:gridCol w:w="520"/>
        <w:gridCol w:w="1192"/>
        <w:gridCol w:w="2030"/>
        <w:gridCol w:w="2030"/>
        <w:gridCol w:w="2030"/>
        <w:gridCol w:w="2030"/>
        <w:gridCol w:w="2030"/>
      </w:tblGrid>
      <w:tr w14:paraId="14356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8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748B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Dataset</w:t>
            </w:r>
          </w:p>
        </w:tc>
        <w:tc>
          <w:tcPr>
            <w:tcW w:w="253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04B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Sex</w:t>
            </w:r>
          </w:p>
        </w:tc>
        <w:tc>
          <w:tcPr>
            <w:tcW w:w="165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259D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N</w:t>
            </w:r>
          </w:p>
        </w:tc>
        <w:tc>
          <w:tcPr>
            <w:tcW w:w="37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47A1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MCI events</w:t>
            </w:r>
          </w:p>
        </w:tc>
        <w:tc>
          <w:tcPr>
            <w:tcW w:w="64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C8E2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ROC-AUC (95% CI)</w:t>
            </w:r>
          </w:p>
        </w:tc>
        <w:tc>
          <w:tcPr>
            <w:tcW w:w="64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88CB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Brier score</w:t>
            </w:r>
          </w:p>
        </w:tc>
        <w:tc>
          <w:tcPr>
            <w:tcW w:w="64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C776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Sensitivity (95% CI)</w:t>
            </w:r>
          </w:p>
        </w:tc>
        <w:tc>
          <w:tcPr>
            <w:tcW w:w="64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DE7F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Specificity (95% CI)</w:t>
            </w:r>
          </w:p>
        </w:tc>
        <w:tc>
          <w:tcPr>
            <w:tcW w:w="64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DE51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/>
                <w:sz w:val="18"/>
                <w:szCs w:val="32"/>
              </w:rPr>
              <w:t>Accuracy (95% CI)</w:t>
            </w:r>
          </w:p>
        </w:tc>
      </w:tr>
      <w:tr w14:paraId="08CEB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right w:val="nil"/>
            </w:tcBorders>
            <w:vAlign w:val="center"/>
          </w:tcPr>
          <w:p w14:paraId="5C3FB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Training repeated CV/OOF</w:t>
            </w:r>
          </w:p>
        </w:tc>
        <w:tc>
          <w:tcPr>
            <w:tcW w:w="253" w:type="pct"/>
            <w:tcBorders>
              <w:left w:val="nil"/>
              <w:right w:val="nil"/>
            </w:tcBorders>
            <w:vAlign w:val="center"/>
          </w:tcPr>
          <w:p w14:paraId="4AEB0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Male</w:t>
            </w:r>
          </w:p>
        </w:tc>
        <w:tc>
          <w:tcPr>
            <w:tcW w:w="165" w:type="pct"/>
            <w:tcBorders>
              <w:left w:val="nil"/>
              <w:right w:val="nil"/>
            </w:tcBorders>
            <w:vAlign w:val="center"/>
          </w:tcPr>
          <w:p w14:paraId="14DA1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256</w:t>
            </w:r>
          </w:p>
        </w:tc>
        <w:tc>
          <w:tcPr>
            <w:tcW w:w="378" w:type="pct"/>
            <w:tcBorders>
              <w:left w:val="nil"/>
              <w:right w:val="nil"/>
            </w:tcBorders>
            <w:vAlign w:val="center"/>
          </w:tcPr>
          <w:p w14:paraId="14570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89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6127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0.971 (0.951 to 0.987)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27CF0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0.063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47699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1.000 (0.959 to 1.000)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EE2C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0.892 (0.835 to 0.935)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84E8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0.930 (0.891 to 0.958)</w:t>
            </w:r>
          </w:p>
        </w:tc>
      </w:tr>
      <w:tr w14:paraId="4B25E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right w:val="nil"/>
            </w:tcBorders>
            <w:vAlign w:val="center"/>
          </w:tcPr>
          <w:p w14:paraId="094AB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Training repeated CV/OOF</w:t>
            </w:r>
          </w:p>
        </w:tc>
        <w:tc>
          <w:tcPr>
            <w:tcW w:w="253" w:type="pct"/>
            <w:tcBorders>
              <w:left w:val="nil"/>
              <w:right w:val="nil"/>
            </w:tcBorders>
            <w:vAlign w:val="center"/>
          </w:tcPr>
          <w:p w14:paraId="25095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Female</w:t>
            </w:r>
          </w:p>
        </w:tc>
        <w:tc>
          <w:tcPr>
            <w:tcW w:w="165" w:type="pct"/>
            <w:tcBorders>
              <w:left w:val="nil"/>
              <w:right w:val="nil"/>
            </w:tcBorders>
            <w:vAlign w:val="center"/>
          </w:tcPr>
          <w:p w14:paraId="5E9C6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24</w:t>
            </w:r>
          </w:p>
        </w:tc>
        <w:tc>
          <w:tcPr>
            <w:tcW w:w="378" w:type="pct"/>
            <w:tcBorders>
              <w:left w:val="nil"/>
              <w:right w:val="nil"/>
            </w:tcBorders>
            <w:vAlign w:val="center"/>
          </w:tcPr>
          <w:p w14:paraId="69688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4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5BA8C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72095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54BB6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66A41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35C9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</w:tr>
      <w:tr w14:paraId="5C6F4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right w:val="nil"/>
            </w:tcBorders>
            <w:vAlign w:val="center"/>
          </w:tcPr>
          <w:p w14:paraId="64151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Internal algorithm-selection hold-out</w:t>
            </w:r>
          </w:p>
        </w:tc>
        <w:tc>
          <w:tcPr>
            <w:tcW w:w="253" w:type="pct"/>
            <w:tcBorders>
              <w:left w:val="nil"/>
              <w:right w:val="nil"/>
            </w:tcBorders>
            <w:vAlign w:val="center"/>
          </w:tcPr>
          <w:p w14:paraId="7FB5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Male</w:t>
            </w:r>
          </w:p>
        </w:tc>
        <w:tc>
          <w:tcPr>
            <w:tcW w:w="165" w:type="pct"/>
            <w:tcBorders>
              <w:left w:val="nil"/>
              <w:right w:val="nil"/>
            </w:tcBorders>
            <w:vAlign w:val="center"/>
          </w:tcPr>
          <w:p w14:paraId="25473C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106</w:t>
            </w:r>
          </w:p>
        </w:tc>
        <w:tc>
          <w:tcPr>
            <w:tcW w:w="378" w:type="pct"/>
            <w:tcBorders>
              <w:left w:val="nil"/>
              <w:right w:val="nil"/>
            </w:tcBorders>
            <w:vAlign w:val="center"/>
          </w:tcPr>
          <w:p w14:paraId="7C71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34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403B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0.949 (0.889 to 0.992)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56CCB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0.064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8C22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0.912 (0.763 to 0.981)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58062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0.903 (0.810 to 0.960)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6C95B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0.906 (0.833 to 0.954)</w:t>
            </w:r>
          </w:p>
        </w:tc>
      </w:tr>
      <w:tr w14:paraId="1917E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right w:val="nil"/>
            </w:tcBorders>
            <w:vAlign w:val="center"/>
          </w:tcPr>
          <w:p w14:paraId="19053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Internal algorithm-selection hold-out</w:t>
            </w:r>
          </w:p>
        </w:tc>
        <w:tc>
          <w:tcPr>
            <w:tcW w:w="253" w:type="pct"/>
            <w:tcBorders>
              <w:left w:val="nil"/>
              <w:right w:val="nil"/>
            </w:tcBorders>
            <w:vAlign w:val="center"/>
          </w:tcPr>
          <w:p w14:paraId="52ED5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Female</w:t>
            </w:r>
          </w:p>
        </w:tc>
        <w:tc>
          <w:tcPr>
            <w:tcW w:w="165" w:type="pct"/>
            <w:tcBorders>
              <w:left w:val="nil"/>
              <w:right w:val="nil"/>
            </w:tcBorders>
            <w:vAlign w:val="center"/>
          </w:tcPr>
          <w:p w14:paraId="3F1AF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14</w:t>
            </w:r>
          </w:p>
        </w:tc>
        <w:tc>
          <w:tcPr>
            <w:tcW w:w="378" w:type="pct"/>
            <w:tcBorders>
              <w:left w:val="nil"/>
              <w:right w:val="nil"/>
            </w:tcBorders>
            <w:vAlign w:val="center"/>
          </w:tcPr>
          <w:p w14:paraId="2D2D5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4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70E05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6701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01141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1D420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22509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Not reported (4 events)</w:t>
            </w:r>
          </w:p>
        </w:tc>
      </w:tr>
      <w:tr w14:paraId="399B2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right w:val="nil"/>
            </w:tcBorders>
            <w:vAlign w:val="center"/>
          </w:tcPr>
          <w:p w14:paraId="0351C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Independent external validation</w:t>
            </w:r>
          </w:p>
        </w:tc>
        <w:tc>
          <w:tcPr>
            <w:tcW w:w="253" w:type="pct"/>
            <w:tcBorders>
              <w:left w:val="nil"/>
              <w:right w:val="nil"/>
            </w:tcBorders>
            <w:vAlign w:val="center"/>
          </w:tcPr>
          <w:p w14:paraId="16C73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Male</w:t>
            </w:r>
          </w:p>
        </w:tc>
        <w:tc>
          <w:tcPr>
            <w:tcW w:w="165" w:type="pct"/>
            <w:tcBorders>
              <w:left w:val="nil"/>
              <w:right w:val="nil"/>
            </w:tcBorders>
            <w:vAlign w:val="center"/>
          </w:tcPr>
          <w:p w14:paraId="3C490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179</w:t>
            </w:r>
          </w:p>
        </w:tc>
        <w:tc>
          <w:tcPr>
            <w:tcW w:w="378" w:type="pct"/>
            <w:tcBorders>
              <w:left w:val="nil"/>
              <w:right w:val="nil"/>
            </w:tcBorders>
            <w:vAlign w:val="center"/>
          </w:tcPr>
          <w:p w14:paraId="6F90F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53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54B69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0.953 (0.919 to 0.980)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3FD48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0.055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65D91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0.981 (0.899 to 1.000)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4D802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0.929 (0.869 to 0.967)</w:t>
            </w:r>
          </w:p>
        </w:tc>
        <w:tc>
          <w:tcPr>
            <w:tcW w:w="644" w:type="pct"/>
            <w:tcBorders>
              <w:left w:val="nil"/>
              <w:right w:val="nil"/>
            </w:tcBorders>
            <w:vAlign w:val="center"/>
          </w:tcPr>
          <w:p w14:paraId="35797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  <w:highlight w:val="none"/>
              </w:rPr>
              <w:t>0.944 (0.900 to 0.973)</w:t>
            </w:r>
          </w:p>
        </w:tc>
      </w:tr>
      <w:tr w14:paraId="02D8F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8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DEB4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Independent external validation</w:t>
            </w:r>
          </w:p>
        </w:tc>
        <w:tc>
          <w:tcPr>
            <w:tcW w:w="253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026B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Female</w:t>
            </w:r>
          </w:p>
        </w:tc>
        <w:tc>
          <w:tcPr>
            <w:tcW w:w="165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255BC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13</w:t>
            </w:r>
          </w:p>
        </w:tc>
        <w:tc>
          <w:tcPr>
            <w:tcW w:w="37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D1E2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21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4</w:t>
            </w:r>
          </w:p>
        </w:tc>
        <w:tc>
          <w:tcPr>
            <w:tcW w:w="64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041D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F748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21FAA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754E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Not reported (4 events)</w:t>
            </w:r>
          </w:p>
        </w:tc>
        <w:tc>
          <w:tcPr>
            <w:tcW w:w="64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EC97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ascii="Times New Roman" w:hAnsi="Times New Roman" w:eastAsia="Times New Roman"/>
                <w:b w:val="0"/>
                <w:sz w:val="18"/>
                <w:szCs w:val="32"/>
              </w:rPr>
            </w:pPr>
            <w:r>
              <w:rPr>
                <w:rFonts w:ascii="Times New Roman" w:hAnsi="Times New Roman" w:eastAsia="Times New Roman"/>
                <w:b w:val="0"/>
                <w:sz w:val="18"/>
                <w:szCs w:val="32"/>
              </w:rPr>
              <w:t>Not reported (4 events)</w:t>
            </w:r>
          </w:p>
        </w:tc>
      </w:tr>
    </w:tbl>
    <w:p w14:paraId="2850C92E">
      <w:pPr>
        <w:spacing w:before="80" w:after="0" w:line="240" w:lineRule="auto"/>
        <w:jc w:val="both"/>
        <w:rPr>
          <w:highlight w:val="none"/>
        </w:rPr>
      </w:pPr>
      <w:r>
        <w:rPr>
          <w:highlight w:val="none"/>
        </w:rPr>
        <w:t>Note. The locked training-derived RF threshold of 0.3228 was used unchanged for all reported threshold-dependent estimates. Female strata contained only four MCI events in each dataset; female ROC-AUC, Brier score, sensitivity, specificity, and accuracy are therefore not reported because the estimates are too unstable for meaningful interpretation. Male-stratum estimates are exploratory only. Training OOF estimates can retain optimism because feature selection was not nested within each cross-validation fold; internal hold-out estimates are selection-conditioned because that set contributed to algorithm selection; only the Shenzhen external sample is fully independent.</w:t>
      </w:r>
      <w:r>
        <w:rPr>
          <w:b/>
          <w:highlight w:val="none"/>
        </w:rPr>
        <w:t xml:space="preserve"> </w:t>
      </w:r>
      <w:r>
        <w:rPr>
          <w:b w:val="0"/>
          <w:bCs/>
          <w:highlight w:val="none"/>
        </w:rPr>
        <w:t>All performance evidence for the locked model comes almost exclusively from male OSA patients; predictive validity in women has not been established, and the model should not be used for clinical assessment in female patients on the basis of these data.</w:t>
      </w:r>
      <w:bookmarkStart w:id="0" w:name="_GoBack"/>
      <w:bookmarkEnd w:id="0"/>
    </w:p>
    <w:sectPr>
      <w:pgSz w:w="16834" w:h="11909" w:orient="landscape"/>
      <w:pgMar w:top="648" w:right="648" w:bottom="648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1AE2"/>
    <w:rsid w:val="00AA1D8D"/>
    <w:rsid w:val="00B47730"/>
    <w:rsid w:val="00CB0664"/>
    <w:rsid w:val="00FC693F"/>
    <w:rsid w:val="01040EB5"/>
    <w:rsid w:val="11A816CA"/>
    <w:rsid w:val="17A0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1784</Characters>
  <Lines>0</Lines>
  <Paragraphs>0</Paragraphs>
  <TotalTime>1</TotalTime>
  <ScaleCrop>false</ScaleCrop>
  <LinksUpToDate>false</LinksUpToDate>
  <CharactersWithSpaces>2029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2026-09-07T11:26:42Z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165F8B5FE457456192245955CDB3349A_12</vt:lpwstr>
  </property>
</Properties>
</file>