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9E409">
      <w:pPr>
        <w:keepNext/>
        <w:spacing w:after="100"/>
        <w:jc w:val="center"/>
      </w:pPr>
      <w:r>
        <w:rPr>
          <w:b/>
          <w:sz w:val="20"/>
          <w:szCs w:val="28"/>
          <w:highlight w:val="none"/>
        </w:rPr>
        <w:t>Supplementary Table S9. Locked random-forest performance across development OOF estimates, the internal algorithm-selection hold-out, and independent external validation</w:t>
      </w:r>
    </w:p>
    <w:tbl>
      <w:tblPr>
        <w:tblStyle w:val="32"/>
        <w:tblW w:w="4999" w:type="pct"/>
        <w:jc w:val="center"/>
        <w:tblLayout w:type="autofit"/>
        <w:tblCellMar>
          <w:top w:w="0" w:type="dxa"/>
          <w:left w:w="108" w:type="dxa"/>
          <w:bottom w:w="0" w:type="dxa"/>
          <w:right w:w="108" w:type="dxa"/>
        </w:tblCellMar>
      </w:tblPr>
      <w:tblGrid>
        <w:gridCol w:w="2370"/>
        <w:gridCol w:w="4841"/>
        <w:gridCol w:w="4246"/>
        <w:gridCol w:w="3718"/>
      </w:tblGrid>
      <w:tr w14:paraId="6B22836A">
        <w:tblPrEx>
          <w:tblCellMar>
            <w:top w:w="0" w:type="dxa"/>
            <w:left w:w="108" w:type="dxa"/>
            <w:bottom w:w="0" w:type="dxa"/>
            <w:right w:w="108" w:type="dxa"/>
          </w:tblCellMar>
        </w:tblPrEx>
        <w:trPr>
          <w:cantSplit/>
          <w:tblHeader/>
          <w:jc w:val="center"/>
        </w:trPr>
        <w:tc>
          <w:tcPr>
            <w:tcW w:w="781" w:type="pct"/>
            <w:tcBorders>
              <w:top w:val="single" w:color="000000" w:sz="10" w:space="0"/>
              <w:left w:val="nil"/>
              <w:bottom w:val="single" w:color="000000" w:sz="8" w:space="0"/>
              <w:right w:val="nil"/>
            </w:tcBorders>
            <w:vAlign w:val="center"/>
          </w:tcPr>
          <w:p w14:paraId="14D0B383">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pPr>
            <w:r>
              <w:rPr>
                <w:rFonts w:ascii="Times New Roman" w:hAnsi="Times New Roman" w:eastAsia="Times New Roman"/>
                <w:b/>
                <w:sz w:val="16"/>
              </w:rPr>
              <w:t>Metric</w:t>
            </w:r>
          </w:p>
        </w:tc>
        <w:tc>
          <w:tcPr>
            <w:tcW w:w="1595" w:type="pct"/>
            <w:tcBorders>
              <w:top w:val="single" w:color="000000" w:sz="10" w:space="0"/>
              <w:left w:val="nil"/>
              <w:bottom w:val="single" w:color="000000" w:sz="8" w:space="0"/>
              <w:right w:val="nil"/>
            </w:tcBorders>
            <w:vAlign w:val="center"/>
          </w:tcPr>
          <w:p w14:paraId="417516B3">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ascii="Times New Roman" w:hAnsi="Times New Roman" w:eastAsia="Times New Roman"/>
                <w:b/>
                <w:sz w:val="16"/>
              </w:rPr>
            </w:pPr>
            <w:r>
              <w:rPr>
                <w:rFonts w:ascii="Times New Roman" w:hAnsi="Times New Roman" w:eastAsia="Times New Roman"/>
                <w:b/>
                <w:sz w:val="16"/>
              </w:rPr>
              <w:t>Training repeated CV/OOF (development)</w:t>
            </w:r>
          </w:p>
        </w:tc>
        <w:tc>
          <w:tcPr>
            <w:tcW w:w="1399" w:type="pct"/>
            <w:tcBorders>
              <w:top w:val="single" w:color="000000" w:sz="10" w:space="0"/>
              <w:left w:val="nil"/>
              <w:bottom w:val="single" w:color="000000" w:sz="8" w:space="0"/>
              <w:right w:val="nil"/>
            </w:tcBorders>
            <w:vAlign w:val="center"/>
          </w:tcPr>
          <w:p w14:paraId="47030D1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ascii="Times New Roman" w:hAnsi="Times New Roman" w:eastAsia="Times New Roman"/>
                <w:b/>
                <w:sz w:val="16"/>
              </w:rPr>
            </w:pPr>
            <w:r>
              <w:rPr>
                <w:rFonts w:ascii="Times New Roman" w:hAnsi="Times New Roman" w:eastAsia="Times New Roman"/>
                <w:b/>
                <w:sz w:val="16"/>
              </w:rPr>
              <w:t>Internal algorithm-selection hold-out</w:t>
            </w:r>
          </w:p>
        </w:tc>
        <w:tc>
          <w:tcPr>
            <w:tcW w:w="1222" w:type="pct"/>
            <w:tcBorders>
              <w:top w:val="single" w:color="000000" w:sz="10" w:space="0"/>
              <w:left w:val="nil"/>
              <w:bottom w:val="single" w:color="000000" w:sz="8" w:space="0"/>
              <w:right w:val="nil"/>
            </w:tcBorders>
            <w:vAlign w:val="center"/>
          </w:tcPr>
          <w:p w14:paraId="178D61A7">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rFonts w:ascii="Times New Roman" w:hAnsi="Times New Roman" w:eastAsia="Times New Roman"/>
                <w:b/>
                <w:sz w:val="16"/>
              </w:rPr>
            </w:pPr>
            <w:r>
              <w:rPr>
                <w:rFonts w:ascii="Times New Roman" w:hAnsi="Times New Roman" w:eastAsia="Times New Roman"/>
                <w:b/>
                <w:sz w:val="16"/>
              </w:rPr>
              <w:t>Independent external validation</w:t>
            </w:r>
          </w:p>
        </w:tc>
      </w:tr>
      <w:tr w14:paraId="6AE56F7B">
        <w:tblPrEx>
          <w:tblCellMar>
            <w:top w:w="0" w:type="dxa"/>
            <w:left w:w="108" w:type="dxa"/>
            <w:bottom w:w="0" w:type="dxa"/>
            <w:right w:w="108" w:type="dxa"/>
          </w:tblCellMar>
        </w:tblPrEx>
        <w:trPr>
          <w:jc w:val="center"/>
        </w:trPr>
        <w:tc>
          <w:tcPr>
            <w:tcW w:w="5000" w:type="pct"/>
            <w:gridSpan w:val="4"/>
          </w:tcPr>
          <w:p w14:paraId="78DCC9C8">
            <w:pPr>
              <w:spacing w:before="0" w:after="0"/>
              <w:jc w:val="left"/>
              <w:rPr>
                <w:highlight w:val="none"/>
              </w:rPr>
            </w:pPr>
            <w:r>
              <w:rPr>
                <w:b/>
                <w:sz w:val="16"/>
                <w:highlight w:val="none"/>
              </w:rPr>
              <w:t>Discrimination and overall prediction error</w:t>
            </w:r>
          </w:p>
        </w:tc>
      </w:tr>
      <w:tr w14:paraId="5244C415">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7392C5F4">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ROC-AUC</w:t>
            </w:r>
          </w:p>
        </w:tc>
        <w:tc>
          <w:tcPr>
            <w:tcW w:w="1595" w:type="pct"/>
            <w:tcBorders>
              <w:left w:val="nil"/>
              <w:right w:val="nil"/>
            </w:tcBorders>
            <w:vAlign w:val="center"/>
          </w:tcPr>
          <w:p w14:paraId="7E206DD1">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0.972 (0.954</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0.987)</w:t>
            </w:r>
          </w:p>
        </w:tc>
        <w:tc>
          <w:tcPr>
            <w:tcW w:w="1399" w:type="pct"/>
            <w:tcBorders>
              <w:left w:val="nil"/>
              <w:right w:val="nil"/>
            </w:tcBorders>
            <w:vAlign w:val="center"/>
          </w:tcPr>
          <w:p w14:paraId="482A444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0.953 (0.898</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0.992)</w:t>
            </w:r>
          </w:p>
        </w:tc>
        <w:tc>
          <w:tcPr>
            <w:tcW w:w="1222" w:type="pct"/>
            <w:tcBorders>
              <w:left w:val="nil"/>
              <w:right w:val="nil"/>
            </w:tcBorders>
            <w:vAlign w:val="center"/>
          </w:tcPr>
          <w:p w14:paraId="62D122D1">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0.957 (0.925</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0.984)</w:t>
            </w:r>
          </w:p>
        </w:tc>
      </w:tr>
      <w:tr w14:paraId="46378B31">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4AC63FAD">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PR-AUC</w:t>
            </w:r>
          </w:p>
        </w:tc>
        <w:tc>
          <w:tcPr>
            <w:tcW w:w="1595" w:type="pct"/>
            <w:tcBorders>
              <w:left w:val="nil"/>
              <w:right w:val="nil"/>
            </w:tcBorders>
            <w:vAlign w:val="center"/>
          </w:tcPr>
          <w:p w14:paraId="27D3312A">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0.932 (0.888</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0.971)</w:t>
            </w:r>
          </w:p>
        </w:tc>
        <w:tc>
          <w:tcPr>
            <w:tcW w:w="1399" w:type="pct"/>
            <w:tcBorders>
              <w:left w:val="nil"/>
              <w:right w:val="nil"/>
            </w:tcBorders>
            <w:vAlign w:val="center"/>
          </w:tcPr>
          <w:p w14:paraId="69D2C89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0.936 (0.879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0.985)</w:t>
            </w:r>
          </w:p>
        </w:tc>
        <w:tc>
          <w:tcPr>
            <w:tcW w:w="1222" w:type="pct"/>
            <w:tcBorders>
              <w:left w:val="nil"/>
              <w:right w:val="nil"/>
            </w:tcBorders>
            <w:vAlign w:val="center"/>
          </w:tcPr>
          <w:p w14:paraId="7BB27EB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0.809 (0.699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0.939)</w:t>
            </w:r>
          </w:p>
        </w:tc>
      </w:tr>
      <w:tr w14:paraId="65C61EB9">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26DBDB8D">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Brier score</w:t>
            </w:r>
          </w:p>
        </w:tc>
        <w:tc>
          <w:tcPr>
            <w:tcW w:w="1595" w:type="pct"/>
            <w:tcBorders>
              <w:left w:val="nil"/>
              <w:right w:val="nil"/>
            </w:tcBorders>
            <w:vAlign w:val="center"/>
          </w:tcPr>
          <w:p w14:paraId="2B1AEF1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0.062 (0.046</w:t>
            </w:r>
            <w:r>
              <w:rPr>
                <w:rFonts w:hint="eastAsia" w:eastAsia="宋体"/>
                <w:b w:val="0"/>
                <w:sz w:val="16"/>
                <w:highlight w:val="none"/>
                <w:lang w:eastAsia="zh-CN"/>
              </w:rPr>
              <w:t xml:space="preserve"> to </w:t>
            </w:r>
            <w:r>
              <w:rPr>
                <w:rFonts w:ascii="Times New Roman" w:hAnsi="Times New Roman" w:eastAsia="Times New Roman"/>
                <w:b w:val="0"/>
                <w:sz w:val="16"/>
                <w:highlight w:val="none"/>
              </w:rPr>
              <w:t>0.080)</w:t>
            </w:r>
          </w:p>
        </w:tc>
        <w:tc>
          <w:tcPr>
            <w:tcW w:w="1399" w:type="pct"/>
            <w:tcBorders>
              <w:left w:val="nil"/>
              <w:right w:val="nil"/>
            </w:tcBorders>
            <w:vAlign w:val="center"/>
          </w:tcPr>
          <w:p w14:paraId="539C428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0.060 (0.033</w:t>
            </w:r>
            <w:r>
              <w:rPr>
                <w:rFonts w:hint="eastAsia" w:eastAsia="宋体"/>
                <w:b w:val="0"/>
                <w:sz w:val="16"/>
                <w:highlight w:val="none"/>
                <w:lang w:eastAsia="zh-CN"/>
              </w:rPr>
              <w:t xml:space="preserve"> to </w:t>
            </w:r>
            <w:r>
              <w:rPr>
                <w:rFonts w:ascii="Times New Roman" w:hAnsi="Times New Roman" w:eastAsia="Times New Roman"/>
                <w:b w:val="0"/>
                <w:sz w:val="16"/>
                <w:highlight w:val="none"/>
              </w:rPr>
              <w:t>0.089)</w:t>
            </w:r>
          </w:p>
        </w:tc>
        <w:tc>
          <w:tcPr>
            <w:tcW w:w="1222" w:type="pct"/>
            <w:tcBorders>
              <w:left w:val="nil"/>
              <w:right w:val="nil"/>
            </w:tcBorders>
            <w:vAlign w:val="center"/>
          </w:tcPr>
          <w:p w14:paraId="24EB29DC">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0.051 (0.025</w:t>
            </w:r>
            <w:r>
              <w:rPr>
                <w:rFonts w:hint="eastAsia" w:eastAsia="宋体"/>
                <w:b w:val="0"/>
                <w:sz w:val="16"/>
                <w:highlight w:val="none"/>
                <w:lang w:eastAsia="zh-CN"/>
              </w:rPr>
              <w:t xml:space="preserve"> to </w:t>
            </w:r>
            <w:r>
              <w:rPr>
                <w:rFonts w:ascii="Times New Roman" w:hAnsi="Times New Roman" w:eastAsia="Times New Roman"/>
                <w:b w:val="0"/>
                <w:sz w:val="16"/>
                <w:highlight w:val="none"/>
              </w:rPr>
              <w:t>0.082)</w:t>
            </w:r>
          </w:p>
        </w:tc>
      </w:tr>
      <w:tr w14:paraId="7242EF51">
        <w:tblPrEx>
          <w:tblCellMar>
            <w:top w:w="0" w:type="dxa"/>
            <w:left w:w="108" w:type="dxa"/>
            <w:bottom w:w="0" w:type="dxa"/>
            <w:right w:w="108" w:type="dxa"/>
          </w:tblCellMar>
        </w:tblPrEx>
        <w:trPr>
          <w:jc w:val="center"/>
        </w:trPr>
        <w:tc>
          <w:tcPr>
            <w:tcW w:w="5000" w:type="pct"/>
            <w:gridSpan w:val="4"/>
          </w:tcPr>
          <w:p w14:paraId="5C46D996">
            <w:pPr>
              <w:spacing w:before="0" w:after="0"/>
              <w:jc w:val="left"/>
              <w:rPr>
                <w:highlight w:val="none"/>
              </w:rPr>
            </w:pPr>
            <w:r>
              <w:rPr>
                <w:b/>
                <w:sz w:val="16"/>
                <w:highlight w:val="none"/>
              </w:rPr>
              <w:t>Threshold-dependent classification at the locked RF threshold of 0.3228</w:t>
            </w:r>
          </w:p>
        </w:tc>
      </w:tr>
      <w:tr w14:paraId="6143AEF3">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2500C00C">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Accuracy</w:t>
            </w:r>
          </w:p>
        </w:tc>
        <w:tc>
          <w:tcPr>
            <w:tcW w:w="1595" w:type="pct"/>
            <w:tcBorders>
              <w:left w:val="nil"/>
              <w:right w:val="nil"/>
            </w:tcBorders>
            <w:vAlign w:val="center"/>
          </w:tcPr>
          <w:p w14:paraId="5D3FEF0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0.929 (0.900</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0.954)</w:t>
            </w:r>
          </w:p>
        </w:tc>
        <w:tc>
          <w:tcPr>
            <w:tcW w:w="1399" w:type="pct"/>
            <w:tcBorders>
              <w:left w:val="nil"/>
              <w:right w:val="nil"/>
            </w:tcBorders>
            <w:vAlign w:val="center"/>
          </w:tcPr>
          <w:p w14:paraId="0A8BEC1A">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0.917 (0.867</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0.967)</w:t>
            </w:r>
          </w:p>
        </w:tc>
        <w:tc>
          <w:tcPr>
            <w:tcW w:w="1222" w:type="pct"/>
            <w:tcBorders>
              <w:left w:val="nil"/>
              <w:right w:val="nil"/>
            </w:tcBorders>
            <w:vAlign w:val="center"/>
          </w:tcPr>
          <w:p w14:paraId="35E9DC33">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0.948 (0.917</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0.979)</w:t>
            </w:r>
          </w:p>
        </w:tc>
      </w:tr>
      <w:tr w14:paraId="0C32E6DC">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29B8F115">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Sensitivity</w:t>
            </w:r>
          </w:p>
        </w:tc>
        <w:tc>
          <w:tcPr>
            <w:tcW w:w="1595" w:type="pct"/>
            <w:tcBorders>
              <w:left w:val="nil"/>
              <w:right w:val="nil"/>
            </w:tcBorders>
            <w:vAlign w:val="center"/>
          </w:tcPr>
          <w:p w14:paraId="42AF9B0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1.000 (1.000</w:t>
            </w:r>
            <w:r>
              <w:rPr>
                <w:rFonts w:hint="eastAsia" w:eastAsia="宋体"/>
                <w:b w:val="0"/>
                <w:sz w:val="16"/>
                <w:highlight w:val="none"/>
                <w:lang w:eastAsia="zh-CN"/>
              </w:rPr>
              <w:t xml:space="preserve"> to </w:t>
            </w:r>
            <w:r>
              <w:rPr>
                <w:rFonts w:ascii="Times New Roman" w:hAnsi="Times New Roman" w:eastAsia="Times New Roman"/>
                <w:b w:val="0"/>
                <w:sz w:val="16"/>
                <w:highlight w:val="none"/>
              </w:rPr>
              <w:t>1.000)</w:t>
            </w:r>
          </w:p>
        </w:tc>
        <w:tc>
          <w:tcPr>
            <w:tcW w:w="1399" w:type="pct"/>
            <w:tcBorders>
              <w:left w:val="nil"/>
              <w:right w:val="nil"/>
            </w:tcBorders>
            <w:vAlign w:val="center"/>
          </w:tcPr>
          <w:p w14:paraId="707B0CC3">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0.921 (0.816</w:t>
            </w:r>
            <w:r>
              <w:rPr>
                <w:rFonts w:hint="eastAsia" w:eastAsia="宋体"/>
                <w:b w:val="0"/>
                <w:sz w:val="16"/>
                <w:highlight w:val="none"/>
                <w:lang w:eastAsia="zh-CN"/>
              </w:rPr>
              <w:t xml:space="preserve"> to </w:t>
            </w:r>
            <w:r>
              <w:rPr>
                <w:rFonts w:ascii="Times New Roman" w:hAnsi="Times New Roman" w:eastAsia="Times New Roman"/>
                <w:b w:val="0"/>
                <w:sz w:val="16"/>
                <w:highlight w:val="none"/>
              </w:rPr>
              <w:t>1.000)</w:t>
            </w:r>
          </w:p>
        </w:tc>
        <w:tc>
          <w:tcPr>
            <w:tcW w:w="1222" w:type="pct"/>
            <w:tcBorders>
              <w:left w:val="nil"/>
              <w:right w:val="nil"/>
            </w:tcBorders>
            <w:vAlign w:val="center"/>
          </w:tcPr>
          <w:p w14:paraId="5A46EF2D">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0.982 (0.947</w:t>
            </w:r>
            <w:r>
              <w:rPr>
                <w:rFonts w:hint="eastAsia" w:eastAsia="宋体"/>
                <w:b w:val="0"/>
                <w:sz w:val="16"/>
                <w:highlight w:val="none"/>
                <w:lang w:eastAsia="zh-CN"/>
              </w:rPr>
              <w:t xml:space="preserve"> to </w:t>
            </w:r>
            <w:r>
              <w:rPr>
                <w:rFonts w:ascii="Times New Roman" w:hAnsi="Times New Roman" w:eastAsia="Times New Roman"/>
                <w:b w:val="0"/>
                <w:sz w:val="16"/>
                <w:highlight w:val="none"/>
              </w:rPr>
              <w:t>1.000)</w:t>
            </w:r>
          </w:p>
        </w:tc>
      </w:tr>
      <w:tr w14:paraId="2EA64363">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5C0E0CDF">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Specificity</w:t>
            </w:r>
          </w:p>
        </w:tc>
        <w:tc>
          <w:tcPr>
            <w:tcW w:w="1595" w:type="pct"/>
            <w:tcBorders>
              <w:left w:val="nil"/>
              <w:right w:val="nil"/>
            </w:tcBorders>
            <w:vAlign w:val="center"/>
          </w:tcPr>
          <w:p w14:paraId="4AA1AB5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0.893 (0.850</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0.930)</w:t>
            </w:r>
          </w:p>
        </w:tc>
        <w:tc>
          <w:tcPr>
            <w:tcW w:w="1399" w:type="pct"/>
            <w:tcBorders>
              <w:left w:val="nil"/>
              <w:right w:val="nil"/>
            </w:tcBorders>
            <w:vAlign w:val="center"/>
          </w:tcPr>
          <w:p w14:paraId="4223A6A7">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0.915 (0.854</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0.976)</w:t>
            </w:r>
          </w:p>
        </w:tc>
        <w:tc>
          <w:tcPr>
            <w:tcW w:w="1222" w:type="pct"/>
            <w:tcBorders>
              <w:left w:val="nil"/>
              <w:right w:val="nil"/>
            </w:tcBorders>
            <w:vAlign w:val="center"/>
          </w:tcPr>
          <w:p w14:paraId="4C3C9215">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0.933 (0.889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0.970)</w:t>
            </w:r>
          </w:p>
        </w:tc>
      </w:tr>
      <w:tr w14:paraId="7E6C8E0E">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1C58C422">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Precision</w:t>
            </w:r>
          </w:p>
        </w:tc>
        <w:tc>
          <w:tcPr>
            <w:tcW w:w="1595" w:type="pct"/>
            <w:tcBorders>
              <w:left w:val="nil"/>
              <w:right w:val="nil"/>
            </w:tcBorders>
            <w:vAlign w:val="center"/>
          </w:tcPr>
          <w:p w14:paraId="7CCC6C0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0.823 (0.768</w:t>
            </w:r>
            <w:r>
              <w:rPr>
                <w:rFonts w:hint="eastAsia" w:eastAsia="宋体"/>
                <w:b w:val="0"/>
                <w:sz w:val="16"/>
                <w:highlight w:val="none"/>
                <w:lang w:eastAsia="zh-CN"/>
              </w:rPr>
              <w:t xml:space="preserve"> to </w:t>
            </w:r>
            <w:r>
              <w:rPr>
                <w:rFonts w:ascii="Times New Roman" w:hAnsi="Times New Roman" w:eastAsia="Times New Roman"/>
                <w:b w:val="0"/>
                <w:sz w:val="16"/>
                <w:highlight w:val="none"/>
              </w:rPr>
              <w:t>0.877)</w:t>
            </w:r>
          </w:p>
        </w:tc>
        <w:tc>
          <w:tcPr>
            <w:tcW w:w="1399" w:type="pct"/>
            <w:tcBorders>
              <w:left w:val="nil"/>
              <w:right w:val="nil"/>
            </w:tcBorders>
            <w:vAlign w:val="center"/>
          </w:tcPr>
          <w:p w14:paraId="16DD7557">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0.833 (0.739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0.936)</w:t>
            </w:r>
          </w:p>
        </w:tc>
        <w:tc>
          <w:tcPr>
            <w:tcW w:w="1222" w:type="pct"/>
            <w:tcBorders>
              <w:left w:val="nil"/>
              <w:right w:val="nil"/>
            </w:tcBorders>
            <w:vAlign w:val="center"/>
          </w:tcPr>
          <w:p w14:paraId="4F0014FC">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0.862 (0.789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0.934)</w:t>
            </w:r>
          </w:p>
        </w:tc>
      </w:tr>
      <w:tr w14:paraId="592612DD">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61A952F5">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F1 score</w:t>
            </w:r>
          </w:p>
        </w:tc>
        <w:tc>
          <w:tcPr>
            <w:tcW w:w="1595" w:type="pct"/>
            <w:tcBorders>
              <w:left w:val="nil"/>
              <w:right w:val="nil"/>
            </w:tcBorders>
            <w:vAlign w:val="center"/>
          </w:tcPr>
          <w:p w14:paraId="69BEE9A1">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0.903 (0.869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0.935)</w:t>
            </w:r>
          </w:p>
        </w:tc>
        <w:tc>
          <w:tcPr>
            <w:tcW w:w="1399" w:type="pct"/>
            <w:tcBorders>
              <w:left w:val="nil"/>
              <w:right w:val="nil"/>
            </w:tcBorders>
            <w:vAlign w:val="center"/>
          </w:tcPr>
          <w:p w14:paraId="7EA2B3B9">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0.875 (0.800</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0.949)</w:t>
            </w:r>
          </w:p>
        </w:tc>
        <w:tc>
          <w:tcPr>
            <w:tcW w:w="1222" w:type="pct"/>
            <w:tcBorders>
              <w:left w:val="nil"/>
              <w:right w:val="nil"/>
            </w:tcBorders>
            <w:vAlign w:val="center"/>
          </w:tcPr>
          <w:p w14:paraId="5C3C2D29">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0.918 (0.870</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0.966)</w:t>
            </w:r>
          </w:p>
        </w:tc>
      </w:tr>
      <w:tr w14:paraId="2FB06BC3">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36269F34">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MCC</w:t>
            </w:r>
          </w:p>
        </w:tc>
        <w:tc>
          <w:tcPr>
            <w:tcW w:w="1595" w:type="pct"/>
            <w:tcBorders>
              <w:left w:val="nil"/>
              <w:right w:val="nil"/>
            </w:tcBorders>
            <w:vAlign w:val="center"/>
          </w:tcPr>
          <w:p w14:paraId="074F11B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0.857 (0.808</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0.904)</w:t>
            </w:r>
          </w:p>
        </w:tc>
        <w:tc>
          <w:tcPr>
            <w:tcW w:w="1399" w:type="pct"/>
            <w:tcBorders>
              <w:left w:val="nil"/>
              <w:right w:val="nil"/>
            </w:tcBorders>
            <w:vAlign w:val="center"/>
          </w:tcPr>
          <w:p w14:paraId="67FBC60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0.815 (0.709</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0.925)</w:t>
            </w:r>
          </w:p>
        </w:tc>
        <w:tc>
          <w:tcPr>
            <w:tcW w:w="1222" w:type="pct"/>
            <w:tcBorders>
              <w:left w:val="nil"/>
              <w:right w:val="nil"/>
            </w:tcBorders>
            <w:vAlign w:val="center"/>
          </w:tcPr>
          <w:p w14:paraId="33D2FB16">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0.884 (0.816</w:t>
            </w:r>
            <w:r>
              <w:rPr>
                <w:rFonts w:hint="eastAsia" w:eastAsia="宋体"/>
                <w:b w:val="0"/>
                <w:sz w:val="16"/>
                <w:highlight w:val="none"/>
                <w:lang w:eastAsia="zh-CN"/>
              </w:rPr>
              <w:t xml:space="preserve"> to </w:t>
            </w:r>
            <w:r>
              <w:rPr>
                <w:rFonts w:ascii="Times New Roman" w:hAnsi="Times New Roman" w:eastAsia="Times New Roman"/>
                <w:b w:val="0"/>
                <w:sz w:val="16"/>
                <w:highlight w:val="none"/>
              </w:rPr>
              <w:t>0.952)</w:t>
            </w:r>
          </w:p>
        </w:tc>
      </w:tr>
      <w:tr w14:paraId="48061EA5">
        <w:tblPrEx>
          <w:tblCellMar>
            <w:top w:w="0" w:type="dxa"/>
            <w:left w:w="108" w:type="dxa"/>
            <w:bottom w:w="0" w:type="dxa"/>
            <w:right w:w="108" w:type="dxa"/>
          </w:tblCellMar>
        </w:tblPrEx>
        <w:trPr>
          <w:jc w:val="center"/>
        </w:trPr>
        <w:tc>
          <w:tcPr>
            <w:tcW w:w="5000" w:type="pct"/>
            <w:gridSpan w:val="4"/>
          </w:tcPr>
          <w:p w14:paraId="52F9AB70">
            <w:pPr>
              <w:spacing w:before="0" w:after="0"/>
              <w:jc w:val="left"/>
              <w:rPr>
                <w:highlight w:val="none"/>
              </w:rPr>
            </w:pPr>
            <w:r>
              <w:rPr>
                <w:b/>
                <w:sz w:val="16"/>
                <w:highlight w:val="none"/>
              </w:rPr>
              <w:t>Calibration</w:t>
            </w:r>
          </w:p>
        </w:tc>
      </w:tr>
      <w:tr w14:paraId="2AE8E66F">
        <w:tblPrEx>
          <w:tblCellMar>
            <w:top w:w="0" w:type="dxa"/>
            <w:left w:w="108" w:type="dxa"/>
            <w:bottom w:w="0" w:type="dxa"/>
            <w:right w:w="108" w:type="dxa"/>
          </w:tblCellMar>
        </w:tblPrEx>
        <w:trPr>
          <w:cantSplit/>
          <w:jc w:val="center"/>
        </w:trPr>
        <w:tc>
          <w:tcPr>
            <w:tcW w:w="781" w:type="pct"/>
            <w:tcBorders>
              <w:left w:val="nil"/>
              <w:right w:val="nil"/>
            </w:tcBorders>
            <w:vAlign w:val="center"/>
          </w:tcPr>
          <w:p w14:paraId="52129082">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Calibration intercept</w:t>
            </w:r>
          </w:p>
        </w:tc>
        <w:tc>
          <w:tcPr>
            <w:tcW w:w="1595" w:type="pct"/>
            <w:tcBorders>
              <w:left w:val="nil"/>
              <w:right w:val="nil"/>
            </w:tcBorders>
            <w:vAlign w:val="center"/>
          </w:tcPr>
          <w:p w14:paraId="55160472">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-0.121 (-0.544</w:t>
            </w:r>
            <w:r>
              <w:rPr>
                <w:rFonts w:hint="eastAsia" w:eastAsia="宋体"/>
                <w:b w:val="0"/>
                <w:sz w:val="16"/>
                <w:highlight w:val="none"/>
                <w:lang w:eastAsia="zh-CN"/>
              </w:rPr>
              <w:t xml:space="preserve"> to </w:t>
            </w:r>
            <w:r>
              <w:rPr>
                <w:rFonts w:ascii="Times New Roman" w:hAnsi="Times New Roman" w:eastAsia="Times New Roman"/>
                <w:b w:val="0"/>
                <w:sz w:val="16"/>
                <w:highlight w:val="none"/>
              </w:rPr>
              <w:t>0.300)</w:t>
            </w:r>
          </w:p>
        </w:tc>
        <w:tc>
          <w:tcPr>
            <w:tcW w:w="1399" w:type="pct"/>
            <w:tcBorders>
              <w:left w:val="nil"/>
              <w:right w:val="nil"/>
            </w:tcBorders>
            <w:vAlign w:val="center"/>
          </w:tcPr>
          <w:p w14:paraId="615A5A4B">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0.234 (-0.345</w:t>
            </w:r>
            <w:r>
              <w:rPr>
                <w:rFonts w:hint="eastAsia" w:eastAsia="宋体"/>
                <w:b w:val="0"/>
                <w:sz w:val="16"/>
                <w:highlight w:val="none"/>
                <w:lang w:eastAsia="zh-CN"/>
              </w:rPr>
              <w:t xml:space="preserve"> to </w:t>
            </w:r>
            <w:r>
              <w:rPr>
                <w:rFonts w:ascii="Times New Roman" w:hAnsi="Times New Roman" w:eastAsia="Times New Roman"/>
                <w:b w:val="0"/>
                <w:sz w:val="16"/>
                <w:highlight w:val="none"/>
              </w:rPr>
              <w:t>0.848)</w:t>
            </w:r>
          </w:p>
        </w:tc>
        <w:tc>
          <w:tcPr>
            <w:tcW w:w="1222" w:type="pct"/>
            <w:tcBorders>
              <w:left w:val="nil"/>
              <w:right w:val="nil"/>
            </w:tcBorders>
            <w:vAlign w:val="center"/>
          </w:tcPr>
          <w:p w14:paraId="0A0D883D">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-0.616 (-1.050</w:t>
            </w:r>
            <w:r>
              <w:rPr>
                <w:rFonts w:hint="eastAsia" w:eastAsia="宋体"/>
                <w:b w:val="0"/>
                <w:sz w:val="16"/>
                <w:highlight w:val="none"/>
                <w:lang w:eastAsia="zh-CN"/>
              </w:rPr>
              <w:t xml:space="preserve"> to </w:t>
            </w:r>
            <w:r>
              <w:rPr>
                <w:rFonts w:ascii="Times New Roman" w:hAnsi="Times New Roman" w:eastAsia="Times New Roman"/>
                <w:b w:val="0"/>
                <w:sz w:val="16"/>
                <w:highlight w:val="none"/>
              </w:rPr>
              <w:t>-0.322)</w:t>
            </w:r>
          </w:p>
        </w:tc>
      </w:tr>
      <w:tr w14:paraId="5D2C4F14">
        <w:tblPrEx>
          <w:tblCellMar>
            <w:top w:w="0" w:type="dxa"/>
            <w:left w:w="108" w:type="dxa"/>
            <w:bottom w:w="0" w:type="dxa"/>
            <w:right w:w="108" w:type="dxa"/>
          </w:tblCellMar>
        </w:tblPrEx>
        <w:trPr>
          <w:cantSplit/>
          <w:jc w:val="center"/>
        </w:trPr>
        <w:tc>
          <w:tcPr>
            <w:tcW w:w="781" w:type="pct"/>
            <w:tcBorders>
              <w:left w:val="nil"/>
              <w:bottom w:val="single" w:color="000000" w:sz="10" w:space="0"/>
              <w:right w:val="nil"/>
            </w:tcBorders>
            <w:vAlign w:val="center"/>
          </w:tcPr>
          <w:p w14:paraId="7436282E">
            <w:pPr>
              <w:keepNext w:val="0"/>
              <w:keepLines w:val="0"/>
              <w:pageBreakBefore w:val="0"/>
              <w:widowControl/>
              <w:kinsoku/>
              <w:wordWrap/>
              <w:overflowPunct/>
              <w:topLinePunct w:val="0"/>
              <w:autoSpaceDE/>
              <w:autoSpaceDN/>
              <w:bidi w:val="0"/>
              <w:adjustRightInd/>
              <w:snapToGrid/>
              <w:spacing w:before="0" w:after="0" w:line="360" w:lineRule="auto"/>
              <w:jc w:val="left"/>
              <w:textAlignment w:val="auto"/>
              <w:rPr>
                <w:highlight w:val="none"/>
              </w:rPr>
            </w:pPr>
            <w:r>
              <w:rPr>
                <w:rFonts w:ascii="Times New Roman" w:hAnsi="Times New Roman" w:eastAsia="Times New Roman"/>
                <w:b w:val="0"/>
                <w:sz w:val="16"/>
                <w:highlight w:val="none"/>
              </w:rPr>
              <w:t>Calibration slope</w:t>
            </w:r>
          </w:p>
        </w:tc>
        <w:tc>
          <w:tcPr>
            <w:tcW w:w="1595" w:type="pct"/>
            <w:tcBorders>
              <w:left w:val="nil"/>
              <w:bottom w:val="single" w:color="000000" w:sz="10" w:space="0"/>
              <w:right w:val="nil"/>
            </w:tcBorders>
            <w:vAlign w:val="center"/>
          </w:tcPr>
          <w:p w14:paraId="5C378278">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1.402 (1.148</w:t>
            </w:r>
            <w:r>
              <w:rPr>
                <w:rFonts w:hint="eastAsia" w:eastAsia="宋体"/>
                <w:b w:val="0"/>
                <w:sz w:val="16"/>
                <w:highlight w:val="none"/>
                <w:lang w:eastAsia="zh-CN"/>
              </w:rPr>
              <w:t xml:space="preserve"> to </w:t>
            </w:r>
            <w:r>
              <w:rPr>
                <w:rFonts w:ascii="Times New Roman" w:hAnsi="Times New Roman" w:eastAsia="Times New Roman"/>
                <w:b w:val="0"/>
                <w:sz w:val="16"/>
                <w:highlight w:val="none"/>
              </w:rPr>
              <w:t>1.919)</w:t>
            </w:r>
          </w:p>
        </w:tc>
        <w:tc>
          <w:tcPr>
            <w:tcW w:w="1399" w:type="pct"/>
            <w:tcBorders>
              <w:left w:val="nil"/>
              <w:bottom w:val="single" w:color="000000" w:sz="10" w:space="0"/>
              <w:right w:val="nil"/>
            </w:tcBorders>
            <w:vAlign w:val="center"/>
          </w:tcPr>
          <w:p w14:paraId="3D6AEB24">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1.042 (0.701</w:t>
            </w:r>
            <w:r>
              <w:rPr>
                <w:rFonts w:hint="eastAsia" w:eastAsia="宋体"/>
                <w:b w:val="0"/>
                <w:sz w:val="16"/>
                <w:highlight w:val="none"/>
                <w:lang w:eastAsia="zh-CN"/>
              </w:rPr>
              <w:t xml:space="preserve"> to </w:t>
            </w:r>
            <w:r>
              <w:rPr>
                <w:rFonts w:ascii="Times New Roman" w:hAnsi="Times New Roman" w:eastAsia="Times New Roman"/>
                <w:b w:val="0"/>
                <w:sz w:val="16"/>
                <w:highlight w:val="none"/>
              </w:rPr>
              <w:t>2.293)</w:t>
            </w:r>
          </w:p>
        </w:tc>
        <w:tc>
          <w:tcPr>
            <w:tcW w:w="1222" w:type="pct"/>
            <w:tcBorders>
              <w:left w:val="nil"/>
              <w:bottom w:val="single" w:color="000000" w:sz="10" w:space="0"/>
              <w:right w:val="nil"/>
            </w:tcBorders>
            <w:vAlign w:val="center"/>
          </w:tcPr>
          <w:p w14:paraId="426FEDB6">
            <w:pPr>
              <w:keepNext w:val="0"/>
              <w:keepLines w:val="0"/>
              <w:pageBreakBefore w:val="0"/>
              <w:widowControl/>
              <w:kinsoku/>
              <w:wordWrap/>
              <w:overflowPunct/>
              <w:topLinePunct w:val="0"/>
              <w:autoSpaceDE/>
              <w:autoSpaceDN/>
              <w:bidi w:val="0"/>
              <w:adjustRightInd/>
              <w:snapToGrid/>
              <w:spacing w:before="0" w:after="0" w:line="360" w:lineRule="auto"/>
              <w:jc w:val="center"/>
              <w:textAlignment w:val="auto"/>
              <w:rPr>
                <w:highlight w:val="none"/>
              </w:rPr>
            </w:pPr>
            <w:r>
              <w:rPr>
                <w:rFonts w:ascii="Times New Roman" w:hAnsi="Times New Roman" w:eastAsia="Times New Roman"/>
                <w:b w:val="0"/>
                <w:sz w:val="16"/>
                <w:highlight w:val="none"/>
              </w:rPr>
              <w:t>0.701 (0.473</w:t>
            </w:r>
            <w:r>
              <w:rPr>
                <w:rFonts w:hint="eastAsia" w:eastAsia="宋体"/>
                <w:b w:val="0"/>
                <w:sz w:val="16"/>
                <w:highlight w:val="none"/>
                <w:lang w:eastAsia="zh-CN"/>
              </w:rPr>
              <w:t xml:space="preserve"> to </w:t>
            </w:r>
            <w:r>
              <w:rPr>
                <w:rFonts w:ascii="Times New Roman" w:hAnsi="Times New Roman" w:eastAsia="Times New Roman"/>
                <w:b w:val="0"/>
                <w:sz w:val="16"/>
                <w:highlight w:val="none"/>
              </w:rPr>
              <w:t>1.185)</w:t>
            </w:r>
          </w:p>
        </w:tc>
      </w:tr>
    </w:tbl>
    <w:p w14:paraId="5BC64AC6">
      <w:pPr>
        <w:spacing w:before="80" w:after="0" w:line="240" w:lineRule="auto"/>
      </w:pPr>
      <w:r>
        <w:rPr>
          <w:sz w:val="18"/>
          <w:szCs w:val="24"/>
          <w:highlight w:val="none"/>
        </w:rPr>
        <w:t>Note. The locked training-derived RF threshold was 0.3228 and was applied unchanged to threshold-dependent metrics in the internal hold-out and external validation. Training estimates were calculated from repeated-cross-validation out-of-fold probabilities rather than resubstitution predictions; because feature selection was performed once on the full training set rather than nested within each fold, these OOF estimates can retain optimistic bias and are development diagnostics only. The internal hold-out was used for algorithm selection, so its performance is selection-conditioned and must not be interpreted as unbiased generalization performance. The Shenzhen external-validation dataset was untouched by model selection and provides the only fully independent validation. OOF, out-of-fold</w:t>
      </w:r>
      <w:bookmarkStart w:id="0" w:name="_GoBack"/>
      <w:r>
        <w:rPr>
          <w:sz w:val="18"/>
          <w:szCs w:val="24"/>
          <w:highlight w:val="none"/>
        </w:rPr>
        <w:t>. Excellent discrimination (including a high ROC-AUC) does not guarantee reliable probability calibration; discrimination and calibration should be interpreted independently.</w:t>
      </w:r>
      <w:bookmarkEnd w:id="0"/>
    </w:p>
    <w:sectPr>
      <w:pgSz w:w="16834" w:h="11909" w:orient="landscape"/>
      <w:pgMar w:top="936" w:right="936" w:bottom="936" w:left="93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286912"/>
    <w:rsid w:val="0DCB3DBD"/>
    <w:rsid w:val="43BC27F5"/>
    <w:rsid w:val="6BC505C2"/>
    <w:rsid w:val="75176A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17"/>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313</Words>
  <Characters>1963</Characters>
  <Lines>0</Lines>
  <Paragraphs>0</Paragraphs>
  <TotalTime>1</TotalTime>
  <ScaleCrop>false</ScaleCrop>
  <LinksUpToDate>false</LinksUpToDate>
  <CharactersWithSpaces>2223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Beacon</cp:lastModifiedBy>
  <dcterms:modified xsi:type="dcterms:W3CDTF">2026-09-07T11:25:19Z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eyJoZGlkIjoiNGM4YTc1Mjc4YzA1Y2QzY2ViMTY2ZDlhNWM4Zjg0MzkiLCJ1c2VySWQiOiI1MTYxMjgxODMifQ==</vt:lpwstr>
  </property>
  <property fmtid="{D5CDD505-2E9C-101B-9397-08002B2CF9AE}" pid="3" name="KSOProductBuildVer">
    <vt:lpwstr>2052-12.1.0.28488</vt:lpwstr>
  </property>
  <property fmtid="{D5CDD505-2E9C-101B-9397-08002B2CF9AE}" pid="4" name="ICV">
    <vt:lpwstr>8DE924CE94C04A3A9548C18BFBF04F4D_12</vt:lpwstr>
  </property>
</Properties>
</file>