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44A4A">
      <w:pPr>
        <w:spacing w:after="80"/>
        <w:jc w:val="center"/>
      </w:pPr>
      <w:r>
        <w:rPr>
          <w:rFonts w:ascii="Times New Roman" w:hAnsi="Times New Roman"/>
          <w:b/>
          <w:sz w:val="21"/>
          <w:highlight w:val="none"/>
        </w:rPr>
        <w:t>Supplementary Table S11. Sensitivity of global and local SHAP explanations to alternative training-only background samples</w:t>
      </w:r>
    </w:p>
    <w:p w14:paraId="7E36BAFD">
      <w:pPr>
        <w:spacing w:after="40"/>
        <w:rPr>
          <w:highlight w:val="none"/>
        </w:rPr>
      </w:pPr>
      <w:r>
        <w:rPr>
          <w:rFonts w:ascii="Times New Roman" w:hAnsi="Times New Roman"/>
          <w:b/>
          <w:sz w:val="18"/>
          <w:highlight w:val="none"/>
        </w:rPr>
        <w:t>A. Global explanation concordance relative to the primary background</w:t>
      </w: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724"/>
        <w:gridCol w:w="851"/>
        <w:gridCol w:w="2568"/>
        <w:gridCol w:w="3452"/>
        <w:gridCol w:w="1879"/>
        <w:gridCol w:w="1879"/>
      </w:tblGrid>
      <w:tr w14:paraId="678A3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1739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Background specification</w:t>
            </w:r>
          </w:p>
        </w:tc>
        <w:tc>
          <w:tcPr>
            <w:tcW w:w="25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445B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n</w:t>
            </w:r>
          </w:p>
        </w:tc>
        <w:tc>
          <w:tcPr>
            <w:tcW w:w="29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570B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Seed</w:t>
            </w:r>
          </w:p>
        </w:tc>
        <w:tc>
          <w:tcPr>
            <w:tcW w:w="88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4731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Rank Spearman rho</w:t>
            </w:r>
          </w:p>
        </w:tc>
        <w:tc>
          <w:tcPr>
            <w:tcW w:w="119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0F82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Mean |SHAP| Spearman rho</w:t>
            </w:r>
          </w:p>
        </w:tc>
        <w:tc>
          <w:tcPr>
            <w:tcW w:w="64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C271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Top-3 overlap</w:t>
            </w:r>
          </w:p>
        </w:tc>
        <w:tc>
          <w:tcPr>
            <w:tcW w:w="64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E2E4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18"/>
                <w:szCs w:val="28"/>
                <w:highlight w:val="none"/>
              </w:rPr>
              <w:t>Top-5 overlap</w:t>
            </w:r>
          </w:p>
        </w:tc>
      </w:tr>
      <w:tr w14:paraId="2C17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E2EE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n120_seed2026</w:t>
            </w:r>
          </w:p>
        </w:tc>
        <w:tc>
          <w:tcPr>
            <w:tcW w:w="250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A522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120</w:t>
            </w:r>
          </w:p>
        </w:tc>
        <w:tc>
          <w:tcPr>
            <w:tcW w:w="294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581C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2026</w:t>
            </w:r>
          </w:p>
        </w:tc>
        <w:tc>
          <w:tcPr>
            <w:tcW w:w="887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416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1192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BDB4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649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D2E6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684B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  <w:tr w14:paraId="35AA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7F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C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2F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98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0.917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4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0.917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56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2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4/5</w:t>
            </w:r>
          </w:p>
        </w:tc>
      </w:tr>
      <w:tr w14:paraId="54B13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42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10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69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41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5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6D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0C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  <w:tr w14:paraId="5484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59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6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25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7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0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E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66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  <w:tr w14:paraId="755B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87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n120_seed2030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E2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E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2030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C2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36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56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A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  <w:tr w14:paraId="718B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A0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n60_seed2026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4B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60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8D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B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0.933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7A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0.933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E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  <w:tr w14:paraId="1CB2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E9A4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n180_seed2026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C600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180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551C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2026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0471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1192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2DB3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9255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8881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sz w:val="20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5/5</w:t>
            </w:r>
          </w:p>
        </w:tc>
      </w:tr>
    </w:tbl>
    <w:p w14:paraId="5ED2CFF4">
      <w:pPr>
        <w:spacing w:after="20"/>
      </w:pPr>
    </w:p>
    <w:p w14:paraId="1D0419A3">
      <w:pPr>
        <w:spacing w:after="40"/>
        <w:rPr>
          <w:rFonts w:ascii="Times New Roman" w:hAnsi="Times New Roman"/>
          <w:b/>
          <w:sz w:val="18"/>
          <w:highlight w:val="none"/>
        </w:rPr>
      </w:pPr>
      <w:r>
        <w:rPr>
          <w:rFonts w:ascii="Times New Roman" w:hAnsi="Times New Roman"/>
          <w:b/>
          <w:sz w:val="18"/>
          <w:highlight w:val="none"/>
        </w:rPr>
        <w:t>B. Feature-wise global importance variability across all seven training-only background specifications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710"/>
        <w:gridCol w:w="1405"/>
        <w:gridCol w:w="1929"/>
        <w:gridCol w:w="1987"/>
        <w:gridCol w:w="2187"/>
      </w:tblGrid>
      <w:tr w14:paraId="31752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9DBD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Predictor</w:t>
            </w:r>
          </w:p>
        </w:tc>
        <w:tc>
          <w:tcPr>
            <w:tcW w:w="128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3A8B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Mean of mean |SHAP|</w:t>
            </w:r>
          </w:p>
        </w:tc>
        <w:tc>
          <w:tcPr>
            <w:tcW w:w="48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8076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SD</w:t>
            </w:r>
          </w:p>
        </w:tc>
        <w:tc>
          <w:tcPr>
            <w:tcW w:w="66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6EF6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Minimum</w:t>
            </w:r>
          </w:p>
        </w:tc>
        <w:tc>
          <w:tcPr>
            <w:tcW w:w="68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206A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Maximum</w:t>
            </w:r>
          </w:p>
        </w:tc>
        <w:tc>
          <w:tcPr>
            <w:tcW w:w="75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7C68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Rank range</w:t>
            </w:r>
          </w:p>
        </w:tc>
      </w:tr>
      <w:tr w14:paraId="4A73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33AE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GAD-7 total score</w:t>
            </w:r>
          </w:p>
        </w:tc>
        <w:tc>
          <w:tcPr>
            <w:tcW w:w="1281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DE5C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0.1649</w:t>
            </w:r>
          </w:p>
        </w:tc>
        <w:tc>
          <w:tcPr>
            <w:tcW w:w="48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BA32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0.0074</w:t>
            </w:r>
          </w:p>
        </w:tc>
        <w:tc>
          <w:tcPr>
            <w:tcW w:w="66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7D0F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0.1543</w:t>
            </w:r>
          </w:p>
        </w:tc>
        <w:tc>
          <w:tcPr>
            <w:tcW w:w="68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AC9D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0.1750</w:t>
            </w:r>
          </w:p>
        </w:tc>
        <w:tc>
          <w:tcPr>
            <w:tcW w:w="75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2CDF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1-1</w:t>
            </w:r>
          </w:p>
        </w:tc>
      </w:tr>
      <w:tr w14:paraId="6CB8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C3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PHQ-9 total score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89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0.1183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06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0.0030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3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0.1123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B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0.1213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89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2-3</w:t>
            </w:r>
          </w:p>
        </w:tc>
      </w:tr>
      <w:tr w14:paraId="4B63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D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ESS total score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5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0.1223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21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0.0023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5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0.1197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E9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0.1260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52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2-3</w:t>
            </w:r>
          </w:p>
        </w:tc>
      </w:tr>
      <w:tr w14:paraId="4AD7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08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AHI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5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0.0346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D4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0.0014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95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0.0327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72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0.0367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F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4-4</w:t>
            </w:r>
          </w:p>
        </w:tc>
      </w:tr>
      <w:tr w14:paraId="60CD5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D6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Coffee consumption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75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0.0146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4C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0.0009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4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0.0129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AB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0.0161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F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5-6</w:t>
            </w:r>
          </w:p>
        </w:tc>
      </w:tr>
      <w:tr w14:paraId="4FD4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4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CPSS-14 total score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94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0.0143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48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0.0011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A0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0.0122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C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0.0153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1E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5-6</w:t>
            </w:r>
          </w:p>
        </w:tc>
      </w:tr>
      <w:tr w14:paraId="599A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A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MSaO2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8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0.0102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4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0.0004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A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0.0097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30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0.0107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EA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7-8</w:t>
            </w:r>
          </w:p>
        </w:tc>
      </w:tr>
      <w:tr w14:paraId="1C9D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8C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Physical activity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C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0.0100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3D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0.0008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1F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0.0089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50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0.0110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AB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7-9</w:t>
            </w:r>
          </w:p>
        </w:tc>
      </w:tr>
      <w:tr w14:paraId="7FBE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9340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PSQI total score</w:t>
            </w:r>
          </w:p>
        </w:tc>
        <w:tc>
          <w:tcPr>
            <w:tcW w:w="1281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923A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0.0096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FFBF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0.0004</w:t>
            </w:r>
          </w:p>
        </w:tc>
        <w:tc>
          <w:tcPr>
            <w:tcW w:w="66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7533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0.0092</w:t>
            </w:r>
          </w:p>
        </w:tc>
        <w:tc>
          <w:tcPr>
            <w:tcW w:w="68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4EC8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0.0104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95DD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8-9</w:t>
            </w:r>
          </w:p>
        </w:tc>
      </w:tr>
    </w:tbl>
    <w:p w14:paraId="7D8B143B">
      <w:pPr>
        <w:rPr>
          <w:rFonts w:ascii="Times New Roman" w:hAnsi="Times New Roman"/>
          <w:b/>
          <w:sz w:val="18"/>
          <w:highlight w:val="yellow"/>
        </w:rPr>
      </w:pPr>
    </w:p>
    <w:p w14:paraId="1D631145">
      <w:pPr>
        <w:spacing w:after="40"/>
        <w:rPr>
          <w:rFonts w:ascii="Times New Roman" w:hAnsi="Times New Roman"/>
          <w:b/>
          <w:sz w:val="18"/>
          <w:highlight w:val="none"/>
        </w:rPr>
      </w:pPr>
      <w:r>
        <w:rPr>
          <w:rFonts w:ascii="Times New Roman" w:hAnsi="Times New Roman"/>
          <w:b/>
          <w:sz w:val="18"/>
          <w:highlight w:val="none"/>
        </w:rPr>
        <w:t>C. Local explanation sensitivity for the two prespecified training cases</w:t>
      </w: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1117"/>
        <w:gridCol w:w="2218"/>
        <w:gridCol w:w="1694"/>
        <w:gridCol w:w="1563"/>
        <w:gridCol w:w="2962"/>
        <w:gridCol w:w="2304"/>
      </w:tblGrid>
      <w:tr w14:paraId="735D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418C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Background specification</w:t>
            </w:r>
          </w:p>
        </w:tc>
        <w:tc>
          <w:tcPr>
            <w:tcW w:w="38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17CE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Case row</w:t>
            </w:r>
          </w:p>
        </w:tc>
        <w:tc>
          <w:tcPr>
            <w:tcW w:w="76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F6DD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SHAP Spearman rho</w:t>
            </w:r>
          </w:p>
        </w:tc>
        <w:tc>
          <w:tcPr>
            <w:tcW w:w="58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FF45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Sign agreement</w:t>
            </w:r>
          </w:p>
        </w:tc>
        <w:tc>
          <w:tcPr>
            <w:tcW w:w="54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60E8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Top-3 overlap</w:t>
            </w:r>
          </w:p>
        </w:tc>
        <w:tc>
          <w:tcPr>
            <w:tcW w:w="102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7676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Locked predicted probability</w:t>
            </w:r>
          </w:p>
        </w:tc>
        <w:tc>
          <w:tcPr>
            <w:tcW w:w="79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EEB9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8"/>
                <w:highlight w:val="none"/>
              </w:rPr>
              <w:t>Interpretation</w:t>
            </w:r>
          </w:p>
        </w:tc>
      </w:tr>
      <w:tr w14:paraId="5C0B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0F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n120_seed2026</w:t>
            </w:r>
          </w:p>
        </w:tc>
        <w:tc>
          <w:tcPr>
            <w:tcW w:w="38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B5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48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58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CA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9F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E6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6D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Primary reference</w:t>
            </w:r>
          </w:p>
        </w:tc>
      </w:tr>
      <w:tr w14:paraId="6322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D2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AF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9F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0A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B1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90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53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Primary reference</w:t>
            </w:r>
          </w:p>
        </w:tc>
      </w:tr>
      <w:tr w14:paraId="5FF2D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5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1A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D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DE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0C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45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F9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0A70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B4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EB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3E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1D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F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19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1B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56AE1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B8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2B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D8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0.950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77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9E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0E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05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71613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BE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04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CE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9F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A4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46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3A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398D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69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n120_seed2029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F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C4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A3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A7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62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77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4B62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D1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8A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31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E6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36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6A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67AB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37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n120_seed2030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5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F2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65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CA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5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06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3C4A1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50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FA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C1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52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F3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57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04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6B124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69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n60_seed2026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6E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BE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95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A4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BC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6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6C19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3E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C5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C8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ED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47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01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CF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2609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6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n180_seed2026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F5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40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2A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C3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F7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68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  <w:tr w14:paraId="586E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E02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93CD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265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2889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1.000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97A5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9/9</w:t>
            </w:r>
          </w:p>
        </w:tc>
        <w:tc>
          <w:tcPr>
            <w:tcW w:w="54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C639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3/3</w:t>
            </w:r>
          </w:p>
        </w:tc>
        <w:tc>
          <w:tcPr>
            <w:tcW w:w="102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108A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0.998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005D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sz w:val="18"/>
                <w:szCs w:val="28"/>
                <w:highlight w:val="none"/>
              </w:rPr>
              <w:t>Alternative background</w:t>
            </w:r>
          </w:p>
        </w:tc>
      </w:tr>
    </w:tbl>
    <w:p w14:paraId="73CBC7A8">
      <w:pPr>
        <w:spacing w:after="0"/>
      </w:pPr>
      <w:r>
        <w:rPr>
          <w:rFonts w:ascii="Times New Roman" w:hAnsi="Times New Roman"/>
          <w:b w:val="0"/>
          <w:sz w:val="18"/>
          <w:szCs w:val="24"/>
          <w:highlight w:val="none"/>
        </w:rPr>
        <w:t>Note. The primary explanation used a random training-only background of n = 120 with seed 2026. Alternative same-size backgrounds used seeds 2027-2030; background-size sensitivity used n = 60 and n = 180 with seed 2026. All 280 training observations were explained in each run and the locked nine-predictor RF model, preprocessing objects, and prediction function were unchanged; only the Kernel SHAP background reference set varied. Spearman rho values compare each alternative with the primary background. Top-k overlap denotes the number of shared predictors among the highest-ranked k features. Across alternative backgrounds, global rank rho ranged from 0.917 to 0.983; the Top-3 set was unchanged in all runs and Top-5 overlap was 5/5 in five of six alternatives and 4/5 in one. For cases 200 and 265, all nine contribution signs and all three leading local contributors were preserved across every tested background. These analyses evaluate explanation robustness to reference-set choice only and do not establish causal effects, clinical validity, feature-selection stability, fairnes</w:t>
      </w:r>
      <w:bookmarkStart w:id="0" w:name="_GoBack"/>
      <w:bookmarkEnd w:id="0"/>
      <w:r>
        <w:rPr>
          <w:rFonts w:ascii="Times New Roman" w:hAnsi="Times New Roman"/>
          <w:b w:val="0"/>
          <w:sz w:val="18"/>
          <w:szCs w:val="24"/>
          <w:highlight w:val="none"/>
        </w:rPr>
        <w:t>s, or transportability. SHAP, SHapley Additive exPlanations; RF, random forest; AHI, apnea-hypopnea index; MSaO2, mean oxygen saturation.</w:t>
      </w:r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F40F3E"/>
    <w:rsid w:val="08ED380C"/>
    <w:rsid w:val="5792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2961</Characters>
  <Lines>0</Lines>
  <Paragraphs>0</Paragraphs>
  <TotalTime>2</TotalTime>
  <ScaleCrop>false</ScaleCrop>
  <LinksUpToDate>false</LinksUpToDate>
  <CharactersWithSpaces>3225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2026-09-07T11:28:40Z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EF15C7A0326249E4B6F0BC8C23841BB1_12</vt:lpwstr>
  </property>
</Properties>
</file>