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618FE">
      <w:pPr>
        <w:keepNext/>
        <w:spacing w:after="100"/>
        <w:jc w:val="center"/>
      </w:pPr>
      <w:r>
        <w:rPr>
          <w:rFonts w:ascii="Times New Roman" w:hAnsi="Times New Roman" w:eastAsia="Times New Roman"/>
          <w:b/>
          <w:sz w:val="21"/>
        </w:rPr>
        <w:t>Supplementary Table S</w:t>
      </w:r>
      <w:r>
        <w:rPr>
          <w:rFonts w:hint="eastAsia" w:eastAsia="宋体"/>
          <w:b/>
          <w:sz w:val="21"/>
          <w:lang w:val="en-US" w:eastAsia="zh-CN"/>
        </w:rPr>
        <w:t>8</w:t>
      </w:r>
      <w:r>
        <w:rPr>
          <w:rFonts w:ascii="Times New Roman" w:hAnsi="Times New Roman" w:eastAsia="Times New Roman"/>
          <w:b/>
          <w:sz w:val="21"/>
        </w:rPr>
        <w:t>. Development-</w:t>
      </w:r>
      <w:r>
        <w:rPr>
          <w:rFonts w:hint="eastAsia" w:eastAsia="宋体"/>
          <w:b/>
          <w:sz w:val="21"/>
          <w:lang w:eastAsia="zh-CN"/>
        </w:rPr>
        <w:t>sample</w:t>
      </w:r>
      <w:r>
        <w:rPr>
          <w:rFonts w:ascii="Times New Roman" w:hAnsi="Times New Roman" w:eastAsia="Times New Roman"/>
          <w:b/>
          <w:sz w:val="21"/>
        </w:rPr>
        <w:t xml:space="preserve"> split balance and internal consistency of study scales</w:t>
      </w:r>
    </w:p>
    <w:p w14:paraId="161452BD">
      <w:pPr>
        <w:keepNext/>
        <w:spacing w:before="80" w:after="60"/>
      </w:pPr>
      <w:r>
        <w:rPr>
          <w:rFonts w:hint="eastAsia" w:eastAsia="宋体"/>
          <w:b/>
          <w:sz w:val="18"/>
          <w:highlight w:val="none"/>
          <w:lang w:val="en-US" w:eastAsia="zh-CN"/>
        </w:rPr>
        <w:t>(</w:t>
      </w:r>
      <w:r>
        <w:rPr>
          <w:rFonts w:ascii="Times New Roman" w:hAnsi="Times New Roman" w:eastAsia="Times New Roman"/>
          <w:b/>
          <w:sz w:val="18"/>
          <w:highlight w:val="none"/>
        </w:rPr>
        <w:t>A</w:t>
      </w:r>
      <w:r>
        <w:rPr>
          <w:rFonts w:hint="eastAsia" w:eastAsia="宋体"/>
          <w:b/>
          <w:sz w:val="18"/>
          <w:highlight w:val="none"/>
          <w:lang w:val="en-US" w:eastAsia="zh-CN"/>
        </w:rPr>
        <w:t>)</w:t>
      </w:r>
      <w:r>
        <w:rPr>
          <w:rFonts w:ascii="Times New Roman" w:hAnsi="Times New Roman" w:eastAsia="Times New Roman"/>
          <w:b/>
          <w:sz w:val="18"/>
          <w:highlight w:val="none"/>
        </w:rPr>
        <w:t>. Balance between the training and internal algorithm-selection hold-out subsets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6"/>
        <w:gridCol w:w="2646"/>
        <w:gridCol w:w="2646"/>
        <w:gridCol w:w="4128"/>
        <w:gridCol w:w="1151"/>
        <w:gridCol w:w="1078"/>
      </w:tblGrid>
      <w:tr w14:paraId="13B6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335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A49103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Variables</w:t>
            </w:r>
          </w:p>
        </w:tc>
        <w:tc>
          <w:tcPr>
            <w:tcW w:w="832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14EFF6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 xml:space="preserve">Total </w:t>
            </w:r>
            <w:r>
              <w:rPr>
                <w:rFonts w:hint="eastAsia" w:eastAsia="宋体"/>
                <w:b/>
                <w:sz w:val="16"/>
                <w:szCs w:val="28"/>
                <w:lang w:eastAsia="zh-CN"/>
              </w:rPr>
              <w:t>sample</w:t>
            </w: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(n = 400)</w:t>
            </w:r>
          </w:p>
        </w:tc>
        <w:tc>
          <w:tcPr>
            <w:tcW w:w="832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899D19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Training set</w:t>
            </w: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(n = 280)</w:t>
            </w:r>
          </w:p>
        </w:tc>
        <w:tc>
          <w:tcPr>
            <w:tcW w:w="129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F61399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Internal algorithm-selection hold-out</w:t>
            </w: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(n = 120)</w:t>
            </w:r>
          </w:p>
        </w:tc>
        <w:tc>
          <w:tcPr>
            <w:tcW w:w="362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FF482A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Statistic</w:t>
            </w:r>
          </w:p>
        </w:tc>
        <w:tc>
          <w:tcPr>
            <w:tcW w:w="339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25487C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i/>
                <w:iCs/>
                <w:sz w:val="16"/>
                <w:szCs w:val="28"/>
              </w:rPr>
              <w:t>P</w:t>
            </w: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 xml:space="preserve"> value</w:t>
            </w:r>
          </w:p>
        </w:tc>
      </w:tr>
      <w:tr w14:paraId="6BB8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33CE0955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Age,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29B07D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43.50 (36.00, 54.00)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01BAC3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42.00 (36.00, 53.00)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80F8F6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44.00 (36.00, 54.50)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A53BC5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Z=-0.54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3CC9CA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0.587</w:t>
            </w:r>
          </w:p>
        </w:tc>
      </w:tr>
      <w:tr w14:paraId="4CEB5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B2A6F75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Gender,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C335C1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042365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6AA20B8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5C1E31B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χ²=0.94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AB2242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0.333</w:t>
            </w:r>
          </w:p>
        </w:tc>
      </w:tr>
      <w:tr w14:paraId="79D83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048D3CD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Male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1681C5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362 (90.50)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8CEB05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256 (91.43)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5586CB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106 (88.33)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4EBE3F7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350202A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11B33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607E2AF4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Female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8C4622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38 (9.50)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F6173A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24 (8.57)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4A92F2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14 (11.67)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BD4C04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30D1DB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24A6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CCD0233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Education level,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5DD285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D9DBBE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EE00CD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3CDABE8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χ²=2.63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FA5E79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0.269</w:t>
            </w:r>
          </w:p>
        </w:tc>
      </w:tr>
      <w:tr w14:paraId="2088C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3BEF651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Primary school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87D6A5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119 (29.75)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54ED2E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79 (28.21)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6CC90AC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40 (33.33)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5500B25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28CDE5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288C4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A248A0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Junior high school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F09692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115 (28.75)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900B42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87 (31.07)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3848C57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28 (23.33)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573D5DB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5B15DD7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63BAA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3CFAB70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High school and above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B8D460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166 (41.50)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23B512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114 (40.71)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0744EF7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52 (43.33)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61335F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4B9F6DB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701A5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B876F1D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Marital status,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690D0D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A521A8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1983A1A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05E520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χ²=1.58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673013F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0.663</w:t>
            </w:r>
          </w:p>
        </w:tc>
      </w:tr>
      <w:tr w14:paraId="5A700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CD37251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Married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65F88B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239 (59.75)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F805A6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162 (57.86)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671245A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77 (64.17)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5F8BAB8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676221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0DE38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2871A7F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Unmarried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D8CBCC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72 (18.00)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98878C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53 (18.93)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15D2214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19 (15.83)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5BBC60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CE7F99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2479D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56775C6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Divorced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FEF6F8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56 (14.00)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F7FE55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40 (14.29)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919C77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16 (13.33)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1D46C8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0BE323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039DC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B14F4E3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Widowed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622C5D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33 (8.25)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0C1FB9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25 (8.93)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0B729D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8 (6.67)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6A42F1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2634AA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5089E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F0182A2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Per capita monthly income, yuan,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938E72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8A3691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683E607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44984A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χ²=2.46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36AE6D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0.483</w:t>
            </w:r>
          </w:p>
        </w:tc>
      </w:tr>
      <w:tr w14:paraId="45237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1CF1A08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&lt;3000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79443B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171 (42.75)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FDC016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119 (42.50)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C5A459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52 (43.33)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F2DC78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29A8DB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076A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0BDE27C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3000–5000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D5BE20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67 (16.75)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A99A20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43 (15.36)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F94E38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24 (20.00)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A8F21A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DF9C17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150D4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61811B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5000–8000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78498D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113 (28.25)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7F1BDB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80 (28.57)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A01D94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33 (27.50)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902A9E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CDC611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5B08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3CA2352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&gt;8000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39192C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49 (12.25)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0734DB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38 (13.57)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D7E68B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 (9.17)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30B690A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5111AB5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6EDFA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67F9F10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BMI,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89BACF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07FAFC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55A9096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488C0E6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χ²=0.53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319E643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0.769</w:t>
            </w:r>
          </w:p>
        </w:tc>
      </w:tr>
      <w:tr w14:paraId="77A25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463F9C6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Normal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2C1992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86 (21.50)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070032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58 (20.71)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5085BEA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28 (23.33)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CCE12C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6DCC8B1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24B13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1D2C18C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Overweight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391066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107 (26.75)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3049FE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74 (26.43)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0A9D61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33 (27.50)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E49A9A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B72BA6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0B7CF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6DA88EE5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Obese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212315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207 (51.75)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E34CC5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148 (52.86)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0BF39D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59 (49.17)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15D216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F76A99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65B10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237E514D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Smoking status,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8034FB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8EEA23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DFF708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F91787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χ²=0.06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52EB9F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0.971</w:t>
            </w:r>
          </w:p>
        </w:tc>
      </w:tr>
      <w:tr w14:paraId="0DC18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292C34D4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Never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8BC089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107 (26.75)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15240C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75 (26.79)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110F37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32 (26.67)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50E2297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D5CD70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1BDCC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40E7108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Former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F4FEDA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143 (35.75)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869969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101 (36.07)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02472DD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42 (35.00)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AC14DB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B95CCF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1757A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B4CE3A7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Current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BBC07A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150 (37.50)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6582C4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104 (37.14)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5B8A2E3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46 (38.33)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7E5D48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7652BF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3EDAD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A2AC6B1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Alcohol consumption,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8A3DBC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DA1EA2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61DBC0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A1FC49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χ²=0.27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9A65DC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0.872</w:t>
            </w:r>
          </w:p>
        </w:tc>
      </w:tr>
      <w:tr w14:paraId="5DF7B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D83A3A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Never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9189A9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104 (26.00)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6671BB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72 (25.71)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68FB25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32 (26.67)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C9C170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7AC5DF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13032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59FE354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Occasional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46F778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90 (22.50)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793690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65 (23.21)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5434177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25 (20.83)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BF5344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5440CAA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7CE30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A38A53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Daily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EC6287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206 (51.50)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02ABF3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143 (51.07)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5AD147C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63 (52.50)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4955DC5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E3EC9F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3F431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D3012F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Coffee consumption,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AF28FF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76AB24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307181D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30DDBB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χ²=2.89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B61BE8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0.235</w:t>
            </w:r>
          </w:p>
        </w:tc>
      </w:tr>
      <w:tr w14:paraId="2ABEE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6A6B734D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Almost no consumption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A59CDA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226 (56.50)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A5CF61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152 (54.29)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1348E0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74 (61.67)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5D3C551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6B9107C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6E85D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417C2426">
            <w:pPr>
              <w:spacing w:before="0" w:after="0" w:line="240" w:lineRule="auto"/>
              <w:jc w:val="left"/>
              <w:rPr>
                <w:rFonts w:hint="eastAsia" w:eastAsia="宋体"/>
                <w:sz w:val="20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>Occasional consumption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7778D8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23 (5.75)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FBBA3D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19 (6.79)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BF00BC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 (3.33)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7300962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4B60CC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2DEC7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620A212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Frequent consumption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4E37C7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151 (37.75)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DCC2CB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109 (38.93)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5A2B05E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42 (35.00)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59387A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0E9A52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5F393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6D004C5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Physical activity status,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EFFCBD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A9CCAD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6F313D3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4A1C6CB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χ²=1.84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D2D66A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0.399</w:t>
            </w:r>
          </w:p>
        </w:tc>
      </w:tr>
      <w:tr w14:paraId="1CA7E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FD882E4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Rare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DEA833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194 (48.50)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CD03C5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142 (50.71)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525AB33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52 (43.33)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7168BEC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5C4F16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4411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838417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Occasional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BD2114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163 (40.75)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EB6835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109 (38.93)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158F926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54 (45.00)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79EB779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4BF9C5F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3E0DA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4422B94D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Regular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73710A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43 (10.75)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808316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29 (10.36)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817F85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14 (11.67)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39B01DE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FE95B1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261FC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D472E28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Hypertension,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6F23B5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016992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1C9043B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EB8EF8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χ²=0.03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23B3E5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0.860</w:t>
            </w:r>
          </w:p>
        </w:tc>
      </w:tr>
      <w:tr w14:paraId="531D3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67E6A25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Yes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2E6269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226 (56.50)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C2DD9C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159 (56.79)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61FDF1E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67 (55.83)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CC6C36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8485DA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CBDB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2007871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No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840C6F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174 (43.50)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E8C87A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121 (43.21)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63918AF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53 (44.17)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551F2C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F58C4E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3D5DC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327CA6F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Diabetes,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AFF088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C352FC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34CA6B6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75F2210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χ²=0.57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25DC67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0.452</w:t>
            </w:r>
          </w:p>
        </w:tc>
      </w:tr>
      <w:tr w14:paraId="621DF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70F0F80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Yes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1FC1C2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46 (11.50)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945C40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30 (10.71)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071A098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16 (13.33)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28C6F3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5FDA5E6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F2CF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D5E3EB2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No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CE5ED5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354 (88.50)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E86438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250 (89.29)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1BFC38D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104 (86.67)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6AA343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4E10747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7736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8CD294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Heart disease,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125120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B0DEC5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FFAF8A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6D0F6A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χ²=0.10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EEE68C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0.756</w:t>
            </w:r>
          </w:p>
        </w:tc>
      </w:tr>
      <w:tr w14:paraId="6025D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3CD721E3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Yes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B79A07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73 (18.25)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290CF8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50 (17.86)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0939825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23 (19.17)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3D3343F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2E43A7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609D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17ED9E0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No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AB13BD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327 (81.75)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B5C1B1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230 (82.14)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A035AC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97 (80.83)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5DAE36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39BA911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43F14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22D8B6B0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Cerebrovascular disease,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22B080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FA6DA4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370C6CC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5D296B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χ²=0.01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18CC15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0.914</w:t>
            </w:r>
          </w:p>
        </w:tc>
      </w:tr>
      <w:tr w14:paraId="3DFF1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3796F1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Yes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F90D15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82 (20.50)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AB6E3F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57 (20.36)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D1796C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25 (20.83)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4B08E1E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FA52B7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25C82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34EA2E67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No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1A6129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318 (79.50)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2E46C4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223 (79.64)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7DA10D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95 (79.17)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C3695A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78670F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0DC71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842A622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Hyperlipidemia,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B5201D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9EFE91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426AAD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48B639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χ²=0.47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109203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0.493</w:t>
            </w:r>
          </w:p>
        </w:tc>
      </w:tr>
      <w:tr w14:paraId="276E2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9039C5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Yes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E5AAE8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140 (35.00)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7C9501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101 (36.07)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2C34E1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39 (32.50)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AB553D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7087EC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5C385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3DC23C2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No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1B0FD1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260 (65.00)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BEFC66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179 (63.93)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23609D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81 (67.50)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5A841F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5F9736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60438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358744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OSA duration,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097CBF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15.00 (10.00, 20.00)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06B206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15.00 (10.00, 23.00)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43C4099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15.00 (10.00, 20.00)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53B18B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Z=0.15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EDA3FA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0.879</w:t>
            </w:r>
          </w:p>
        </w:tc>
      </w:tr>
      <w:tr w14:paraId="729D2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AE29A2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AHI,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6819F3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27.10 (21.25, 45.45)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380B2D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27.10 (21.25, 45.00)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0681741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26.85 (21.35, 47.05)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C5905A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Z=0.26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6A71BB3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0.795</w:t>
            </w:r>
          </w:p>
        </w:tc>
      </w:tr>
      <w:tr w14:paraId="0C504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A79712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OSA severity,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5119E9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5441BF1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41A650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11B1C7E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χ²=0.04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91C10A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0.979</w:t>
            </w:r>
          </w:p>
        </w:tc>
      </w:tr>
      <w:tr w14:paraId="24606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2BF1DA7A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Mild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B70E3F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78 (19.50)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B07F74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55 (19.64)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2AD74C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23 (19.17)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011D97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33BBC3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5F64A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151CDCF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Moderate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18BD1C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175 (43.75)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58432B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123 (43.93)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532240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52 (43.33)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4C2A965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08A547F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3FBA6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2FB7E69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Severe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35DB35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147 (36.75)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275F412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102 (36.43)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386C7A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45 (37.50)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6B0B9FA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CAD8A9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0CE45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265860E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ODI,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6C238C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24.55 (17.90, 41.40)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D401E0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24.65 (18.60, 41.40)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51C57CE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24.35 (17.80, 42.40)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4EF275C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Z=0.39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170CEE2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0.693</w:t>
            </w:r>
          </w:p>
        </w:tc>
      </w:tr>
      <w:tr w14:paraId="6B066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6B654E2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Total sleep time,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46B44A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408.35 (393.85, 480.00)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5F35F9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408.80 (394.45, 479.00)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730DCE5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407.15 (393.00, 498.00)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E6F9B5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Z=0.59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4559B3E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0.554</w:t>
            </w:r>
          </w:p>
        </w:tc>
      </w:tr>
      <w:tr w14:paraId="03761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1AC58471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MSaO₂,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958188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92.80 (90.20, 94.10)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89CA13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92.60 (90.15, 94.10)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39EF78C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93.25 (90.45, 94.20)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53175AE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Z=-1.06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3C7E5E4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0.288</w:t>
            </w:r>
          </w:p>
        </w:tc>
      </w:tr>
      <w:tr w14:paraId="0C6E5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771907D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LSaO₂,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94AAC6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76.00 (66.50, 83.00)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1241BE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76.00 (66.50, 83.00)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BAC45B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76.50 (66.50, 83.00)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33F0AC2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Z=-0.61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56AD60B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0.543</w:t>
            </w:r>
          </w:p>
        </w:tc>
      </w:tr>
      <w:tr w14:paraId="60DD6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3C2CBAB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PHQ-9 total score,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7545DC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7.00 (4.00, 12.00)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1266CF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8.00 (4.00, 12.00)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1A8F091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7.00 (3.00, 12.00)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DA7895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Z=0.90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BEC661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0.368</w:t>
            </w:r>
          </w:p>
        </w:tc>
      </w:tr>
      <w:tr w14:paraId="1246A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05D717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GAD-7 total score,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3988E7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11.00 (6.50, 15.00)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867871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12.00 (7.00, 16.00)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7EC9DD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10.00 (6.00, 14.00)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409164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Z=1.77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BA7AB0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0.076</w:t>
            </w:r>
          </w:p>
        </w:tc>
      </w:tr>
      <w:tr w14:paraId="4C1D8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5F110ACD"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ESS total score,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D9D325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12.00 (5.00, 15.00)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18A3DA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12.00 (5.00, 15.50)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1010F0B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12.00 (6.00, 15.00)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4C737A5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Z=-0.57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61CC261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0.571</w:t>
            </w:r>
          </w:p>
        </w:tc>
      </w:tr>
      <w:tr w14:paraId="4B0FB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38698818"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CPSS-14 total score,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03686C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34.00 (24.00, 44.00)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8DB088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33.00 (23.00, 43.00)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6829649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36.00 (26.00, 46.00)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012F63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Z=-1.14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EE7B94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0.256</w:t>
            </w:r>
          </w:p>
        </w:tc>
      </w:tr>
      <w:tr w14:paraId="283FA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0B07E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SSRS total score,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EEAE8D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45.00 (25.00, 50.00)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BFB864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45.00 (24.50, 50.00)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01EE854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45.00 (26.00, 49.00)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0B2F45F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Z=0.64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2F902E8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0.526</w:t>
            </w:r>
          </w:p>
        </w:tc>
      </w:tr>
      <w:tr w14:paraId="6FF8B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0371E5DD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PSQI total score, median (Q1, Q3)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405D3E5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11.00 (5.00, 17.00)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3CED0C6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11.00 (5.00, 17.00)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1E89DCE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10.00 (6.00, 16.00)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E50919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Z=0.07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458FD51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0.942</w:t>
            </w:r>
          </w:p>
        </w:tc>
      </w:tr>
      <w:tr w14:paraId="2EDFE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18D2E9F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Cognitive state, n (%)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785EA47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FA9067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2CEEC90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9AD59A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χ²=0.09</w:t>
            </w: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76778E6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0.762</w:t>
            </w:r>
          </w:p>
        </w:tc>
      </w:tr>
      <w:tr w14:paraId="32FE0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right w:val="nil"/>
            </w:tcBorders>
            <w:vAlign w:val="center"/>
          </w:tcPr>
          <w:p w14:paraId="791C7707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MCI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0E089BD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131 (32.75)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60DEFC5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93 (33.21)</w:t>
            </w:r>
          </w:p>
        </w:tc>
        <w:tc>
          <w:tcPr>
            <w:tcW w:w="1298" w:type="pct"/>
            <w:tcBorders>
              <w:left w:val="nil"/>
              <w:right w:val="nil"/>
            </w:tcBorders>
            <w:vAlign w:val="center"/>
          </w:tcPr>
          <w:p w14:paraId="35A0559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38 (31.67)</w:t>
            </w:r>
          </w:p>
        </w:tc>
        <w:tc>
          <w:tcPr>
            <w:tcW w:w="362" w:type="pct"/>
            <w:tcBorders>
              <w:left w:val="nil"/>
              <w:right w:val="nil"/>
            </w:tcBorders>
            <w:vAlign w:val="center"/>
          </w:tcPr>
          <w:p w14:paraId="2C245BB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right w:val="nil"/>
            </w:tcBorders>
            <w:vAlign w:val="center"/>
          </w:tcPr>
          <w:p w14:paraId="48EFE6C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14:paraId="3D1E2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5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F328FBC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CN</w:t>
            </w:r>
          </w:p>
        </w:tc>
        <w:tc>
          <w:tcPr>
            <w:tcW w:w="832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00776C5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269 (67.25)</w:t>
            </w:r>
          </w:p>
        </w:tc>
        <w:tc>
          <w:tcPr>
            <w:tcW w:w="832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1899D01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187 (66.79)</w:t>
            </w:r>
          </w:p>
        </w:tc>
        <w:tc>
          <w:tcPr>
            <w:tcW w:w="129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04C115A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82 (68.33)</w:t>
            </w:r>
          </w:p>
        </w:tc>
        <w:tc>
          <w:tcPr>
            <w:tcW w:w="362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0E20156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339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15229A0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</w:p>
        </w:tc>
      </w:tr>
    </w:tbl>
    <w:p w14:paraId="5DB41B79">
      <w:pPr>
        <w:keepNext/>
        <w:spacing w:before="80" w:after="60"/>
      </w:pPr>
      <w:r>
        <w:rPr>
          <w:rFonts w:hint="eastAsia" w:eastAsia="宋体"/>
          <w:b/>
          <w:sz w:val="18"/>
          <w:lang w:val="en-US" w:eastAsia="zh-CN"/>
        </w:rPr>
        <w:t>(</w:t>
      </w:r>
      <w:r>
        <w:rPr>
          <w:rFonts w:ascii="Times New Roman" w:hAnsi="Times New Roman" w:eastAsia="Times New Roman"/>
          <w:b/>
          <w:sz w:val="18"/>
        </w:rPr>
        <w:t>B</w:t>
      </w:r>
      <w:r>
        <w:rPr>
          <w:rFonts w:hint="eastAsia" w:eastAsia="宋体"/>
          <w:b/>
          <w:sz w:val="18"/>
          <w:lang w:val="en-US" w:eastAsia="zh-CN"/>
        </w:rPr>
        <w:t>)</w:t>
      </w:r>
      <w:r>
        <w:rPr>
          <w:rFonts w:ascii="Times New Roman" w:hAnsi="Times New Roman" w:eastAsia="Times New Roman"/>
          <w:b/>
          <w:sz w:val="18"/>
        </w:rPr>
        <w:t>. Internal consistency of the multi-item scales</w:t>
      </w:r>
    </w:p>
    <w:tbl>
      <w:tblPr>
        <w:tblStyle w:val="3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2154"/>
        <w:gridCol w:w="2405"/>
        <w:gridCol w:w="1365"/>
        <w:gridCol w:w="1387"/>
        <w:gridCol w:w="3646"/>
        <w:gridCol w:w="2335"/>
        <w:gridCol w:w="1588"/>
      </w:tblGrid>
      <w:tr w14:paraId="5EF16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1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B5214D7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Scale</w:t>
            </w:r>
          </w:p>
        </w:tc>
        <w:tc>
          <w:tcPr>
            <w:tcW w:w="677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A5982B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Construct</w:t>
            </w:r>
          </w:p>
        </w:tc>
        <w:tc>
          <w:tcPr>
            <w:tcW w:w="756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5B93C5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No. of items/components</w:t>
            </w:r>
          </w:p>
        </w:tc>
        <w:tc>
          <w:tcPr>
            <w:tcW w:w="429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43EECB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Score range</w:t>
            </w:r>
          </w:p>
        </w:tc>
        <w:tc>
          <w:tcPr>
            <w:tcW w:w="436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5D0210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Training set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(n = 280)</w:t>
            </w:r>
          </w:p>
        </w:tc>
        <w:tc>
          <w:tcPr>
            <w:tcW w:w="1146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EC1381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Internal algorithm-selection hold-out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(n = 120)</w:t>
            </w:r>
          </w:p>
        </w:tc>
        <w:tc>
          <w:tcPr>
            <w:tcW w:w="73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BEA7A3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External validation set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(n = 192)</w:t>
            </w:r>
          </w:p>
        </w:tc>
        <w:tc>
          <w:tcPr>
            <w:tcW w:w="499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BEE279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Pooled sample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(n = 592)</w:t>
            </w:r>
          </w:p>
        </w:tc>
      </w:tr>
      <w:tr w14:paraId="5D741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8" w:type="pct"/>
            <w:tcBorders>
              <w:left w:val="nil"/>
              <w:right w:val="nil"/>
            </w:tcBorders>
            <w:vAlign w:val="center"/>
          </w:tcPr>
          <w:p w14:paraId="2DDA703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PHQ-9</w:t>
            </w:r>
          </w:p>
        </w:tc>
        <w:tc>
          <w:tcPr>
            <w:tcW w:w="677" w:type="pct"/>
            <w:tcBorders>
              <w:left w:val="nil"/>
              <w:right w:val="nil"/>
            </w:tcBorders>
            <w:vAlign w:val="center"/>
          </w:tcPr>
          <w:p w14:paraId="4EF2D6E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Depressive symptoms</w:t>
            </w:r>
          </w:p>
        </w:tc>
        <w:tc>
          <w:tcPr>
            <w:tcW w:w="756" w:type="pct"/>
            <w:tcBorders>
              <w:left w:val="nil"/>
              <w:right w:val="nil"/>
            </w:tcBorders>
            <w:vAlign w:val="center"/>
          </w:tcPr>
          <w:p w14:paraId="3BB785F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9</w:t>
            </w:r>
          </w:p>
        </w:tc>
        <w:tc>
          <w:tcPr>
            <w:tcW w:w="429" w:type="pct"/>
            <w:tcBorders>
              <w:left w:val="nil"/>
              <w:right w:val="nil"/>
            </w:tcBorders>
            <w:vAlign w:val="center"/>
          </w:tcPr>
          <w:p w14:paraId="4D3BDD6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0–27</w:t>
            </w:r>
          </w:p>
        </w:tc>
        <w:tc>
          <w:tcPr>
            <w:tcW w:w="436" w:type="pct"/>
            <w:tcBorders>
              <w:left w:val="nil"/>
              <w:right w:val="nil"/>
            </w:tcBorders>
            <w:vAlign w:val="center"/>
          </w:tcPr>
          <w:p w14:paraId="33537E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0.923</w:t>
            </w:r>
          </w:p>
        </w:tc>
        <w:tc>
          <w:tcPr>
            <w:tcW w:w="1146" w:type="pct"/>
            <w:tcBorders>
              <w:left w:val="nil"/>
              <w:right w:val="nil"/>
            </w:tcBorders>
            <w:vAlign w:val="center"/>
          </w:tcPr>
          <w:p w14:paraId="7383287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0.924</w:t>
            </w:r>
          </w:p>
        </w:tc>
        <w:tc>
          <w:tcPr>
            <w:tcW w:w="734" w:type="pct"/>
            <w:tcBorders>
              <w:left w:val="nil"/>
              <w:right w:val="nil"/>
            </w:tcBorders>
            <w:vAlign w:val="center"/>
          </w:tcPr>
          <w:p w14:paraId="14F8AE3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0.921</w:t>
            </w:r>
          </w:p>
        </w:tc>
        <w:tc>
          <w:tcPr>
            <w:tcW w:w="499" w:type="pct"/>
            <w:tcBorders>
              <w:left w:val="nil"/>
              <w:right w:val="nil"/>
            </w:tcBorders>
            <w:vAlign w:val="center"/>
          </w:tcPr>
          <w:p w14:paraId="53BE8D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0.922</w:t>
            </w:r>
          </w:p>
        </w:tc>
      </w:tr>
      <w:tr w14:paraId="2E7C0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8" w:type="pct"/>
            <w:tcBorders>
              <w:left w:val="nil"/>
              <w:right w:val="nil"/>
            </w:tcBorders>
            <w:vAlign w:val="center"/>
          </w:tcPr>
          <w:p w14:paraId="5C01456C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GAD-7</w:t>
            </w:r>
          </w:p>
        </w:tc>
        <w:tc>
          <w:tcPr>
            <w:tcW w:w="677" w:type="pct"/>
            <w:tcBorders>
              <w:left w:val="nil"/>
              <w:right w:val="nil"/>
            </w:tcBorders>
            <w:vAlign w:val="center"/>
          </w:tcPr>
          <w:p w14:paraId="2FC6D9B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Anxiety symptoms</w:t>
            </w:r>
          </w:p>
        </w:tc>
        <w:tc>
          <w:tcPr>
            <w:tcW w:w="756" w:type="pct"/>
            <w:tcBorders>
              <w:left w:val="nil"/>
              <w:right w:val="nil"/>
            </w:tcBorders>
            <w:vAlign w:val="center"/>
          </w:tcPr>
          <w:p w14:paraId="3325CE3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7</w:t>
            </w:r>
          </w:p>
        </w:tc>
        <w:tc>
          <w:tcPr>
            <w:tcW w:w="429" w:type="pct"/>
            <w:tcBorders>
              <w:left w:val="nil"/>
              <w:right w:val="nil"/>
            </w:tcBorders>
            <w:vAlign w:val="center"/>
          </w:tcPr>
          <w:p w14:paraId="422F85E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0–21</w:t>
            </w:r>
          </w:p>
        </w:tc>
        <w:tc>
          <w:tcPr>
            <w:tcW w:w="436" w:type="pct"/>
            <w:tcBorders>
              <w:left w:val="nil"/>
              <w:right w:val="nil"/>
            </w:tcBorders>
            <w:vAlign w:val="center"/>
          </w:tcPr>
          <w:p w14:paraId="0F2EFBB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0.940</w:t>
            </w:r>
          </w:p>
        </w:tc>
        <w:tc>
          <w:tcPr>
            <w:tcW w:w="1146" w:type="pct"/>
            <w:tcBorders>
              <w:left w:val="nil"/>
              <w:right w:val="nil"/>
            </w:tcBorders>
            <w:vAlign w:val="center"/>
          </w:tcPr>
          <w:p w14:paraId="1205C53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0.936</w:t>
            </w:r>
          </w:p>
        </w:tc>
        <w:tc>
          <w:tcPr>
            <w:tcW w:w="734" w:type="pct"/>
            <w:tcBorders>
              <w:left w:val="nil"/>
              <w:right w:val="nil"/>
            </w:tcBorders>
            <w:vAlign w:val="center"/>
          </w:tcPr>
          <w:p w14:paraId="3156409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0.932</w:t>
            </w:r>
          </w:p>
        </w:tc>
        <w:tc>
          <w:tcPr>
            <w:tcW w:w="499" w:type="pct"/>
            <w:tcBorders>
              <w:left w:val="nil"/>
              <w:right w:val="nil"/>
            </w:tcBorders>
            <w:vAlign w:val="center"/>
          </w:tcPr>
          <w:p w14:paraId="7441FAD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0.937</w:t>
            </w:r>
          </w:p>
        </w:tc>
      </w:tr>
      <w:tr w14:paraId="1ABA8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8" w:type="pct"/>
            <w:tcBorders>
              <w:left w:val="nil"/>
              <w:right w:val="nil"/>
            </w:tcBorders>
            <w:vAlign w:val="center"/>
          </w:tcPr>
          <w:p w14:paraId="767F8E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ESS</w:t>
            </w:r>
          </w:p>
        </w:tc>
        <w:tc>
          <w:tcPr>
            <w:tcW w:w="677" w:type="pct"/>
            <w:tcBorders>
              <w:left w:val="nil"/>
              <w:right w:val="nil"/>
            </w:tcBorders>
            <w:vAlign w:val="center"/>
          </w:tcPr>
          <w:p w14:paraId="1B49771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Daytime sleepiness</w:t>
            </w:r>
          </w:p>
        </w:tc>
        <w:tc>
          <w:tcPr>
            <w:tcW w:w="756" w:type="pct"/>
            <w:tcBorders>
              <w:left w:val="nil"/>
              <w:right w:val="nil"/>
            </w:tcBorders>
            <w:vAlign w:val="center"/>
          </w:tcPr>
          <w:p w14:paraId="1F0626D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8</w:t>
            </w:r>
          </w:p>
        </w:tc>
        <w:tc>
          <w:tcPr>
            <w:tcW w:w="429" w:type="pct"/>
            <w:tcBorders>
              <w:left w:val="nil"/>
              <w:right w:val="nil"/>
            </w:tcBorders>
            <w:vAlign w:val="center"/>
          </w:tcPr>
          <w:p w14:paraId="4CEAAE3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0–24</w:t>
            </w:r>
          </w:p>
        </w:tc>
        <w:tc>
          <w:tcPr>
            <w:tcW w:w="436" w:type="pct"/>
            <w:tcBorders>
              <w:left w:val="nil"/>
              <w:right w:val="nil"/>
            </w:tcBorders>
            <w:vAlign w:val="center"/>
          </w:tcPr>
          <w:p w14:paraId="1018419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0.952</w:t>
            </w:r>
          </w:p>
        </w:tc>
        <w:tc>
          <w:tcPr>
            <w:tcW w:w="1146" w:type="pct"/>
            <w:tcBorders>
              <w:left w:val="nil"/>
              <w:right w:val="nil"/>
            </w:tcBorders>
            <w:vAlign w:val="center"/>
          </w:tcPr>
          <w:p w14:paraId="445DDD2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0.942</w:t>
            </w:r>
          </w:p>
        </w:tc>
        <w:tc>
          <w:tcPr>
            <w:tcW w:w="734" w:type="pct"/>
            <w:tcBorders>
              <w:left w:val="nil"/>
              <w:right w:val="nil"/>
            </w:tcBorders>
            <w:vAlign w:val="center"/>
          </w:tcPr>
          <w:p w14:paraId="3EEB0EB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0.952</w:t>
            </w:r>
          </w:p>
        </w:tc>
        <w:tc>
          <w:tcPr>
            <w:tcW w:w="499" w:type="pct"/>
            <w:tcBorders>
              <w:left w:val="nil"/>
              <w:right w:val="nil"/>
            </w:tcBorders>
            <w:vAlign w:val="center"/>
          </w:tcPr>
          <w:p w14:paraId="6B32557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0.950</w:t>
            </w:r>
          </w:p>
        </w:tc>
      </w:tr>
      <w:tr w14:paraId="09C28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8" w:type="pct"/>
            <w:tcBorders>
              <w:left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126EE9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CPSS-14</w:t>
            </w:r>
          </w:p>
        </w:tc>
        <w:tc>
          <w:tcPr>
            <w:tcW w:w="677" w:type="pct"/>
            <w:tcBorders>
              <w:left w:val="nil"/>
              <w:right w:val="nil"/>
            </w:tcBorders>
            <w:vAlign w:val="center"/>
          </w:tcPr>
          <w:p w14:paraId="0AA90D1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Perceived stress</w:t>
            </w:r>
          </w:p>
        </w:tc>
        <w:tc>
          <w:tcPr>
            <w:tcW w:w="756" w:type="pct"/>
            <w:tcBorders>
              <w:left w:val="nil"/>
              <w:right w:val="nil"/>
            </w:tcBorders>
            <w:vAlign w:val="center"/>
          </w:tcPr>
          <w:p w14:paraId="5480D20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14</w:t>
            </w:r>
          </w:p>
        </w:tc>
        <w:tc>
          <w:tcPr>
            <w:tcW w:w="429" w:type="pct"/>
            <w:tcBorders>
              <w:left w:val="nil"/>
              <w:right w:val="nil"/>
            </w:tcBorders>
            <w:vAlign w:val="center"/>
          </w:tcPr>
          <w:p w14:paraId="6F7AD14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0–56</w:t>
            </w:r>
          </w:p>
        </w:tc>
        <w:tc>
          <w:tcPr>
            <w:tcW w:w="436" w:type="pct"/>
            <w:tcBorders>
              <w:left w:val="nil"/>
              <w:right w:val="nil"/>
            </w:tcBorders>
            <w:vAlign w:val="center"/>
          </w:tcPr>
          <w:p w14:paraId="667B4B9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0.982</w:t>
            </w:r>
          </w:p>
        </w:tc>
        <w:tc>
          <w:tcPr>
            <w:tcW w:w="1146" w:type="pct"/>
            <w:tcBorders>
              <w:left w:val="nil"/>
              <w:right w:val="nil"/>
            </w:tcBorders>
            <w:vAlign w:val="center"/>
          </w:tcPr>
          <w:p w14:paraId="394570A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0.982</w:t>
            </w:r>
          </w:p>
        </w:tc>
        <w:tc>
          <w:tcPr>
            <w:tcW w:w="734" w:type="pct"/>
            <w:tcBorders>
              <w:left w:val="nil"/>
              <w:right w:val="nil"/>
            </w:tcBorders>
            <w:vAlign w:val="center"/>
          </w:tcPr>
          <w:p w14:paraId="4041666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0.982</w:t>
            </w:r>
          </w:p>
        </w:tc>
        <w:tc>
          <w:tcPr>
            <w:tcW w:w="499" w:type="pct"/>
            <w:tcBorders>
              <w:left w:val="nil"/>
              <w:right w:val="nil"/>
            </w:tcBorders>
            <w:vAlign w:val="center"/>
          </w:tcPr>
          <w:p w14:paraId="5078078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0.982</w:t>
            </w:r>
          </w:p>
        </w:tc>
      </w:tr>
      <w:tr w14:paraId="593F0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8" w:type="pct"/>
            <w:tcBorders>
              <w:left w:val="nil"/>
              <w:right w:val="nil"/>
            </w:tcBorders>
            <w:vAlign w:val="center"/>
          </w:tcPr>
          <w:p w14:paraId="02B17E2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SSRS</w:t>
            </w:r>
          </w:p>
        </w:tc>
        <w:tc>
          <w:tcPr>
            <w:tcW w:w="677" w:type="pct"/>
            <w:tcBorders>
              <w:left w:val="nil"/>
              <w:right w:val="nil"/>
            </w:tcBorders>
            <w:vAlign w:val="center"/>
          </w:tcPr>
          <w:p w14:paraId="681612A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Social support</w:t>
            </w:r>
          </w:p>
        </w:tc>
        <w:tc>
          <w:tcPr>
            <w:tcW w:w="756" w:type="pct"/>
            <w:tcBorders>
              <w:left w:val="nil"/>
              <w:right w:val="nil"/>
            </w:tcBorders>
            <w:vAlign w:val="center"/>
          </w:tcPr>
          <w:p w14:paraId="3F87617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10</w:t>
            </w:r>
          </w:p>
        </w:tc>
        <w:tc>
          <w:tcPr>
            <w:tcW w:w="429" w:type="pct"/>
            <w:tcBorders>
              <w:left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334542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12–66</w:t>
            </w:r>
          </w:p>
        </w:tc>
        <w:tc>
          <w:tcPr>
            <w:tcW w:w="436" w:type="pct"/>
            <w:tcBorders>
              <w:left w:val="nil"/>
              <w:right w:val="nil"/>
            </w:tcBorders>
            <w:vAlign w:val="center"/>
          </w:tcPr>
          <w:p w14:paraId="6154B95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0.798</w:t>
            </w:r>
          </w:p>
        </w:tc>
        <w:tc>
          <w:tcPr>
            <w:tcW w:w="1146" w:type="pct"/>
            <w:tcBorders>
              <w:left w:val="nil"/>
              <w:right w:val="nil"/>
            </w:tcBorders>
            <w:vAlign w:val="center"/>
          </w:tcPr>
          <w:p w14:paraId="2FFD74A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0.766</w:t>
            </w:r>
          </w:p>
        </w:tc>
        <w:tc>
          <w:tcPr>
            <w:tcW w:w="734" w:type="pct"/>
            <w:tcBorders>
              <w:left w:val="nil"/>
              <w:right w:val="nil"/>
            </w:tcBorders>
            <w:vAlign w:val="center"/>
          </w:tcPr>
          <w:p w14:paraId="0CC1F22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0.800</w:t>
            </w:r>
          </w:p>
        </w:tc>
        <w:tc>
          <w:tcPr>
            <w:tcW w:w="499" w:type="pct"/>
            <w:tcBorders>
              <w:left w:val="nil"/>
              <w:right w:val="nil"/>
            </w:tcBorders>
            <w:vAlign w:val="center"/>
          </w:tcPr>
          <w:p w14:paraId="0DE8415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0.793</w:t>
            </w:r>
          </w:p>
        </w:tc>
      </w:tr>
      <w:tr w14:paraId="156CD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1E0A445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PSQI</w:t>
            </w:r>
          </w:p>
        </w:tc>
        <w:tc>
          <w:tcPr>
            <w:tcW w:w="677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3AF74A9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Sleep quality</w:t>
            </w:r>
          </w:p>
        </w:tc>
        <w:tc>
          <w:tcPr>
            <w:tcW w:w="756" w:type="pct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050EF2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7 components</w:t>
            </w:r>
          </w:p>
        </w:tc>
        <w:tc>
          <w:tcPr>
            <w:tcW w:w="429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1B00442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0–21</w:t>
            </w:r>
          </w:p>
        </w:tc>
        <w:tc>
          <w:tcPr>
            <w:tcW w:w="436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5E7C8F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0.969</w:t>
            </w:r>
          </w:p>
        </w:tc>
        <w:tc>
          <w:tcPr>
            <w:tcW w:w="1146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6CEF5B5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0.960</w:t>
            </w:r>
          </w:p>
        </w:tc>
        <w:tc>
          <w:tcPr>
            <w:tcW w:w="73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11A1BFF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0.969</w:t>
            </w:r>
          </w:p>
        </w:tc>
        <w:tc>
          <w:tcPr>
            <w:tcW w:w="499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6A48BC0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0.967</w:t>
            </w:r>
          </w:p>
        </w:tc>
      </w:tr>
    </w:tbl>
    <w:p w14:paraId="05CA71E6">
      <w:pPr>
        <w:spacing w:before="80" w:after="0" w:line="240" w:lineRule="auto"/>
      </w:pPr>
      <w:bookmarkStart w:id="0" w:name="_GoBack"/>
      <w:r>
        <w:rPr>
          <w:rFonts w:ascii="Times New Roman" w:hAnsi="Times New Roman" w:eastAsia="Times New Roman"/>
          <w:sz w:val="18"/>
          <w:szCs w:val="24"/>
          <w:highlight w:val="none"/>
        </w:rPr>
        <w:t xml:space="preserve">Note. (A) evaluates the random split of the Changchun development </w:t>
      </w:r>
      <w:r>
        <w:rPr>
          <w:rFonts w:hint="eastAsia" w:eastAsia="宋体"/>
          <w:sz w:val="18"/>
          <w:szCs w:val="24"/>
          <w:highlight w:val="none"/>
          <w:lang w:eastAsia="zh-CN"/>
        </w:rPr>
        <w:t>sample</w:t>
      </w:r>
      <w:r>
        <w:rPr>
          <w:rFonts w:ascii="Times New Roman" w:hAnsi="Times New Roman" w:eastAsia="Times New Roman"/>
          <w:sz w:val="18"/>
          <w:szCs w:val="24"/>
          <w:highlight w:val="none"/>
        </w:rPr>
        <w:t>. (B) reports Cronbach's alpha. Cronbach's alpha was calculated from item-level scores for PHQ-9, GAD-7, ESS, CPSS-14, and SSRS. For PSQI, reliability was calculated from the seven component scores; therefore, '7 components' is reported rather than '7 items'. The SSRS comprises 10 items and has a theoretical total-score range of 12–66. PHQ-9, Patient Health Questionnaire-9; GAD-7, Generalized Anxiety Disorder-7; ESS, Epworth Sleepiness Scale; CPSS-14, 14-item Chinese Perceived Stress Scale; SSRS, Social Support Rating Scale; PSQI, Pittsburgh Sleep Quality Index.</w:t>
      </w:r>
      <w:r>
        <w:rPr>
          <w:sz w:val="18"/>
          <w:szCs w:val="24"/>
          <w:highlight w:val="none"/>
        </w:rPr>
        <w:t xml:space="preserve"> OSA severity is included only for descriptive split-balance reporting and was excluded from feature selection and model development because it is derived directly from AHI.</w:t>
      </w:r>
      <w:bookmarkEnd w:id="0"/>
    </w:p>
    <w:sectPr>
      <w:pgSz w:w="16834" w:h="11909" w:orient="landscape"/>
      <w:pgMar w:top="576" w:right="576" w:bottom="576" w:left="57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FA26A7"/>
    <w:rsid w:val="0C6A51FE"/>
    <w:rsid w:val="11591E78"/>
    <w:rsid w:val="39854A0A"/>
    <w:rsid w:val="45653188"/>
    <w:rsid w:val="7547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7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863</Words>
  <Characters>4601</Characters>
  <Lines>0</Lines>
  <Paragraphs>0</Paragraphs>
  <TotalTime>1</TotalTime>
  <ScaleCrop>false</ScaleCrop>
  <LinksUpToDate>false</LinksUpToDate>
  <CharactersWithSpaces>5093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2026-08-27T13:57:04Z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92FD2815FD404A6F9CD13A36D1396FC7_12</vt:lpwstr>
  </property>
</Properties>
</file>