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146F6">
      <w:pPr>
        <w:keepNext/>
        <w:spacing w:after="100"/>
        <w:jc w:val="center"/>
        <w:rPr>
          <w:rFonts w:hint="eastAsia" w:eastAsia="宋体"/>
          <w:lang w:eastAsia="zh-CN"/>
        </w:rPr>
      </w:pPr>
      <w:r>
        <w:rPr>
          <w:rFonts w:ascii="Times New Roman" w:hAnsi="Times New Roman" w:eastAsia="Times New Roman"/>
          <w:b/>
          <w:sz w:val="21"/>
        </w:rPr>
        <w:t>Supplementary Table S</w:t>
      </w:r>
      <w:r>
        <w:rPr>
          <w:rFonts w:hint="eastAsia" w:eastAsia="宋体"/>
          <w:b/>
          <w:sz w:val="21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Times New Roman"/>
          <w:b/>
          <w:sz w:val="21"/>
        </w:rPr>
        <w:t xml:space="preserve">. Case-mix comparison between the Changchun development </w:t>
      </w:r>
      <w:r>
        <w:rPr>
          <w:rFonts w:hint="eastAsia" w:eastAsia="宋体"/>
          <w:b/>
          <w:sz w:val="21"/>
          <w:lang w:eastAsia="zh-CN"/>
        </w:rPr>
        <w:t>sample</w:t>
      </w:r>
      <w:r>
        <w:rPr>
          <w:rFonts w:ascii="Times New Roman" w:hAnsi="Times New Roman" w:eastAsia="Times New Roman"/>
          <w:b/>
          <w:sz w:val="21"/>
        </w:rPr>
        <w:t xml:space="preserve"> and the Shenzhen external-validation </w:t>
      </w:r>
      <w:r>
        <w:rPr>
          <w:rFonts w:hint="eastAsia" w:eastAsia="宋体"/>
          <w:b/>
          <w:sz w:val="21"/>
          <w:lang w:eastAsia="zh-CN"/>
        </w:rPr>
        <w:t>sample</w:t>
      </w:r>
    </w:p>
    <w:p w14:paraId="44693D6C">
      <w:pPr>
        <w:keepNext/>
        <w:spacing w:before="80" w:after="60"/>
      </w:pPr>
      <w:r>
        <w:rPr>
          <w:rFonts w:hint="eastAsia" w:eastAsia="宋体"/>
          <w:b/>
          <w:sz w:val="18"/>
          <w:lang w:val="en-US" w:eastAsia="zh-CN"/>
        </w:rPr>
        <w:t>(</w:t>
      </w:r>
      <w:r>
        <w:rPr>
          <w:rFonts w:ascii="Times New Roman" w:hAnsi="Times New Roman"/>
          <w:b/>
          <w:sz w:val="18"/>
        </w:rPr>
        <w:t>A</w:t>
      </w:r>
      <w:r>
        <w:rPr>
          <w:rFonts w:hint="eastAsia" w:eastAsia="宋体"/>
          <w:b/>
          <w:sz w:val="18"/>
          <w:lang w:val="en-US" w:eastAsia="zh-CN"/>
        </w:rPr>
        <w:t>)</w:t>
      </w:r>
      <w:r>
        <w:rPr>
          <w:rFonts w:ascii="Times New Roman" w:hAnsi="Times New Roman"/>
          <w:b/>
          <w:sz w:val="18"/>
        </w:rPr>
        <w:t>. Continuous variables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9"/>
        <w:gridCol w:w="3623"/>
        <w:gridCol w:w="3623"/>
        <w:gridCol w:w="1914"/>
        <w:gridCol w:w="1447"/>
        <w:gridCol w:w="2487"/>
      </w:tblGrid>
      <w:tr w14:paraId="1454F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CFFB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>Variable</w:t>
            </w:r>
          </w:p>
        </w:tc>
        <w:tc>
          <w:tcPr>
            <w:tcW w:w="111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F83D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>Changchun (n=400)</w:t>
            </w:r>
          </w:p>
        </w:tc>
        <w:tc>
          <w:tcPr>
            <w:tcW w:w="111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48A5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>Shenzhen (n=192)</w:t>
            </w:r>
          </w:p>
        </w:tc>
        <w:tc>
          <w:tcPr>
            <w:tcW w:w="591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3C9A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>Statistic</w:t>
            </w:r>
          </w:p>
        </w:tc>
        <w:tc>
          <w:tcPr>
            <w:tcW w:w="44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57F3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i/>
                <w:iCs/>
                <w:sz w:val="15"/>
                <w:szCs w:val="24"/>
              </w:rPr>
              <w:t>P</w:t>
            </w: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 xml:space="preserve"> value</w:t>
            </w:r>
          </w:p>
        </w:tc>
        <w:tc>
          <w:tcPr>
            <w:tcW w:w="76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99DB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15"/>
                <w:szCs w:val="24"/>
              </w:rPr>
              <w:t>Absolute SMD</w:t>
            </w:r>
          </w:p>
        </w:tc>
      </w:tr>
      <w:tr w14:paraId="657D1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419BD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Age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5D2E7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43.50 (36.00, 54.00)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64150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42.00 (36.00, 54.25)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7C323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U=38419.0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427E5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0.992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6AF2F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0.019</w:t>
            </w:r>
          </w:p>
        </w:tc>
      </w:tr>
      <w:tr w14:paraId="16633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5AC1A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OSA duration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09AEA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15.00 (10.00, 20.00)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461DA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14.50 (10.00, 25.00)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128E2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U=38078.0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24DF2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0.868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4E2C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0.039</w:t>
            </w:r>
          </w:p>
        </w:tc>
      </w:tr>
      <w:tr w14:paraId="34FED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7BF37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AHI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4A379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27.10 (21.32, 45.23)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5CD5F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27.10 (21.22, 45.25)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5710E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U=38531.0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1A7B1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0.947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4CF97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0.018</w:t>
            </w:r>
          </w:p>
        </w:tc>
      </w:tr>
      <w:tr w14:paraId="675B9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3306C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ODI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68F84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24.55 (17.95, 41.40)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039EB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24.50 (18.48, 41.65)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311C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U=38501.0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0C0D4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0.959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1104B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0.019</w:t>
            </w:r>
          </w:p>
        </w:tc>
      </w:tr>
      <w:tr w14:paraId="6D665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76A58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Total sleep time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0621C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408.35 (394.02, 480.00)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48EEB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408.80 (394.70, 480.00)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1AD7A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U=37770.0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47877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0.747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7B915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0.022</w:t>
            </w:r>
          </w:p>
        </w:tc>
      </w:tr>
      <w:tr w14:paraId="5DE67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1D2A8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MSaO₂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2103F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92.80 (90.20, 94.10)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4A5D0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92.80 (90.20, 94.10)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16C29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U=38725.5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2A159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0.867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133FD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0.050</w:t>
            </w:r>
          </w:p>
        </w:tc>
      </w:tr>
      <w:tr w14:paraId="50971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4F321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LSaO₂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698FD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76.00 (66.75, 83.00)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615D7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76.00 (67.00, 83.00)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352C3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U=37835.5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7331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0.772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16194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0.029</w:t>
            </w:r>
          </w:p>
        </w:tc>
      </w:tr>
      <w:tr w14:paraId="22459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4C081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PHQ-9 total score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71B4E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7.00 (4.00, 12.00)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79661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7.50 (4.00, 12.00)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7B378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U=38279.5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28C2C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0.951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0D8F3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0.008</w:t>
            </w:r>
          </w:p>
        </w:tc>
      </w:tr>
      <w:tr w14:paraId="7959F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590AC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GAD-7 total score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37D7E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11.00 (6.75, 15.00)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53370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12.00 (7.00, 16.00)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534D7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U=37636.0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6E15F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0.695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40C42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0.035</w:t>
            </w:r>
          </w:p>
        </w:tc>
      </w:tr>
      <w:tr w14:paraId="5C7B1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3D5F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ESS total score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7DAEB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12.00 (5.00, 15.00)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4156D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12.00 (5.00, 15.25)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3DCD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U=38728.0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015E0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0.866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37F75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0.010</w:t>
            </w:r>
          </w:p>
        </w:tc>
      </w:tr>
      <w:tr w14:paraId="4774E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13F7F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hint="eastAsia" w:eastAsia="宋体"/>
                <w:sz w:val="18"/>
                <w:szCs w:val="24"/>
                <w:lang w:eastAsia="zh-CN"/>
              </w:rPr>
            </w:pPr>
            <w:r>
              <w:rPr>
                <w:rFonts w:hint="eastAsia" w:eastAsia="宋体"/>
                <w:b w:val="0"/>
                <w:sz w:val="15"/>
                <w:szCs w:val="24"/>
                <w:lang w:eastAsia="zh-CN"/>
              </w:rPr>
              <w:t>CPSS-14 total score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599D9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34.00 (24.00, 44.00)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15984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33.00 (22.75, 43.00)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435C7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U=39409.0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7C3D0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0.605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32B3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0.048</w:t>
            </w:r>
          </w:p>
        </w:tc>
      </w:tr>
      <w:tr w14:paraId="706BA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right w:val="nil"/>
            </w:tcBorders>
            <w:vAlign w:val="center"/>
          </w:tcPr>
          <w:p w14:paraId="3A291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SSRS total score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6D012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45.00 (25.00, 50.00)</w:t>
            </w:r>
          </w:p>
        </w:tc>
        <w:tc>
          <w:tcPr>
            <w:tcW w:w="1119" w:type="pct"/>
            <w:tcBorders>
              <w:left w:val="nil"/>
              <w:right w:val="nil"/>
            </w:tcBorders>
            <w:vAlign w:val="center"/>
          </w:tcPr>
          <w:p w14:paraId="38A21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45.00 (24.00, 50.00)</w:t>
            </w:r>
          </w:p>
        </w:tc>
        <w:tc>
          <w:tcPr>
            <w:tcW w:w="591" w:type="pct"/>
            <w:tcBorders>
              <w:left w:val="nil"/>
              <w:right w:val="nil"/>
            </w:tcBorders>
            <w:vAlign w:val="center"/>
          </w:tcPr>
          <w:p w14:paraId="26BF0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U=37456.5</w:t>
            </w:r>
          </w:p>
        </w:tc>
        <w:tc>
          <w:tcPr>
            <w:tcW w:w="447" w:type="pct"/>
            <w:tcBorders>
              <w:left w:val="nil"/>
              <w:right w:val="nil"/>
            </w:tcBorders>
            <w:vAlign w:val="center"/>
          </w:tcPr>
          <w:p w14:paraId="7F8E5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0.628</w:t>
            </w:r>
          </w:p>
        </w:tc>
        <w:tc>
          <w:tcPr>
            <w:tcW w:w="768" w:type="pct"/>
            <w:tcBorders>
              <w:left w:val="nil"/>
              <w:right w:val="nil"/>
            </w:tcBorders>
            <w:vAlign w:val="center"/>
          </w:tcPr>
          <w:p w14:paraId="2B823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0.009</w:t>
            </w:r>
          </w:p>
        </w:tc>
      </w:tr>
      <w:tr w14:paraId="621D3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D917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PSQI total score</w:t>
            </w:r>
          </w:p>
        </w:tc>
        <w:tc>
          <w:tcPr>
            <w:tcW w:w="111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05DD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11.00 (5.00, 17.00)</w:t>
            </w:r>
          </w:p>
        </w:tc>
        <w:tc>
          <w:tcPr>
            <w:tcW w:w="111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BF88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11.00 (5.00, 17.00)</w:t>
            </w:r>
          </w:p>
        </w:tc>
        <w:tc>
          <w:tcPr>
            <w:tcW w:w="591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B451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U=38430.0</w:t>
            </w:r>
          </w:p>
        </w:tc>
        <w:tc>
          <w:tcPr>
            <w:tcW w:w="447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97E6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0.988</w:t>
            </w:r>
          </w:p>
        </w:tc>
        <w:tc>
          <w:tcPr>
            <w:tcW w:w="76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EB38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sz w:val="18"/>
                <w:szCs w:val="24"/>
              </w:rPr>
            </w:pPr>
            <w:r>
              <w:rPr>
                <w:rFonts w:ascii="Times New Roman" w:hAnsi="Times New Roman" w:eastAsia="Times New Roman"/>
                <w:b w:val="0"/>
                <w:sz w:val="15"/>
                <w:szCs w:val="24"/>
              </w:rPr>
              <w:t>0.002</w:t>
            </w:r>
          </w:p>
        </w:tc>
      </w:tr>
    </w:tbl>
    <w:p w14:paraId="5ABC3EF1">
      <w:pPr>
        <w:keepNext/>
        <w:spacing w:before="80" w:after="60"/>
      </w:pPr>
      <w:r>
        <w:rPr>
          <w:rFonts w:hint="eastAsia" w:eastAsia="宋体"/>
          <w:b/>
          <w:sz w:val="18"/>
          <w:lang w:val="en-US" w:eastAsia="zh-CN"/>
        </w:rPr>
        <w:t>(</w:t>
      </w:r>
      <w:r>
        <w:rPr>
          <w:rFonts w:ascii="Times New Roman" w:hAnsi="Times New Roman"/>
          <w:b/>
          <w:sz w:val="18"/>
        </w:rPr>
        <w:t>B</w:t>
      </w:r>
      <w:r>
        <w:rPr>
          <w:rFonts w:hint="eastAsia" w:eastAsia="宋体"/>
          <w:b/>
          <w:sz w:val="18"/>
          <w:lang w:val="en-US" w:eastAsia="zh-CN"/>
        </w:rPr>
        <w:t>)</w:t>
      </w:r>
      <w:r>
        <w:rPr>
          <w:rFonts w:ascii="Times New Roman" w:hAnsi="Times New Roman"/>
          <w:b/>
          <w:sz w:val="18"/>
        </w:rPr>
        <w:t>. Categorical variables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0"/>
        <w:gridCol w:w="5334"/>
        <w:gridCol w:w="5130"/>
        <w:gridCol w:w="981"/>
        <w:gridCol w:w="920"/>
        <w:gridCol w:w="1558"/>
      </w:tblGrid>
      <w:tr w14:paraId="5A868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9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EC0AD3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Variable</w:t>
            </w:r>
          </w:p>
        </w:tc>
        <w:tc>
          <w:tcPr>
            <w:tcW w:w="164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AA4BDB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Changchun (n=400)</w:t>
            </w:r>
          </w:p>
        </w:tc>
        <w:tc>
          <w:tcPr>
            <w:tcW w:w="158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B08773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Shenzhen (n=192)</w:t>
            </w:r>
          </w:p>
        </w:tc>
        <w:tc>
          <w:tcPr>
            <w:tcW w:w="303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D93545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Statistic</w:t>
            </w:r>
          </w:p>
        </w:tc>
        <w:tc>
          <w:tcPr>
            <w:tcW w:w="284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58C21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16"/>
              </w:rPr>
              <w:t>P</w:t>
            </w: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 xml:space="preserve"> value</w:t>
            </w:r>
          </w:p>
        </w:tc>
        <w:tc>
          <w:tcPr>
            <w:tcW w:w="481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375E7A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16"/>
              </w:rPr>
              <w:t>Absolute SMD</w:t>
            </w:r>
          </w:p>
        </w:tc>
      </w:tr>
      <w:tr w14:paraId="4BEB0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15FFC909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Sex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5AA4EB6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362 (90.5%); 2: 38 (9.5%)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0A7C10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179 (93.2%); 2: 13 (6.8%)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2922FCC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χ²=0.91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517D9EB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0.341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2EC323D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0.100</w:t>
            </w:r>
          </w:p>
        </w:tc>
      </w:tr>
      <w:tr w14:paraId="3DB89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14F64CEA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Education level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3C8F7B9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119 (29.8%); 2: 115 (28.8%); 3: 166 (41.5%)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60FD5F9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55 (28.6%); 2: 59 (30.7%); 3: 78 (40.6%)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4DB7643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χ²=0.25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6E1A77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0.882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35A01BE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0.043</w:t>
            </w:r>
          </w:p>
        </w:tc>
      </w:tr>
      <w:tr w14:paraId="56CB3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02A72928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Marital status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4D7A9CE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239 (59.8%); 2: 72 (18.0%); 3: 56 (14.0%); 4: 33 (8.2%)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6E39DD7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110 (57.3%); 2: 37 (19.3%); 3: 30 (15.6%); 4: 15 (7.8%)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646CEF4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χ²=0.51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3C008DA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0.916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4055B09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0.050</w:t>
            </w:r>
          </w:p>
        </w:tc>
      </w:tr>
      <w:tr w14:paraId="79B6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1AB32261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Income status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34A3945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171 (42.8%); 2: 67 (16.8%); 3: 113 (28.2%); 4: 49 (12.2%)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0C802A7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82 (42.7%); 2: 29 (15.1%); 3: 54 (28.1%); 4: 27 (14.1%)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77DA03B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χ²=0.55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0BB744A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0.908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46B7272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0.054</w:t>
            </w:r>
          </w:p>
        </w:tc>
      </w:tr>
      <w:tr w14:paraId="23F15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62C418D9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BMI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4EA5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86 (21.5%); 2: 107 (26.8%); 3: 207 (51.8%)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232E138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41 (21.4%); 2: 53 (27.6%); 3: 98 (51.0%)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60F9558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χ²=0.05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2414243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0.976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1CDEF85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0.019</w:t>
            </w:r>
          </w:p>
        </w:tc>
      </w:tr>
      <w:tr w14:paraId="7822D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54D936AD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Smoking status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01DA50D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107 (26.8%); 2: 143 (35.8%); 3: 150 (37.5%)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5C559FB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53 (27.6%); 2: 68 (35.4%); 3: 71 (37.0%)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7395952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χ²=0.05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195A0D1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0.976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7028065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0.019</w:t>
            </w:r>
          </w:p>
        </w:tc>
      </w:tr>
      <w:tr w14:paraId="59FE3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5BCE16B5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Alcohol consumption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0B8D9BB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104 (26.0%); 2: 90 (22.5%); 3: 206 (51.5%)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17E2A00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52 (27.1%); 2: 43 (22.4%); 3: 97 (50.5%)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696C8A3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χ²=0.08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2C7D1F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0.959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57E4EC8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0.025</w:t>
            </w:r>
          </w:p>
        </w:tc>
      </w:tr>
      <w:tr w14:paraId="7B5B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760E40E2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Coffee consumption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0ADCDCC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226 (56.5%); 2: 23 (5.8%); 3: 151 (37.8%)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39CC5AF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102 (53.1%); 2: 15 (7.8%); 3: 75 (39.1%)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369F18C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χ²=1.18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1A523E7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0.553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5AA5008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0.082</w:t>
            </w:r>
          </w:p>
        </w:tc>
      </w:tr>
      <w:tr w14:paraId="03A11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2575C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Physical activity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3ECC054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194 (48.5%); 2: 163 (40.8%); 3: 43 (10.8%)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24988A2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95 (49.5%); 2: 78 (40.6%); 3: 19 (9.9%)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74751E3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χ²=0.12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5C0755D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0.943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7A228F2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0.028</w:t>
            </w:r>
          </w:p>
        </w:tc>
      </w:tr>
      <w:tr w14:paraId="3F5A2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5F019F37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Hypertension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39FA6EF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174 (43.5%); 1: 226 (56.5%)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7E130BA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83 (43.2%); 1: 109 (56.8%)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486A86F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χ²=0.00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42D2BE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1.000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7403C47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0.005</w:t>
            </w:r>
          </w:p>
        </w:tc>
      </w:tr>
      <w:tr w14:paraId="20A56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456FD521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Diabetes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6D332C0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354 (88.5%); 1: 46 (11.5%)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28B43AC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173 (90.1%); 1: 19 (9.9%)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6E834C2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χ²=0.20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64443DD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0.657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44791EE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0.052</w:t>
            </w:r>
          </w:p>
        </w:tc>
      </w:tr>
      <w:tr w14:paraId="44FAD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4B8D6227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Heart disease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197BBFC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327 (81.8%); 1: 73 (18.2%)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15A7F06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156 (81.2%); 1: 36 (18.8%)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0ECE8B6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χ²=0.00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39C7B8D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0.973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4786F42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0.013</w:t>
            </w:r>
          </w:p>
        </w:tc>
      </w:tr>
      <w:tr w14:paraId="102D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071BE60C">
            <w:pPr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</w:rPr>
              <w:t>Cerebrovascular disease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5914435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318 (79.5%); 1: 82 (20.5%)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601B2E6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155 (80.7%); 1: 37 (19.3%)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40099E2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χ²=0.06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68CC244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0.810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24C8B99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0.031</w:t>
            </w:r>
          </w:p>
        </w:tc>
      </w:tr>
      <w:tr w14:paraId="42352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6D27F5D2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Hyperlipidemia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736B694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260 (65.0%); 1: 140 (35.0%)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493433B9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122 (63.5%); 1: 70 (36.5%)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4C3B205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χ²=0.07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69472DB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0.798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1A8B066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0.030</w:t>
            </w:r>
          </w:p>
        </w:tc>
      </w:tr>
      <w:tr w14:paraId="5487E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18788D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OSA severity</w:t>
            </w:r>
          </w:p>
        </w:tc>
        <w:tc>
          <w:tcPr>
            <w:tcW w:w="1647" w:type="pct"/>
            <w:tcBorders>
              <w:left w:val="nil"/>
              <w:right w:val="nil"/>
            </w:tcBorders>
            <w:vAlign w:val="center"/>
          </w:tcPr>
          <w:p w14:paraId="0DB4445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78 (19.5%); 2: 175 (43.8%); 3: 147 (36.8%)</w:t>
            </w:r>
          </w:p>
        </w:tc>
        <w:tc>
          <w:tcPr>
            <w:tcW w:w="1584" w:type="pct"/>
            <w:tcBorders>
              <w:left w:val="nil"/>
              <w:right w:val="nil"/>
            </w:tcBorders>
            <w:vAlign w:val="center"/>
          </w:tcPr>
          <w:p w14:paraId="4FDBB25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1: 39 (20.3%); 2: 84 (43.8%); 3: 69 (35.9%)</w:t>
            </w:r>
          </w:p>
        </w:tc>
        <w:tc>
          <w:tcPr>
            <w:tcW w:w="303" w:type="pct"/>
            <w:tcBorders>
              <w:left w:val="nil"/>
              <w:right w:val="nil"/>
            </w:tcBorders>
            <w:vAlign w:val="center"/>
          </w:tcPr>
          <w:p w14:paraId="0D8D02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χ²=0.07</w:t>
            </w: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14:paraId="6EB2B37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0.967</w:t>
            </w:r>
          </w:p>
        </w:tc>
        <w:tc>
          <w:tcPr>
            <w:tcW w:w="481" w:type="pct"/>
            <w:tcBorders>
              <w:left w:val="nil"/>
              <w:right w:val="nil"/>
            </w:tcBorders>
            <w:vAlign w:val="center"/>
          </w:tcPr>
          <w:p w14:paraId="32C3DFE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0.020</w:t>
            </w:r>
          </w:p>
        </w:tc>
      </w:tr>
      <w:tr w14:paraId="09980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9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2E4B7B6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Result</w:t>
            </w:r>
          </w:p>
        </w:tc>
        <w:tc>
          <w:tcPr>
            <w:tcW w:w="1647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8881BA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269 (67.2%); 1: 131 (32.8%)</w:t>
            </w:r>
          </w:p>
        </w:tc>
        <w:tc>
          <w:tcPr>
            <w:tcW w:w="158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C20C66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0: 135 (70.3%); 1: 57 (29.7%)</w:t>
            </w:r>
          </w:p>
        </w:tc>
        <w:tc>
          <w:tcPr>
            <w:tcW w:w="303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4FBFE00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χ²=0.43</w:t>
            </w:r>
          </w:p>
        </w:tc>
        <w:tc>
          <w:tcPr>
            <w:tcW w:w="284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406966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0.512</w:t>
            </w:r>
          </w:p>
        </w:tc>
        <w:tc>
          <w:tcPr>
            <w:tcW w:w="481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D37E70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16"/>
              </w:rPr>
              <w:t>0.055</w:t>
            </w:r>
          </w:p>
        </w:tc>
      </w:tr>
    </w:tbl>
    <w:p w14:paraId="1C1212A4">
      <w:pPr>
        <w:spacing w:before="80" w:after="0"/>
      </w:pPr>
      <w:r>
        <w:rPr>
          <w:rFonts w:ascii="Times New Roman" w:hAnsi="Times New Roman"/>
          <w:i/>
          <w:sz w:val="16"/>
        </w:rPr>
        <w:t xml:space="preserve">Note. </w:t>
      </w:r>
      <w:r>
        <w:rPr>
          <w:rFonts w:ascii="Times New Roman" w:hAnsi="Times New Roman"/>
          <w:sz w:val="16"/>
        </w:rPr>
        <w:t>For continuous variables, absolute SMD was calculated using the pooled standard deviation. For categorical variables, the reported absolute SMD is the maximum category-specific binary SMD across levels. SMD &lt;0.10 indicates minimal imbalance, 0.10-0.20 mild imbalance, and &gt;0.20 warrants closer consideration. OSA severity, ODI, LSaO₂, and OSA duration are shown descriptively but were not entered into the final AHI-only feature-selection pipeline.</w:t>
      </w:r>
    </w:p>
    <w:sectPr>
      <w:pgSz w:w="16834" w:h="11909" w:orient="landscape"/>
      <w:pgMar w:top="432" w:right="432" w:bottom="432" w:left="43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AE258A9"/>
    <w:rsid w:val="1B88038B"/>
    <w:rsid w:val="3A6472F0"/>
    <w:rsid w:val="4C25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579</Words>
  <Characters>3024</Characters>
  <Lines>0</Lines>
  <Paragraphs>0</Paragraphs>
  <TotalTime>2</TotalTime>
  <ScaleCrop>false</ScaleCrop>
  <LinksUpToDate>false</LinksUpToDate>
  <CharactersWithSpaces>3413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2026-08-11T03:55:34Z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C59D8DD4880B42D583887BDF288E684B_12</vt:lpwstr>
  </property>
</Properties>
</file>