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F460F">
      <w:pPr>
        <w:spacing w:before="0" w:after="40" w:line="228" w:lineRule="auto"/>
        <w:jc w:val="center"/>
        <w:rPr>
          <w:b/>
          <w:bCs/>
          <w:sz w:val="21"/>
          <w:szCs w:val="28"/>
          <w:highlight w:val="none"/>
        </w:rPr>
      </w:pPr>
      <w:r>
        <w:rPr>
          <w:b/>
          <w:bCs/>
          <w:sz w:val="21"/>
          <w:szCs w:val="28"/>
          <w:highlight w:val="none"/>
        </w:rPr>
        <w:t>Supplementary Table S10. Retrospective operational specification, data provenance, and reproducibility limits of the primary MCI outcome ascertainment</w:t>
      </w:r>
    </w:p>
    <w:p w14:paraId="086FE9D3">
      <w:pPr>
        <w:spacing w:before="0" w:after="40" w:line="228" w:lineRule="auto"/>
        <w:jc w:val="center"/>
        <w:rPr>
          <w:b/>
          <w:bCs/>
          <w:sz w:val="21"/>
          <w:szCs w:val="28"/>
          <w:highlight w:val="none"/>
        </w:rPr>
      </w:pPr>
      <w:bookmarkStart w:id="0" w:name="_GoBack"/>
      <w:r>
        <w:rPr>
          <w:rFonts w:hint="eastAsia"/>
          <w:b/>
          <w:bCs/>
          <w:sz w:val="21"/>
          <w:szCs w:val="28"/>
          <w:highlight w:val="none"/>
        </w:rPr>
        <w:t>This is a retrospective operational specification for transparency only. It is NOT the original study-period CRF, is NOT a directly reusable diagnostic manual, and the primary MCI outcome cannot be reproduced from questionnaire/scale scores alone.</w:t>
      </w:r>
    </w:p>
    <w:bookmarkEnd w:id="0"/>
    <w:tbl>
      <w:tblPr>
        <w:tblStyle w:val="32"/>
        <w:tblW w:w="5000" w:type="pct"/>
        <w:jc w:val="center"/>
        <w:tblLayout w:type="autofit"/>
        <w:tblCellMar>
          <w:top w:w="0" w:type="dxa"/>
          <w:left w:w="108" w:type="dxa"/>
          <w:bottom w:w="0" w:type="dxa"/>
          <w:right w:w="108" w:type="dxa"/>
        </w:tblCellMar>
      </w:tblPr>
      <w:tblGrid>
        <w:gridCol w:w="1915"/>
        <w:gridCol w:w="6975"/>
        <w:gridCol w:w="2513"/>
        <w:gridCol w:w="4495"/>
      </w:tblGrid>
      <w:tr w14:paraId="5A4CE711">
        <w:tblPrEx>
          <w:tblCellMar>
            <w:top w:w="0" w:type="dxa"/>
            <w:left w:w="108" w:type="dxa"/>
            <w:bottom w:w="0" w:type="dxa"/>
            <w:right w:w="108" w:type="dxa"/>
          </w:tblCellMar>
        </w:tblPrEx>
        <w:trPr>
          <w:cantSplit/>
          <w:tblHeader/>
          <w:jc w:val="center"/>
        </w:trPr>
        <w:tc>
          <w:tcPr>
            <w:tcW w:w="602" w:type="pct"/>
            <w:tcBorders>
              <w:top w:val="single" w:color="000000" w:sz="8" w:space="0"/>
              <w:left w:val="nil"/>
              <w:bottom w:val="single" w:color="000000" w:sz="8" w:space="0"/>
              <w:right w:val="nil"/>
              <w:insideH w:val="nil"/>
              <w:insideV w:val="nil"/>
            </w:tcBorders>
            <w:vAlign w:val="center"/>
          </w:tcPr>
          <w:p w14:paraId="5CB81BFF">
            <w:pPr>
              <w:jc w:val="center"/>
              <w:rPr>
                <w:b/>
                <w:bCs/>
                <w:highlight w:val="none"/>
              </w:rPr>
            </w:pPr>
            <w:r>
              <w:rPr>
                <w:b/>
                <w:bCs/>
                <w:highlight w:val="none"/>
              </w:rPr>
              <w:t>Criterion / field</w:t>
            </w:r>
          </w:p>
        </w:tc>
        <w:tc>
          <w:tcPr>
            <w:tcW w:w="2193" w:type="pct"/>
            <w:tcBorders>
              <w:top w:val="single" w:color="000000" w:sz="8" w:space="0"/>
              <w:left w:val="nil"/>
              <w:bottom w:val="single" w:color="000000" w:sz="8" w:space="0"/>
              <w:right w:val="nil"/>
              <w:insideH w:val="nil"/>
              <w:insideV w:val="nil"/>
            </w:tcBorders>
            <w:vAlign w:val="center"/>
          </w:tcPr>
          <w:p w14:paraId="5058E734">
            <w:pPr>
              <w:jc w:val="center"/>
              <w:rPr>
                <w:b/>
                <w:bCs/>
                <w:highlight w:val="none"/>
              </w:rPr>
            </w:pPr>
            <w:r>
              <w:rPr>
                <w:b/>
                <w:bCs/>
                <w:highlight w:val="none"/>
              </w:rPr>
              <w:t>Operational specification</w:t>
            </w:r>
          </w:p>
        </w:tc>
        <w:tc>
          <w:tcPr>
            <w:tcW w:w="790" w:type="pct"/>
            <w:tcBorders>
              <w:top w:val="single" w:color="000000" w:sz="8" w:space="0"/>
              <w:left w:val="nil"/>
              <w:bottom w:val="single" w:color="000000" w:sz="8" w:space="0"/>
              <w:right w:val="nil"/>
              <w:insideH w:val="nil"/>
              <w:insideV w:val="nil"/>
            </w:tcBorders>
            <w:vAlign w:val="center"/>
          </w:tcPr>
          <w:p w14:paraId="2B2CD120">
            <w:pPr>
              <w:jc w:val="center"/>
              <w:rPr>
                <w:b/>
                <w:bCs/>
                <w:highlight w:val="none"/>
              </w:rPr>
            </w:pPr>
            <w:r>
              <w:rPr>
                <w:b/>
                <w:bCs/>
                <w:highlight w:val="none"/>
              </w:rPr>
              <w:t>Evidence source</w:t>
            </w:r>
          </w:p>
        </w:tc>
        <w:tc>
          <w:tcPr>
            <w:tcW w:w="1413" w:type="pct"/>
            <w:tcBorders>
              <w:top w:val="single" w:color="000000" w:sz="8" w:space="0"/>
              <w:left w:val="nil"/>
              <w:bottom w:val="single" w:color="000000" w:sz="8" w:space="0"/>
              <w:right w:val="nil"/>
              <w:insideH w:val="nil"/>
              <w:insideV w:val="nil"/>
            </w:tcBorders>
            <w:vAlign w:val="center"/>
          </w:tcPr>
          <w:p w14:paraId="6B32823B">
            <w:pPr>
              <w:jc w:val="center"/>
              <w:rPr>
                <w:b/>
                <w:bCs/>
                <w:highlight w:val="none"/>
              </w:rPr>
            </w:pPr>
            <w:r>
              <w:rPr>
                <w:b/>
                <w:bCs/>
                <w:highlight w:val="none"/>
              </w:rPr>
              <w:t>Reproducibility limitation</w:t>
            </w:r>
          </w:p>
        </w:tc>
      </w:tr>
      <w:tr w14:paraId="71063C35">
        <w:tblPrEx>
          <w:tblCellMar>
            <w:top w:w="0" w:type="dxa"/>
            <w:left w:w="108" w:type="dxa"/>
            <w:bottom w:w="0" w:type="dxa"/>
            <w:right w:w="108" w:type="dxa"/>
          </w:tblCellMar>
        </w:tblPrEx>
        <w:trPr>
          <w:cantSplit/>
          <w:jc w:val="center"/>
        </w:trPr>
        <w:tc>
          <w:tcPr>
            <w:tcW w:w="602" w:type="pct"/>
            <w:tcBorders>
              <w:top w:val="single" w:color="000000" w:sz="8" w:space="0"/>
              <w:left w:val="nil"/>
              <w:bottom w:val="nil"/>
              <w:right w:val="nil"/>
            </w:tcBorders>
            <w:vAlign w:val="center"/>
          </w:tcPr>
          <w:p w14:paraId="2D23D0DA">
            <w:pPr>
              <w:rPr>
                <w:highlight w:val="none"/>
              </w:rPr>
            </w:pPr>
            <w:r>
              <w:rPr>
                <w:highlight w:val="none"/>
              </w:rPr>
              <w:t>Cognitive decline from previous functioning</w:t>
            </w:r>
          </w:p>
        </w:tc>
        <w:tc>
          <w:tcPr>
            <w:tcW w:w="2193" w:type="pct"/>
            <w:tcBorders>
              <w:top w:val="single" w:color="000000" w:sz="8" w:space="0"/>
              <w:left w:val="nil"/>
              <w:bottom w:val="nil"/>
              <w:right w:val="nil"/>
            </w:tcBorders>
            <w:vAlign w:val="center"/>
          </w:tcPr>
          <w:p w14:paraId="115FECF1">
            <w:pPr>
              <w:rPr>
                <w:highlight w:val="none"/>
              </w:rPr>
            </w:pPr>
            <w:r>
              <w:rPr>
                <w:highlight w:val="none"/>
              </w:rPr>
              <w:t>Structured interview assessed whether memory or other thinking abilities had worsened relative to the participant's previous usual level. Evidence could come from the participant, a reliable informant, or clinical observation. The source category was recorded separately in the study source records.</w:t>
            </w:r>
          </w:p>
        </w:tc>
        <w:tc>
          <w:tcPr>
            <w:tcW w:w="790" w:type="pct"/>
            <w:tcBorders>
              <w:top w:val="single" w:color="000000" w:sz="8" w:space="0"/>
              <w:left w:val="nil"/>
              <w:bottom w:val="nil"/>
              <w:right w:val="nil"/>
            </w:tcBorders>
            <w:vAlign w:val="center"/>
          </w:tcPr>
          <w:p w14:paraId="03E1CFCD">
            <w:pPr>
              <w:rPr>
                <w:highlight w:val="none"/>
              </w:rPr>
            </w:pPr>
            <w:r>
              <w:rPr>
                <w:highlight w:val="none"/>
              </w:rPr>
              <w:t>Study source records and confirmed historical assessment workflow.</w:t>
            </w:r>
          </w:p>
        </w:tc>
        <w:tc>
          <w:tcPr>
            <w:tcW w:w="1413" w:type="pct"/>
            <w:tcBorders>
              <w:top w:val="single" w:color="000000" w:sz="8" w:space="0"/>
              <w:left w:val="nil"/>
              <w:bottom w:val="nil"/>
              <w:right w:val="nil"/>
            </w:tcBorders>
            <w:vAlign w:val="center"/>
          </w:tcPr>
          <w:p w14:paraId="77D9F9E4">
            <w:pPr>
              <w:rPr>
                <w:highlight w:val="none"/>
              </w:rPr>
            </w:pPr>
            <w:r>
              <w:rPr>
                <w:highlight w:val="none"/>
              </w:rPr>
              <w:t>Individual-level narrative content is not contained in the analytic/public-reproducibility datasets and is not publicly disclosed because of privacy and ethical restrictions.</w:t>
            </w:r>
          </w:p>
        </w:tc>
      </w:tr>
      <w:tr w14:paraId="0D5F2043">
        <w:tblPrEx>
          <w:tblCellMar>
            <w:top w:w="0" w:type="dxa"/>
            <w:left w:w="108" w:type="dxa"/>
            <w:bottom w:w="0" w:type="dxa"/>
            <w:right w:w="108" w:type="dxa"/>
          </w:tblCellMar>
        </w:tblPrEx>
        <w:trPr>
          <w:cantSplit/>
          <w:jc w:val="center"/>
        </w:trPr>
        <w:tc>
          <w:tcPr>
            <w:tcW w:w="602" w:type="pct"/>
            <w:tcBorders>
              <w:top w:val="nil"/>
              <w:left w:val="nil"/>
              <w:bottom w:val="nil"/>
              <w:right w:val="nil"/>
            </w:tcBorders>
            <w:vAlign w:val="center"/>
          </w:tcPr>
          <w:p w14:paraId="330F1840">
            <w:pPr>
              <w:rPr>
                <w:highlight w:val="none"/>
              </w:rPr>
            </w:pPr>
            <w:r>
              <w:rPr>
                <w:highlight w:val="none"/>
              </w:rPr>
              <w:t>Objective cognitive evidence and domain handling</w:t>
            </w:r>
          </w:p>
        </w:tc>
        <w:tc>
          <w:tcPr>
            <w:tcW w:w="2193" w:type="pct"/>
            <w:tcBorders>
              <w:top w:val="nil"/>
              <w:left w:val="nil"/>
              <w:bottom w:val="nil"/>
              <w:right w:val="nil"/>
            </w:tcBorders>
            <w:vAlign w:val="center"/>
          </w:tcPr>
          <w:p w14:paraId="6430787B">
            <w:pPr>
              <w:rPr>
                <w:highlight w:val="none"/>
              </w:rPr>
            </w:pPr>
            <w:r>
              <w:rPr>
                <w:highlight w:val="none"/>
              </w:rPr>
              <w:t>MMSE/CMMS-labeled cognitive screening and the MoCA-BJ were used as cognitive evidence. Standard MoCA-BJ administration sampled visuospatial/executive, naming, attention, language, abstraction, delayed-recall, and orientation tasks/domains. No prespecified numerical cutoff was used for individual MoCA-BJ domains; objective cognitive evidence was interpreted as part of the overall cognitive profile.</w:t>
            </w:r>
          </w:p>
        </w:tc>
        <w:tc>
          <w:tcPr>
            <w:tcW w:w="790" w:type="pct"/>
            <w:tcBorders>
              <w:top w:val="nil"/>
              <w:left w:val="nil"/>
              <w:bottom w:val="nil"/>
              <w:right w:val="nil"/>
            </w:tcBorders>
            <w:vAlign w:val="center"/>
          </w:tcPr>
          <w:p w14:paraId="18F07764">
            <w:pPr>
              <w:rPr>
                <w:highlight w:val="none"/>
              </w:rPr>
            </w:pPr>
            <w:r>
              <w:rPr>
                <w:highlight w:val="none"/>
              </w:rPr>
              <w:t>Original manuscript description, study-period cognitive-assessment records, and confirmed historical workflow.</w:t>
            </w:r>
          </w:p>
        </w:tc>
        <w:tc>
          <w:tcPr>
            <w:tcW w:w="1413" w:type="pct"/>
            <w:tcBorders>
              <w:top w:val="nil"/>
              <w:left w:val="nil"/>
              <w:bottom w:val="nil"/>
              <w:right w:val="nil"/>
            </w:tcBorders>
            <w:vAlign w:val="center"/>
          </w:tcPr>
          <w:p w14:paraId="1C1206EF">
            <w:pPr>
              <w:rPr>
                <w:highlight w:val="none"/>
              </w:rPr>
            </w:pPr>
            <w:r>
              <w:rPr>
                <w:highlight w:val="none"/>
              </w:rPr>
              <w:t>The primary clinical MCI classification cannot be recreated from a prespecified domain-specific numerical algorithm because no such diagnostic thresholds were used; none was introduced post hoc.</w:t>
            </w:r>
          </w:p>
        </w:tc>
      </w:tr>
      <w:tr w14:paraId="55BAD877">
        <w:tblPrEx>
          <w:tblCellMar>
            <w:top w:w="0" w:type="dxa"/>
            <w:left w:w="108" w:type="dxa"/>
            <w:bottom w:w="0" w:type="dxa"/>
            <w:right w:w="108" w:type="dxa"/>
          </w:tblCellMar>
        </w:tblPrEx>
        <w:trPr>
          <w:cantSplit/>
          <w:jc w:val="center"/>
        </w:trPr>
        <w:tc>
          <w:tcPr>
            <w:tcW w:w="602" w:type="pct"/>
            <w:tcBorders>
              <w:top w:val="nil"/>
              <w:left w:val="nil"/>
              <w:bottom w:val="nil"/>
              <w:right w:val="nil"/>
            </w:tcBorders>
            <w:vAlign w:val="center"/>
          </w:tcPr>
          <w:p w14:paraId="3A04971A">
            <w:pPr>
              <w:rPr>
                <w:highlight w:val="none"/>
              </w:rPr>
            </w:pPr>
            <w:r>
              <w:rPr>
                <w:highlight w:val="none"/>
              </w:rPr>
              <w:t>MoCA-BJ item-level data, raw total, and education correction</w:t>
            </w:r>
          </w:p>
        </w:tc>
        <w:tc>
          <w:tcPr>
            <w:tcW w:w="2193" w:type="pct"/>
            <w:tcBorders>
              <w:top w:val="nil"/>
              <w:left w:val="nil"/>
              <w:bottom w:val="nil"/>
              <w:right w:val="nil"/>
            </w:tcBorders>
            <w:vAlign w:val="center"/>
          </w:tcPr>
          <w:p w14:paraId="70E06C4C">
            <w:pPr>
              <w:rPr>
                <w:highlight w:val="none"/>
              </w:rPr>
            </w:pPr>
            <w:r>
              <w:rPr>
                <w:highlight w:val="none"/>
              </w:rPr>
              <w:t>Item-level MoCA-BJ responses came from the original participant assessments and were maintained separately from the machine-learning modeling dataset. Raw totals were calculated directly from the authentically recorded scored items. For participants with &lt;=12 years of formal education, one point was added to the raw total, with the adjusted score capped at 30.</w:t>
            </w:r>
          </w:p>
        </w:tc>
        <w:tc>
          <w:tcPr>
            <w:tcW w:w="790" w:type="pct"/>
            <w:tcBorders>
              <w:top w:val="nil"/>
              <w:left w:val="nil"/>
              <w:bottom w:val="nil"/>
              <w:right w:val="nil"/>
            </w:tcBorders>
            <w:vAlign w:val="center"/>
          </w:tcPr>
          <w:p w14:paraId="12AD94EE">
            <w:pPr>
              <w:rPr>
                <w:highlight w:val="none"/>
              </w:rPr>
            </w:pPr>
            <w:r>
              <w:rPr>
                <w:highlight w:val="none"/>
              </w:rPr>
              <w:t>Authentic study-period MoCA-BJ assessment records and confirmed historical scoring rule.</w:t>
            </w:r>
          </w:p>
        </w:tc>
        <w:tc>
          <w:tcPr>
            <w:tcW w:w="1413" w:type="pct"/>
            <w:tcBorders>
              <w:top w:val="nil"/>
              <w:left w:val="nil"/>
              <w:bottom w:val="nil"/>
              <w:right w:val="nil"/>
            </w:tcBorders>
            <w:vAlign w:val="center"/>
          </w:tcPr>
          <w:p w14:paraId="604B7173">
            <w:pPr>
              <w:rPr>
                <w:highlight w:val="none"/>
              </w:rPr>
            </w:pPr>
            <w:r>
              <w:rPr>
                <w:highlight w:val="none"/>
              </w:rPr>
              <w:t>Raw and adjusted MoCA-BJ totals were used only for the score-based sensitivity analyses and did not contribute to the primary MCI definition, predictor screening, feature selection, model training, algorithm selection, or threshold determination.</w:t>
            </w:r>
          </w:p>
        </w:tc>
      </w:tr>
      <w:tr w14:paraId="467F4740">
        <w:tblPrEx>
          <w:tblCellMar>
            <w:top w:w="0" w:type="dxa"/>
            <w:left w:w="108" w:type="dxa"/>
            <w:bottom w:w="0" w:type="dxa"/>
            <w:right w:w="108" w:type="dxa"/>
          </w:tblCellMar>
        </w:tblPrEx>
        <w:trPr>
          <w:cantSplit/>
          <w:jc w:val="center"/>
        </w:trPr>
        <w:tc>
          <w:tcPr>
            <w:tcW w:w="602" w:type="pct"/>
            <w:tcBorders>
              <w:top w:val="nil"/>
              <w:left w:val="nil"/>
              <w:bottom w:val="nil"/>
              <w:right w:val="nil"/>
            </w:tcBorders>
            <w:vAlign w:val="center"/>
          </w:tcPr>
          <w:p w14:paraId="51738737">
            <w:pPr>
              <w:rPr>
                <w:highlight w:val="none"/>
              </w:rPr>
            </w:pPr>
            <w:r>
              <w:rPr>
                <w:highlight w:val="none"/>
              </w:rPr>
              <w:t>Everyday functional independence</w:t>
            </w:r>
          </w:p>
        </w:tc>
        <w:tc>
          <w:tcPr>
            <w:tcW w:w="2193" w:type="pct"/>
            <w:tcBorders>
              <w:top w:val="nil"/>
              <w:left w:val="nil"/>
              <w:bottom w:val="nil"/>
              <w:right w:val="nil"/>
            </w:tcBorders>
            <w:vAlign w:val="center"/>
          </w:tcPr>
          <w:p w14:paraId="07A0B947">
            <w:pPr>
              <w:rPr>
                <w:highlight w:val="none"/>
              </w:rPr>
            </w:pPr>
            <w:r>
              <w:rPr>
                <w:highlight w:val="none"/>
              </w:rPr>
              <w:t>Clinical functional interview covered basic activities and cognitively demanding instrumental activities, including shopping, medication management, finances, transport, cooking, appointments, household responsibilities, and need for regular supervision or assistance. These interview domains were specified in the study training materials.</w:t>
            </w:r>
          </w:p>
        </w:tc>
        <w:tc>
          <w:tcPr>
            <w:tcW w:w="790" w:type="pct"/>
            <w:tcBorders>
              <w:top w:val="nil"/>
              <w:left w:val="nil"/>
              <w:bottom w:val="nil"/>
              <w:right w:val="nil"/>
            </w:tcBorders>
            <w:vAlign w:val="center"/>
          </w:tcPr>
          <w:p w14:paraId="62B9F266">
            <w:pPr>
              <w:rPr>
                <w:highlight w:val="none"/>
              </w:rPr>
            </w:pPr>
            <w:r>
              <w:rPr>
                <w:highlight w:val="none"/>
              </w:rPr>
              <w:t>Study training materials and structured clinical-interview workflow.</w:t>
            </w:r>
          </w:p>
        </w:tc>
        <w:tc>
          <w:tcPr>
            <w:tcW w:w="1413" w:type="pct"/>
            <w:tcBorders>
              <w:top w:val="nil"/>
              <w:left w:val="nil"/>
              <w:bottom w:val="nil"/>
              <w:right w:val="nil"/>
            </w:tcBorders>
            <w:vAlign w:val="center"/>
          </w:tcPr>
          <w:p w14:paraId="0465DB5E">
            <w:pPr>
              <w:rPr>
                <w:highlight w:val="none"/>
              </w:rPr>
            </w:pPr>
            <w:r>
              <w:rPr>
                <w:highlight w:val="none"/>
              </w:rPr>
              <w:t>No standardized ADL/IADL scale was administered.</w:t>
            </w:r>
          </w:p>
        </w:tc>
      </w:tr>
      <w:tr w14:paraId="2788786A">
        <w:tblPrEx>
          <w:tblCellMar>
            <w:top w:w="0" w:type="dxa"/>
            <w:left w:w="108" w:type="dxa"/>
            <w:bottom w:w="0" w:type="dxa"/>
            <w:right w:w="108" w:type="dxa"/>
          </w:tblCellMar>
        </w:tblPrEx>
        <w:trPr>
          <w:cantSplit/>
          <w:jc w:val="center"/>
        </w:trPr>
        <w:tc>
          <w:tcPr>
            <w:tcW w:w="602" w:type="pct"/>
            <w:tcBorders>
              <w:top w:val="nil"/>
              <w:left w:val="nil"/>
              <w:bottom w:val="nil"/>
              <w:right w:val="nil"/>
            </w:tcBorders>
            <w:vAlign w:val="center"/>
          </w:tcPr>
          <w:p w14:paraId="2AE1C4ED">
            <w:pPr>
              <w:rPr>
                <w:highlight w:val="none"/>
              </w:rPr>
            </w:pPr>
            <w:r>
              <w:rPr>
                <w:highlight w:val="none"/>
              </w:rPr>
              <w:t>Dementia exclusion</w:t>
            </w:r>
          </w:p>
        </w:tc>
        <w:tc>
          <w:tcPr>
            <w:tcW w:w="2193" w:type="pct"/>
            <w:tcBorders>
              <w:top w:val="nil"/>
              <w:left w:val="nil"/>
              <w:bottom w:val="nil"/>
              <w:right w:val="nil"/>
            </w:tcBorders>
            <w:vAlign w:val="center"/>
          </w:tcPr>
          <w:p w14:paraId="1C57F493">
            <w:pPr>
              <w:rPr>
                <w:highlight w:val="none"/>
              </w:rPr>
            </w:pPr>
            <w:r>
              <w:rPr>
                <w:highlight w:val="none"/>
              </w:rPr>
              <w:t>Clinical history, neurological/mental-status information, functional findings, and cognitive screening were integrated. Education-stratified CMMS thresholds (&lt;=16 illiterate; &lt;=19 for 1-6 years education; &lt;=23 for &gt;=7 years education) were supportive screening information only.</w:t>
            </w:r>
          </w:p>
        </w:tc>
        <w:tc>
          <w:tcPr>
            <w:tcW w:w="790" w:type="pct"/>
            <w:tcBorders>
              <w:top w:val="nil"/>
              <w:left w:val="nil"/>
              <w:bottom w:val="nil"/>
              <w:right w:val="nil"/>
            </w:tcBorders>
            <w:vAlign w:val="center"/>
          </w:tcPr>
          <w:p w14:paraId="0D931A72">
            <w:pPr>
              <w:rPr>
                <w:highlight w:val="none"/>
              </w:rPr>
            </w:pPr>
            <w:r>
              <w:rPr>
                <w:highlight w:val="none"/>
              </w:rPr>
              <w:t>Clinical assessment plus CMMS-supported screening.</w:t>
            </w:r>
          </w:p>
        </w:tc>
        <w:tc>
          <w:tcPr>
            <w:tcW w:w="1413" w:type="pct"/>
            <w:tcBorders>
              <w:top w:val="nil"/>
              <w:left w:val="nil"/>
              <w:bottom w:val="nil"/>
              <w:right w:val="nil"/>
            </w:tcBorders>
            <w:vAlign w:val="center"/>
          </w:tcPr>
          <w:p w14:paraId="50090FDE">
            <w:pPr>
              <w:rPr>
                <w:highlight w:val="none"/>
              </w:rPr>
            </w:pPr>
            <w:r>
              <w:rPr>
                <w:highlight w:val="none"/>
              </w:rPr>
              <w:t>CMMS thresholds were not hard exclusion criteria and did not define MCI or dementia on their own.</w:t>
            </w:r>
          </w:p>
        </w:tc>
      </w:tr>
      <w:tr w14:paraId="684FC1EB">
        <w:tblPrEx>
          <w:tblCellMar>
            <w:top w:w="0" w:type="dxa"/>
            <w:left w:w="108" w:type="dxa"/>
            <w:bottom w:w="0" w:type="dxa"/>
            <w:right w:w="108" w:type="dxa"/>
          </w:tblCellMar>
        </w:tblPrEx>
        <w:trPr>
          <w:cantSplit/>
          <w:jc w:val="center"/>
        </w:trPr>
        <w:tc>
          <w:tcPr>
            <w:tcW w:w="602" w:type="pct"/>
            <w:tcBorders>
              <w:top w:val="nil"/>
              <w:left w:val="nil"/>
              <w:bottom w:val="nil"/>
              <w:right w:val="nil"/>
            </w:tcBorders>
            <w:vAlign w:val="center"/>
          </w:tcPr>
          <w:p w14:paraId="4F0E5F49">
            <w:pPr>
              <w:rPr>
                <w:highlight w:val="none"/>
              </w:rPr>
            </w:pPr>
            <w:r>
              <w:rPr>
                <w:highlight w:val="none"/>
              </w:rPr>
              <w:t>Final primary classification</w:t>
            </w:r>
          </w:p>
        </w:tc>
        <w:tc>
          <w:tcPr>
            <w:tcW w:w="2193" w:type="pct"/>
            <w:tcBorders>
              <w:top w:val="nil"/>
              <w:left w:val="nil"/>
              <w:bottom w:val="nil"/>
              <w:right w:val="nil"/>
            </w:tcBorders>
            <w:vAlign w:val="center"/>
          </w:tcPr>
          <w:p w14:paraId="12F12A6E">
            <w:pPr>
              <w:rPr>
                <w:highlight w:val="none"/>
              </w:rPr>
            </w:pPr>
            <w:r>
              <w:rPr>
                <w:highlight w:val="none"/>
              </w:rPr>
              <w:t>The final MCI/CN classification integrated cognitive decline, objective cognitive evidence, preserved independence, and dementia exclusion. No single individual served as the sole adjudicator; classification required consensus among the trained personnel involved in cognitive assessment and clinical review, with physician participation and confirmation.</w:t>
            </w:r>
          </w:p>
        </w:tc>
        <w:tc>
          <w:tcPr>
            <w:tcW w:w="790" w:type="pct"/>
            <w:tcBorders>
              <w:top w:val="nil"/>
              <w:left w:val="nil"/>
              <w:bottom w:val="nil"/>
              <w:right w:val="nil"/>
            </w:tcBorders>
            <w:vAlign w:val="center"/>
          </w:tcPr>
          <w:p w14:paraId="50CEF92D">
            <w:pPr>
              <w:rPr>
                <w:highlight w:val="none"/>
              </w:rPr>
            </w:pPr>
            <w:r>
              <w:rPr>
                <w:highlight w:val="none"/>
              </w:rPr>
              <w:t>Confirmed historical assessment-team workflow.</w:t>
            </w:r>
          </w:p>
        </w:tc>
        <w:tc>
          <w:tcPr>
            <w:tcW w:w="1413" w:type="pct"/>
            <w:tcBorders>
              <w:top w:val="nil"/>
              <w:left w:val="nil"/>
              <w:bottom w:val="nil"/>
              <w:right w:val="nil"/>
            </w:tcBorders>
            <w:vAlign w:val="center"/>
          </w:tcPr>
          <w:p w14:paraId="12AA7EE3">
            <w:pPr>
              <w:rPr>
                <w:highlight w:val="none"/>
              </w:rPr>
            </w:pPr>
            <w:r>
              <w:rPr>
                <w:highlight w:val="none"/>
              </w:rPr>
              <w:t>The primary outcome cannot be recreated from a single questionnaire or cognitive cutoff alone.</w:t>
            </w:r>
          </w:p>
        </w:tc>
      </w:tr>
      <w:tr w14:paraId="4C1576FE">
        <w:tblPrEx>
          <w:tblCellMar>
            <w:top w:w="0" w:type="dxa"/>
            <w:left w:w="108" w:type="dxa"/>
            <w:bottom w:w="0" w:type="dxa"/>
            <w:right w:w="108" w:type="dxa"/>
          </w:tblCellMar>
        </w:tblPrEx>
        <w:trPr>
          <w:cantSplit/>
          <w:jc w:val="center"/>
        </w:trPr>
        <w:tc>
          <w:tcPr>
            <w:tcW w:w="602" w:type="pct"/>
            <w:tcBorders>
              <w:top w:val="nil"/>
              <w:left w:val="nil"/>
              <w:bottom w:val="nil"/>
              <w:right w:val="nil"/>
            </w:tcBorders>
            <w:vAlign w:val="center"/>
          </w:tcPr>
          <w:p w14:paraId="1ADB23F6">
            <w:pPr>
              <w:rPr>
                <w:highlight w:val="none"/>
              </w:rPr>
            </w:pPr>
            <w:r>
              <w:rPr>
                <w:highlight w:val="none"/>
              </w:rPr>
              <w:t>Discordant findings / case discussion</w:t>
            </w:r>
          </w:p>
        </w:tc>
        <w:tc>
          <w:tcPr>
            <w:tcW w:w="2193" w:type="pct"/>
            <w:tcBorders>
              <w:top w:val="nil"/>
              <w:left w:val="nil"/>
              <w:bottom w:val="nil"/>
              <w:right w:val="nil"/>
            </w:tcBorders>
            <w:vAlign w:val="center"/>
          </w:tcPr>
          <w:p w14:paraId="5A27A4CE">
            <w:pPr>
              <w:rPr>
                <w:highlight w:val="none"/>
              </w:rPr>
            </w:pPr>
            <w:r>
              <w:rPr>
                <w:highlight w:val="none"/>
              </w:rPr>
              <w:t>When cognitive history, cognitive-test findings, and functional information were not concordant, the case was reviewed through the study's case-discussion process. No single score automatically determined classification; the final classification was assigned after assessment-team consensus.</w:t>
            </w:r>
          </w:p>
        </w:tc>
        <w:tc>
          <w:tcPr>
            <w:tcW w:w="790" w:type="pct"/>
            <w:tcBorders>
              <w:top w:val="nil"/>
              <w:left w:val="nil"/>
              <w:bottom w:val="nil"/>
              <w:right w:val="nil"/>
            </w:tcBorders>
            <w:vAlign w:val="center"/>
          </w:tcPr>
          <w:p w14:paraId="0690CC17">
            <w:pPr>
              <w:rPr>
                <w:highlight w:val="none"/>
              </w:rPr>
            </w:pPr>
            <w:r>
              <w:rPr>
                <w:highlight w:val="none"/>
              </w:rPr>
              <w:t>Confirmed historical case-discussion rule.</w:t>
            </w:r>
          </w:p>
        </w:tc>
        <w:tc>
          <w:tcPr>
            <w:tcW w:w="1413" w:type="pct"/>
            <w:tcBorders>
              <w:top w:val="nil"/>
              <w:left w:val="nil"/>
              <w:bottom w:val="nil"/>
              <w:right w:val="nil"/>
            </w:tcBorders>
            <w:vAlign w:val="center"/>
          </w:tcPr>
          <w:p w14:paraId="17F45998">
            <w:pPr>
              <w:rPr>
                <w:highlight w:val="none"/>
              </w:rPr>
            </w:pPr>
            <w:r>
              <w:rPr>
                <w:highlight w:val="none"/>
              </w:rPr>
              <w:t>No separate numerical second-stage adjudication algorithm was used.</w:t>
            </w:r>
          </w:p>
        </w:tc>
      </w:tr>
      <w:tr w14:paraId="4627F3D8">
        <w:tblPrEx>
          <w:tblCellMar>
            <w:top w:w="0" w:type="dxa"/>
            <w:left w:w="108" w:type="dxa"/>
            <w:bottom w:w="0" w:type="dxa"/>
            <w:right w:w="108" w:type="dxa"/>
          </w:tblCellMar>
        </w:tblPrEx>
        <w:trPr>
          <w:cantSplit/>
          <w:jc w:val="center"/>
        </w:trPr>
        <w:tc>
          <w:tcPr>
            <w:tcW w:w="602" w:type="pct"/>
            <w:tcBorders>
              <w:top w:val="nil"/>
              <w:left w:val="nil"/>
              <w:bottom w:val="single" w:color="000000" w:sz="8" w:space="0"/>
              <w:right w:val="nil"/>
            </w:tcBorders>
            <w:vAlign w:val="center"/>
          </w:tcPr>
          <w:p w14:paraId="7FB0929B">
            <w:pPr>
              <w:rPr>
                <w:highlight w:val="none"/>
              </w:rPr>
            </w:pPr>
            <w:r>
              <w:rPr>
                <w:highlight w:val="none"/>
              </w:rPr>
              <w:t>Historical source-form and reconstruction status</w:t>
            </w:r>
          </w:p>
        </w:tc>
        <w:tc>
          <w:tcPr>
            <w:tcW w:w="2193" w:type="pct"/>
            <w:tcBorders>
              <w:top w:val="nil"/>
              <w:left w:val="nil"/>
              <w:bottom w:val="single" w:color="000000" w:sz="8" w:space="0"/>
              <w:right w:val="nil"/>
            </w:tcBorders>
            <w:vAlign w:val="center"/>
          </w:tcPr>
          <w:p w14:paraId="09C3F7F3">
            <w:pPr>
              <w:rPr>
                <w:highlight w:val="none"/>
              </w:rPr>
            </w:pPr>
            <w:r>
              <w:rPr>
                <w:highlight w:val="none"/>
              </w:rPr>
              <w:t>This table summarizes retrievable ascertainment fields, authentic cognitive-assessment data provenance, and the confirmed historical decision framework.</w:t>
            </w:r>
          </w:p>
        </w:tc>
        <w:tc>
          <w:tcPr>
            <w:tcW w:w="790" w:type="pct"/>
            <w:tcBorders>
              <w:top w:val="nil"/>
              <w:left w:val="nil"/>
              <w:bottom w:val="single" w:color="000000" w:sz="8" w:space="0"/>
              <w:right w:val="nil"/>
            </w:tcBorders>
            <w:vAlign w:val="center"/>
          </w:tcPr>
          <w:p w14:paraId="49B09004">
            <w:pPr>
              <w:rPr>
                <w:highlight w:val="none"/>
              </w:rPr>
            </w:pPr>
            <w:r>
              <w:rPr>
                <w:highlight w:val="none"/>
              </w:rPr>
              <w:t>Current publication archive, authentic study-period cognitive-assessment records, and study-team confirmation.</w:t>
            </w:r>
          </w:p>
        </w:tc>
        <w:tc>
          <w:tcPr>
            <w:tcW w:w="1413" w:type="pct"/>
            <w:tcBorders>
              <w:top w:val="nil"/>
              <w:left w:val="nil"/>
              <w:bottom w:val="single" w:color="000000" w:sz="8" w:space="0"/>
              <w:right w:val="nil"/>
            </w:tcBorders>
            <w:vAlign w:val="center"/>
          </w:tcPr>
          <w:p w14:paraId="521329EE">
            <w:pPr>
              <w:rPr>
                <w:highlight w:val="none"/>
              </w:rPr>
            </w:pPr>
            <w:r>
              <w:rPr>
                <w:highlight w:val="none"/>
              </w:rPr>
              <w:t>A contemporaneous blank cognitive CRF is not retained in the publication archive. This table is therefore explicitly a retrospective operational specification and is not presented as a replica of an original study-period form.</w:t>
            </w:r>
          </w:p>
        </w:tc>
      </w:tr>
    </w:tbl>
    <w:p w14:paraId="3B71E8A5">
      <w:pPr>
        <w:spacing w:before="0" w:after="0" w:line="228" w:lineRule="auto"/>
        <w:rPr>
          <w:rFonts w:hint="eastAsia" w:eastAsia="宋体"/>
          <w:highlight w:val="none"/>
          <w:lang w:val="en-US" w:eastAsia="zh-CN"/>
        </w:rPr>
      </w:pPr>
      <w:r>
        <w:rPr>
          <w:highlight w:val="none"/>
        </w:rPr>
        <w:t>Note. This table is a retrospective operational specification based on the original manuscript, retrievable study records, authentic study-period MoCA-BJ assessment data, training-material-defined procedures, and study-team confirmation of the historical workflow. It is not presented as a contemporaneous blank CRF. No unavailable historical form, domain-specific numerical cutoff, or post-hoc domain-score diagnostic algorithm has been invented or substituted for the original ascertainment process. The raw and education-adjusted MoCA-BJ score-only sensitivity outcomes were derived from authentic item-level assessment records; raw totals were calculated directly from scored items and education adjustment added one point for participants with &lt;=12 years of formal education, capped at 30. Patient-level narrative cognitive-concern records are not publicly disclosed because of privacy and ethical restrictions. MCI, mild cognitive impairment; CN, cognitively normal; CMMS, Chinese Mini Mental Status; MoCA-BJ, Beijing version of the Montreal Cognitive Assessment; ADL, activities of daily living; IADL, instrumental activities of daily living; CRF, case-report form.</w:t>
      </w:r>
      <w:r>
        <w:rPr>
          <w:rFonts w:hint="eastAsia" w:eastAsia="宋体"/>
          <w:highlight w:val="none"/>
          <w:lang w:val="en-US" w:eastAsia="zh-CN"/>
        </w:rPr>
        <w:t xml:space="preserve"> </w:t>
      </w:r>
    </w:p>
    <w:sectPr>
      <w:pgSz w:w="16834" w:h="11909" w:orient="landscape"/>
      <w:pgMar w:top="576" w:right="576" w:bottom="576" w:left="576"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BF00A9"/>
    <w:rsid w:val="45DE1D27"/>
    <w:rsid w:val="4E2241B6"/>
    <w:rsid w:val="737420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19"/>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763</Words>
  <Characters>5445</Characters>
  <Lines>0</Lines>
  <Paragraphs>0</Paragraphs>
  <TotalTime>1</TotalTime>
  <ScaleCrop>false</ScaleCrop>
  <LinksUpToDate>false</LinksUpToDate>
  <CharactersWithSpaces>6170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Beacon</cp:lastModifiedBy>
  <dcterms:modified xsi:type="dcterms:W3CDTF">2026-09-07T15:09:19Z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eyJoZGlkIjoiNGM4YTc1Mjc4YzA1Y2QzY2ViMTY2ZDlhNWM4Zjg0MzkiLCJ1c2VySWQiOiI1MTYxMjgxODMifQ==</vt:lpwstr>
  </property>
  <property fmtid="{D5CDD505-2E9C-101B-9397-08002B2CF9AE}" pid="3" name="KSOProductBuildVer">
    <vt:lpwstr>2052-12.1.0.28488</vt:lpwstr>
  </property>
  <property fmtid="{D5CDD505-2E9C-101B-9397-08002B2CF9AE}" pid="4" name="ICV">
    <vt:lpwstr>56CBBAD9E5D446CF92CD9D344B5F7B83_12</vt:lpwstr>
  </property>
</Properties>
</file>