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4443C">
      <w:pPr>
        <w:spacing w:before="0" w:after="0" w:line="228" w:lineRule="auto"/>
        <w:jc w:val="center"/>
      </w:pPr>
      <w:r>
        <w:drawing>
          <wp:inline distT="0" distB="0" distL="114300" distR="114300">
            <wp:extent cx="4911090" cy="6080760"/>
            <wp:effectExtent l="0" t="0" r="381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11382" cy="608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A40C0">
      <w:pPr>
        <w:pStyle w:val="4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highlight w:val="none"/>
          <w:lang w:val="en-US" w:eastAsia="en-US" w:bidi="ar-SA"/>
        </w:rPr>
      </w:pPr>
      <w:r>
        <w:rPr>
          <w:rFonts w:ascii="Times New Roman" w:hAnsi="Times New Roman"/>
          <w:b/>
          <w:sz w:val="18"/>
        </w:rPr>
        <w:t>Supplementary Figure S2. SHAP dependence patterns and stability of global feature explanations.</w:t>
      </w:r>
      <w:r>
        <w:rPr>
          <w:rFonts w:hint="eastAsia" w:eastAsia="宋体"/>
          <w:b/>
          <w:sz w:val="18"/>
          <w:lang w:val="en-US" w:eastAsia="zh-CN"/>
        </w:rPr>
        <w:t xml:space="preserve"> </w:t>
      </w:r>
      <w:r>
        <w:rPr>
          <w:rFonts w:ascii="Times New Roman" w:hAnsi="Times New Roman" w:eastAsia="Times New Roman" w:cstheme="minorBidi"/>
          <w:b/>
          <w:bCs w:val="0"/>
          <w:kern w:val="0"/>
          <w:sz w:val="18"/>
          <w:szCs w:val="22"/>
          <w:lang w:val="en-US" w:eastAsia="en-US" w:bidi="ar-SA"/>
        </w:rPr>
        <w:t>(A-I)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  <w:t xml:space="preserve"> SHAP dependence plots for coffee consumption, physical activity, AHI, MSaO2, PHQ-9 total score, GAD-7 total score, ESS total score, CPSS-14 total score, and PSQI total score, respectively. Coloring variables are: A, ESS total score; B, ESS total score; C, coffee-consumption category; D, PHQ-9 total score; E, GAD-7 total score; F, ESS total score; G, PHQ-9 total score; H, ESS total score; I, MSaO2. Coffee consumption is coded 1 = Almost no consumption, 2 = Occasional consumption, and 3 = Frequent consumption; physical activity is coded 1 = Rare, 2 = Occasional, and 3 = Regular.</w:t>
      </w:r>
      <w:r>
        <w:rPr>
          <w:rFonts w:ascii="Times New Roman" w:hAnsi="Times New Roman" w:eastAsia="Times New Roman" w:cstheme="minorBidi"/>
          <w:b/>
          <w:bCs w:val="0"/>
          <w:kern w:val="0"/>
          <w:sz w:val="18"/>
          <w:szCs w:val="22"/>
          <w:lang w:val="en-US" w:eastAsia="en-US" w:bidi="ar-SA"/>
        </w:rPr>
        <w:t xml:space="preserve"> (J)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  <w:t xml:space="preserve"> Bootstrap frequencies with which each predictor ranked among the Top 3 and Top 5 by mean absolute SHAP value. </w:t>
      </w:r>
      <w:r>
        <w:rPr>
          <w:rFonts w:ascii="Times New Roman" w:hAnsi="Times New Roman" w:eastAsia="Times New Roman" w:cstheme="minorBidi"/>
          <w:b/>
          <w:bCs w:val="0"/>
          <w:kern w:val="0"/>
          <w:sz w:val="18"/>
          <w:szCs w:val="22"/>
          <w:lang w:val="en-US" w:eastAsia="en-US" w:bidi="ar-SA"/>
        </w:rPr>
        <w:t>(K)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  <w:t xml:space="preserve"> Bootstrap mean absolute SHAP values with 95% confidence intervals. Panels J-K assess fixed-SHAP explanation stability conditional on the already-computed SHAP matrix and do not represent feature-selection stability of the complete modeling pipeline. The primary SHAP analysis used a training-only background of n = 120 sampled with seed 2026. Sensitivity to six alternative training-only backgrounds, including alternative random samples and n = 60/n = 180 background-size variants, is reported separately in Supplementary Table S11. SHAP importance should not be interpreted as causal risk-factor evidence, clinical validity, fairness, or explanation transportability.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highlight w:val="yellow"/>
          <w:lang w:val="en-US" w:eastAsia="en-US" w:bidi="ar-SA"/>
        </w:rPr>
        <w:t xml:space="preserve"> </w:t>
      </w:r>
      <w:bookmarkStart w:id="0" w:name="_GoBack"/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highlight w:val="none"/>
          <w:lang w:val="en-US" w:eastAsia="en-US" w:bidi="ar-SA"/>
        </w:rPr>
        <w:t>SHAP analysis does not validate model clinical utility; good feature-level stability does not guarantee good external transportability of prediction performance.</w:t>
      </w:r>
    </w:p>
    <w:bookmarkEnd w:id="0"/>
    <w:sectPr>
      <w:pgSz w:w="11906" w:h="16838"/>
      <w:pgMar w:top="792" w:right="1224" w:bottom="792" w:left="122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BA2829"/>
    <w:rsid w:val="33254FCD"/>
    <w:rsid w:val="4712609C"/>
    <w:rsid w:val="54761AA7"/>
    <w:rsid w:val="5B99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egend Figure Heading"/>
    <w:qFormat/>
    <w:uiPriority w:val="0"/>
    <w:pPr>
      <w:keepNext/>
      <w:widowControl/>
      <w:spacing w:before="160" w:after="40" w:line="360" w:lineRule="auto"/>
      <w:jc w:val="left"/>
    </w:pPr>
    <w:rPr>
      <w:rFonts w:ascii="Times New Roman" w:hAnsi="Times New Roman" w:eastAsia="Times New Roman" w:cstheme="minorBidi"/>
      <w:b/>
      <w:sz w:val="24"/>
      <w:szCs w:val="22"/>
      <w:lang w:val="en-US" w:eastAsia="en-US" w:bidi="ar-SA"/>
    </w:rPr>
  </w:style>
  <w:style w:type="paragraph" w:customStyle="1" w:styleId="5">
    <w:name w:val="Legend Body"/>
    <w:qFormat/>
    <w:uiPriority w:val="0"/>
    <w:pPr>
      <w:keepLines/>
      <w:widowControl/>
      <w:spacing w:after="200" w:line="360" w:lineRule="auto"/>
      <w:jc w:val="both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1398</Characters>
  <Lines>0</Lines>
  <Paragraphs>0</Paragraphs>
  <TotalTime>0</TotalTime>
  <ScaleCrop>false</ScaleCrop>
  <LinksUpToDate>false</LinksUpToDate>
  <CharactersWithSpaces>1635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2026-08-11T04:08:00Z</dcterms:created>
  <dc:creator>lenovo</dc:creator>
  <cp:lastModifiedBy>Beacon</cp:lastModifiedBy>
  <dcterms:modified xsi:type="dcterms:W3CDTF">2026-09-07T11:24:24Z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eyJoZGlkIjoiNGM4YTc1Mjc4YzA1Y2QzY2ViMTY2ZDlhNWM4Zjg0MzkiLCJ1c2VySWQiOiI1MTYxMjgxODMifQ==</vt:lpwstr>
  </property>
  <property fmtid="{D5CDD505-2E9C-101B-9397-08002B2CF9AE}" pid="4" name="ICV">
    <vt:lpwstr>54F0DEF2D1734C048807BE68EBD3EC7A_12</vt:lpwstr>
  </property>
</Properties>
</file>