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A84B1">
      <w:pPr>
        <w:spacing w:after="120"/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100" cy="2385695"/>
            <wp:effectExtent l="0" t="0" r="3175" b="5080"/>
            <wp:docPr id="1" name="图片 1" descr="Supplementary Figure S5 All Model 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5 All Model DC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B835EA0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none"/>
          <w:lang w:val="en-US" w:eastAsia="en-US" w:bidi="ar-SA"/>
        </w:rPr>
      </w:pPr>
      <w:r>
        <w:rPr>
          <w:rFonts w:ascii="Times New Roman" w:hAnsi="Times New Roman"/>
          <w:b/>
          <w:sz w:val="18"/>
          <w:highlight w:val="none"/>
        </w:rPr>
        <w:t>Supplementary Figure S5. Decision-curve analysis of all candidate models in the internal algorithm-selection hold-out and independent external-validation samples.</w:t>
      </w:r>
      <w:r>
        <w:rPr>
          <w:rFonts w:hint="eastAsia" w:eastAsia="宋体"/>
          <w:b/>
          <w:sz w:val="1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none"/>
          <w:lang w:val="en-US" w:eastAsia="en-US" w:bidi="ar-SA"/>
        </w:rPr>
        <w:t>Decision curves for all candidate models in the internal algorithm-selection hold-out (left) and independent external-validation sample (right). Treat-all means prioritizing all participants for comprehensive cognitive assessment and treat-none means prioritizing none; these conventional DCA labels do not denote treatment administration. Higher curves indicate greater standardized net benefit for assessment prioritization. Internal hold-out curves are selection-conditioned because these data contributed to algorithm selection. Abbreviations: DCA, decision-curve analysis.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602B9"/>
    <w:rsid w:val="32170A33"/>
    <w:rsid w:val="33254FCD"/>
    <w:rsid w:val="3D5F13DF"/>
    <w:rsid w:val="47F9228B"/>
    <w:rsid w:val="5A9D3BBE"/>
    <w:rsid w:val="7CED7321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657</Characters>
  <Lines>0</Lines>
  <Paragraphs>0</Paragraphs>
  <TotalTime>0</TotalTime>
  <ScaleCrop>false</ScaleCrop>
  <LinksUpToDate>false</LinksUpToDate>
  <CharactersWithSpaces>740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