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26362">
      <w:pPr>
        <w:spacing w:after="120"/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4935" cy="2362835"/>
            <wp:effectExtent l="0" t="0" r="5715" b="8890"/>
            <wp:docPr id="1" name="图片 1" descr="Supplementary Figure S7 Primary Outcome Sensitiv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7 Primary Outcome Sensitivity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493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3BA57E8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</w:pPr>
      <w:r>
        <w:rPr>
          <w:rFonts w:ascii="Times New Roman" w:hAnsi="Times New Roman"/>
          <w:b/>
          <w:sz w:val="18"/>
        </w:rPr>
        <w:t>Supplementary Figure S7. Decision-curve comparison of the primary random-forest model and prespecified reduced-predictor sensitivity models.</w:t>
      </w:r>
      <w:r>
        <w:rPr>
          <w:rFonts w:hint="eastAsia" w:eastAsia="宋体"/>
          <w:b/>
          <w:sz w:val="18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>Decision curves compare the primary random-forest model with three prespecified reduced-predictor models in the internal algorithm-selection hold-out (left) and independent external-validation sample (right). Treat-all means prioritizing all participants for comprehensive cognitive assessment and treat-none means prioritizing none; these labels do not denote treatment administration. Abbreviations: DCA, decision-curve analysis; PSG, polysomnography; RF, random forest.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54FCD"/>
    <w:rsid w:val="3F9E48EB"/>
    <w:rsid w:val="6A41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546</Characters>
  <Lines>0</Lines>
  <Paragraphs>0</Paragraphs>
  <TotalTime>0</TotalTime>
  <ScaleCrop>false</ScaleCrop>
  <LinksUpToDate>false</LinksUpToDate>
  <CharactersWithSpaces>613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2026-08-27T16:21:06Z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