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582AD">
      <w:pPr>
        <w:jc w:val="center"/>
      </w:pPr>
      <w:r>
        <w:rPr>
          <w:rFonts w:ascii="Times New Roman" w:hAnsi="Times New Roman" w:eastAsia="Times New Roman"/>
          <w:b/>
          <w:sz w:val="22"/>
        </w:rPr>
        <w:t>Supplementary Table S</w:t>
      </w:r>
      <w:r>
        <w:rPr>
          <w:rFonts w:hint="eastAsia" w:eastAsia="宋体"/>
          <w:b/>
          <w:sz w:val="22"/>
          <w:lang w:val="en-US" w:eastAsia="zh-CN"/>
        </w:rPr>
        <w:t>1</w:t>
      </w:r>
      <w:bookmarkStart w:id="0" w:name="_GoBack"/>
      <w:bookmarkEnd w:id="0"/>
      <w:r>
        <w:rPr>
          <w:rFonts w:ascii="Times New Roman" w:hAnsi="Times New Roman" w:eastAsia="Times New Roman"/>
          <w:b/>
          <w:sz w:val="22"/>
        </w:rPr>
        <w:t>. Multicollinearity diagnostics for the nine predictors retained in the AHI-only model</w:t>
      </w:r>
    </w:p>
    <w:tbl>
      <w:tblPr>
        <w:tblStyle w:val="3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6"/>
        <w:gridCol w:w="3532"/>
        <w:gridCol w:w="2111"/>
        <w:gridCol w:w="3324"/>
      </w:tblGrid>
      <w:tr w14:paraId="1D6F3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31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04DAE404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Predictor</w:t>
            </w:r>
          </w:p>
        </w:tc>
        <w:tc>
          <w:tcPr>
            <w:tcW w:w="1208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359432E8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Coding</w:t>
            </w:r>
          </w:p>
        </w:tc>
        <w:tc>
          <w:tcPr>
            <w:tcW w:w="722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6DAA1A9A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VIF</w:t>
            </w:r>
          </w:p>
        </w:tc>
        <w:tc>
          <w:tcPr>
            <w:tcW w:w="1137" w:type="pct"/>
            <w:tcBorders>
              <w:top w:val="single" w:color="000000" w:sz="10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2D436F8F"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Tolerance</w:t>
            </w:r>
          </w:p>
        </w:tc>
      </w:tr>
      <w:tr w14:paraId="2D235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39023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Coffee consumption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66290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Categorical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3072B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1.170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A21C1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0.855</w:t>
            </w:r>
          </w:p>
        </w:tc>
      </w:tr>
      <w:tr w14:paraId="5D69C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FE863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Physical activity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330D3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Categorical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AA644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1.278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59C37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0.782</w:t>
            </w:r>
          </w:p>
        </w:tc>
      </w:tr>
      <w:tr w14:paraId="14622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54F84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AHI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3B4F5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Continuous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7CFB8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1.354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B38B6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0.739</w:t>
            </w:r>
          </w:p>
        </w:tc>
      </w:tr>
      <w:tr w14:paraId="50CF8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E2424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MSaO₂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CF270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Continuous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ADF05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1.187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421F5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0.843</w:t>
            </w:r>
          </w:p>
        </w:tc>
      </w:tr>
      <w:tr w14:paraId="2FE82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82BC6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PHQ-9 total score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5A7DE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Continuous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33790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1.809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08998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0.553</w:t>
            </w:r>
          </w:p>
        </w:tc>
      </w:tr>
      <w:tr w14:paraId="27E12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2C17C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GAD-7 total score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5A61B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Continuous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512F7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1.428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57F0B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0.700</w:t>
            </w:r>
          </w:p>
        </w:tc>
      </w:tr>
      <w:tr w14:paraId="4D6E2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71746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ESS total score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BEF5A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Continuous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D64CD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1.674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CE02C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0.597</w:t>
            </w:r>
          </w:p>
        </w:tc>
      </w:tr>
      <w:tr w14:paraId="5B160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30B9F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 w:val="0"/>
                <w:sz w:val="17"/>
                <w:lang w:eastAsia="zh-CN"/>
              </w:rPr>
              <w:t>CPSS-14 total score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7B70B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Continuous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48529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1.487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84246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0.673</w:t>
            </w:r>
          </w:p>
        </w:tc>
      </w:tr>
      <w:tr w14:paraId="1FA1C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1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3D480484"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PSQI total score</w:t>
            </w:r>
          </w:p>
        </w:tc>
        <w:tc>
          <w:tcPr>
            <w:tcW w:w="1208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795D8E9A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Continuous</w:t>
            </w:r>
          </w:p>
        </w:tc>
        <w:tc>
          <w:tcPr>
            <w:tcW w:w="722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12DD5ABB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1.196</w:t>
            </w:r>
          </w:p>
        </w:tc>
        <w:tc>
          <w:tcPr>
            <w:tcW w:w="1137" w:type="pct"/>
            <w:tcBorders>
              <w:top w:val="nil"/>
              <w:left w:val="nil"/>
              <w:bottom w:val="single" w:color="000000" w:sz="10" w:space="0"/>
              <w:right w:val="nil"/>
            </w:tcBorders>
            <w:vAlign w:val="center"/>
          </w:tcPr>
          <w:p w14:paraId="0B90FAA5"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17"/>
              </w:rPr>
              <w:t>0.836</w:t>
            </w:r>
          </w:p>
        </w:tc>
      </w:tr>
    </w:tbl>
    <w:p w14:paraId="079D0F8B">
      <w:pPr>
        <w:spacing w:before="60" w:after="0"/>
      </w:pPr>
      <w:r>
        <w:rPr>
          <w:rFonts w:ascii="Times New Roman" w:hAnsi="Times New Roman" w:eastAsia="Times New Roman"/>
          <w:sz w:val="17"/>
        </w:rPr>
        <w:t>Note. Categorical predictors were dummy coded, and the maximum VIF and corresponding minimum tolerance across non-reference levels are reported. A VIF &lt;5 and tolerance &gt;0.10 were considered acceptable. AHI, apnea-hypopnea index; MSaO₂, mean oxygen saturation; PHQ-9, Patient Health Questionnaire-9; GAD-7, Generalized Anxiety Disorder-7; ESS, Epworth Sleepiness Scale; CPSS-14, 14-item Chinese Perceived Stress Scale; PSQI, Pittsburgh Sleep Quality Index.</w:t>
      </w:r>
    </w:p>
    <w:sectPr>
      <w:pgSz w:w="15840" w:h="12240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1E2F2F"/>
    <w:rsid w:val="57D82001"/>
    <w:rsid w:val="6BD7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817</Characters>
  <Lines>0</Lines>
  <Paragraphs>0</Paragraphs>
  <TotalTime>1</TotalTime>
  <ScaleCrop>false</ScaleCrop>
  <LinksUpToDate>false</LinksUpToDate>
  <CharactersWithSpaces>899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2026-08-11T03:54:43Z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2052-12.1.0.28022</vt:lpwstr>
  </property>
  <property fmtid="{D5CDD505-2E9C-101B-9397-08002B2CF9AE}" pid="4" name="ICV">
    <vt:lpwstr>6BBC3F5FC9BA4822808D108C675FC11F_12</vt:lpwstr>
  </property>
</Properties>
</file>