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64" w:rsidRPr="00D867A0" w:rsidRDefault="00822B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</w:t>
      </w:r>
    </w:p>
    <w:p w:rsidR="00D867A0" w:rsidRPr="00D867A0" w:rsidRDefault="00D867A0" w:rsidP="00D867A0">
      <w:pPr>
        <w:rPr>
          <w:rFonts w:ascii="Times New Roman" w:hAnsi="Times New Roman" w:cs="Times New Roman"/>
        </w:rPr>
      </w:pPr>
      <w:r w:rsidRPr="00D867A0">
        <w:rPr>
          <w:rFonts w:ascii="Times New Roman" w:hAnsi="Times New Roman" w:cs="Times New Roman"/>
          <w:noProof/>
        </w:rPr>
        <w:drawing>
          <wp:inline distT="0" distB="0" distL="0" distR="0">
            <wp:extent cx="6271591" cy="3349487"/>
            <wp:effectExtent l="0" t="0" r="15240" b="228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822B28" w:rsidP="00D867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 w:rsidR="00D867A0" w:rsidRPr="00D867A0">
        <w:rPr>
          <w:rFonts w:ascii="Times New Roman" w:hAnsi="Times New Roman" w:cs="Times New Roman"/>
        </w:rPr>
        <w:t>: Median Costs (US$) of Inpatient-ARI in Northern India by Age and Type of Facility</w:t>
      </w: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A26EA3" w:rsidP="00D867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</w:t>
      </w:r>
      <w:r w:rsidR="00D867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="00D867A0">
        <w:rPr>
          <w:rFonts w:ascii="Times New Roman" w:hAnsi="Times New Roman" w:cs="Times New Roman"/>
        </w:rPr>
        <w:t xml:space="preserve">2 </w:t>
      </w:r>
      <w:r w:rsidR="00D867A0" w:rsidRPr="00D867A0">
        <w:rPr>
          <w:rFonts w:ascii="Times New Roman" w:hAnsi="Times New Roman" w:cs="Times New Roman"/>
        </w:rPr>
        <w:t xml:space="preserve"> Median costs (and IQR) in 2012 US$ of acute respiratory infection requiring outpatient care by age, August 2012-March 2013,National Capital Region and Srinagar, India, N=1056</w:t>
      </w:r>
    </w:p>
    <w:tbl>
      <w:tblPr>
        <w:tblStyle w:val="LightShading"/>
        <w:tblW w:w="4925" w:type="pct"/>
        <w:tblLook w:val="04A0"/>
      </w:tblPr>
      <w:tblGrid>
        <w:gridCol w:w="1659"/>
        <w:gridCol w:w="908"/>
        <w:gridCol w:w="963"/>
        <w:gridCol w:w="894"/>
        <w:gridCol w:w="1028"/>
        <w:gridCol w:w="898"/>
        <w:gridCol w:w="962"/>
        <w:gridCol w:w="964"/>
        <w:gridCol w:w="1156"/>
      </w:tblGrid>
      <w:tr w:rsidR="00D867A0" w:rsidRPr="00D867A0" w:rsidTr="008F6CCD">
        <w:trPr>
          <w:cnfStyle w:val="100000000000"/>
          <w:trHeight w:val="246"/>
        </w:trPr>
        <w:tc>
          <w:tcPr>
            <w:cnfStyle w:val="001000000000"/>
            <w:tcW w:w="798" w:type="pct"/>
            <w:vMerge w:val="restart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  <w:gridSpan w:val="2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&lt;=5 years</w:t>
            </w:r>
          </w:p>
        </w:tc>
        <w:tc>
          <w:tcPr>
            <w:tcW w:w="1039" w:type="pct"/>
            <w:gridSpan w:val="2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6-17 years</w:t>
            </w:r>
          </w:p>
        </w:tc>
        <w:tc>
          <w:tcPr>
            <w:tcW w:w="1006" w:type="pct"/>
            <w:gridSpan w:val="2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18-64 years</w:t>
            </w:r>
          </w:p>
        </w:tc>
        <w:tc>
          <w:tcPr>
            <w:tcW w:w="1144" w:type="pct"/>
            <w:gridSpan w:val="2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&gt;=65 years</w:t>
            </w:r>
          </w:p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cnfStyle w:val="000000100000"/>
          <w:trHeight w:val="736"/>
        </w:trPr>
        <w:tc>
          <w:tcPr>
            <w:cnfStyle w:val="001000000000"/>
            <w:tcW w:w="798" w:type="pct"/>
            <w:vMerge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n=262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n=118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 xml:space="preserve">Public 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n=110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n=26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n=345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n=64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n=121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n=10</w:t>
            </w:r>
          </w:p>
        </w:tc>
      </w:tr>
      <w:tr w:rsidR="00D867A0" w:rsidRPr="00D867A0" w:rsidTr="008F6CCD">
        <w:trPr>
          <w:trHeight w:val="216"/>
        </w:trPr>
        <w:tc>
          <w:tcPr>
            <w:cnfStyle w:val="001000000000"/>
            <w:tcW w:w="798" w:type="pc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 xml:space="preserve">Consultation </w:t>
            </w:r>
          </w:p>
        </w:tc>
        <w:tc>
          <w:tcPr>
            <w:tcW w:w="492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3.2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(2.4-3.2)</w:t>
            </w:r>
          </w:p>
        </w:tc>
        <w:tc>
          <w:tcPr>
            <w:tcW w:w="484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5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2.4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(0.8-3.2)</w:t>
            </w:r>
          </w:p>
        </w:tc>
        <w:tc>
          <w:tcPr>
            <w:tcW w:w="486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0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0.8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(0.8-1.6)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2.4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 xml:space="preserve"> (0.8-2.4)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cnfStyle w:val="000000100000"/>
          <w:trHeight w:val="216"/>
        </w:trPr>
        <w:tc>
          <w:tcPr>
            <w:cnfStyle w:val="001000000000"/>
            <w:tcW w:w="798" w:type="pc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Out-of-pocket patient direct  medical cost</w:t>
            </w:r>
            <w:r w:rsidRPr="00D867A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492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1.6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(0.6-3.2)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4.0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(2.4-6.0)</w:t>
            </w:r>
          </w:p>
        </w:tc>
        <w:tc>
          <w:tcPr>
            <w:tcW w:w="484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1.3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(0.8-4.0)</w:t>
            </w:r>
          </w:p>
        </w:tc>
        <w:tc>
          <w:tcPr>
            <w:tcW w:w="555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2.3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(0.4-17.7)</w:t>
            </w:r>
          </w:p>
        </w:tc>
        <w:tc>
          <w:tcPr>
            <w:tcW w:w="486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 xml:space="preserve">1.6 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(0.6-4.0)</w:t>
            </w:r>
          </w:p>
        </w:tc>
        <w:tc>
          <w:tcPr>
            <w:tcW w:w="520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2.1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(0.8-4.8)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2.4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(0.9-6.0)</w:t>
            </w:r>
          </w:p>
        </w:tc>
        <w:tc>
          <w:tcPr>
            <w:tcW w:w="623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 xml:space="preserve">4.8 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(2.7-6.4)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trHeight w:val="216"/>
        </w:trPr>
        <w:tc>
          <w:tcPr>
            <w:cnfStyle w:val="001000000000"/>
            <w:tcW w:w="798" w:type="pc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Transportation cost</w:t>
            </w:r>
          </w:p>
        </w:tc>
        <w:tc>
          <w:tcPr>
            <w:tcW w:w="492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1.0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(0.5-1.6)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0.8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(0.5-1.6)</w:t>
            </w:r>
          </w:p>
        </w:tc>
        <w:tc>
          <w:tcPr>
            <w:tcW w:w="484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0.8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(0.6-2.4)</w:t>
            </w:r>
          </w:p>
        </w:tc>
        <w:tc>
          <w:tcPr>
            <w:tcW w:w="555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0.8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(0.3-1.1)</w:t>
            </w:r>
          </w:p>
        </w:tc>
        <w:tc>
          <w:tcPr>
            <w:tcW w:w="486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0.6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(0.3-1.6)</w:t>
            </w:r>
          </w:p>
        </w:tc>
        <w:tc>
          <w:tcPr>
            <w:tcW w:w="520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0.5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(0.2-0.8)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1.0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(0.6-2.4)</w:t>
            </w:r>
          </w:p>
        </w:tc>
        <w:tc>
          <w:tcPr>
            <w:tcW w:w="623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3.2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(3.2-3.2)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cnfStyle w:val="000000100000"/>
          <w:trHeight w:val="216"/>
        </w:trPr>
        <w:tc>
          <w:tcPr>
            <w:cnfStyle w:val="001000000000"/>
            <w:tcW w:w="798" w:type="pc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Estimated government cost</w:t>
            </w:r>
            <w:r w:rsidRPr="00D867A0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4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5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6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20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23" w:type="pct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trHeight w:val="216"/>
        </w:trPr>
        <w:tc>
          <w:tcPr>
            <w:cnfStyle w:val="001000000000"/>
            <w:tcW w:w="798" w:type="pc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Total direct medical</w:t>
            </w:r>
            <w:r w:rsidRPr="00D867A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92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484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55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86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20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21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623" w:type="pct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10.4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</w:tbl>
    <w:p w:rsidR="00D867A0" w:rsidRPr="00D867A0" w:rsidRDefault="00D867A0" w:rsidP="00D867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867A0">
        <w:rPr>
          <w:rFonts w:ascii="Times New Roman" w:hAnsi="Times New Roman" w:cs="Times New Roman"/>
        </w:rPr>
        <w:t xml:space="preserve">These are cost post visit and it includes prescriptions, diagnostics (X-ray/labs) bought after the visit </w:t>
      </w:r>
    </w:p>
    <w:p w:rsidR="00D867A0" w:rsidRPr="00D867A0" w:rsidRDefault="00D867A0" w:rsidP="00D867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867A0">
        <w:rPr>
          <w:rFonts w:ascii="Times New Roman" w:hAnsi="Times New Roman" w:cs="Times New Roman"/>
        </w:rPr>
        <w:t>Replaces consultation fee in public facilities</w:t>
      </w:r>
    </w:p>
    <w:p w:rsidR="00D867A0" w:rsidRPr="00D867A0" w:rsidRDefault="00D867A0" w:rsidP="00D867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867A0">
        <w:rPr>
          <w:rFonts w:ascii="Times New Roman" w:hAnsi="Times New Roman" w:cs="Times New Roman"/>
        </w:rPr>
        <w:t>Direct medical cost is the sum of consultation, out of pocket direct medical, and transportation cost.</w:t>
      </w:r>
    </w:p>
    <w:p w:rsidR="00D867A0" w:rsidRPr="00D867A0" w:rsidRDefault="00D867A0" w:rsidP="00D867A0">
      <w:pPr>
        <w:spacing w:after="0" w:line="240" w:lineRule="auto"/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D867A0" w:rsidP="00D867A0">
      <w:pPr>
        <w:rPr>
          <w:rFonts w:ascii="Times New Roman" w:hAnsi="Times New Roman" w:cs="Times New Roman"/>
        </w:rPr>
      </w:pPr>
    </w:p>
    <w:p w:rsidR="00D867A0" w:rsidRDefault="00D867A0" w:rsidP="00D867A0">
      <w:pPr>
        <w:rPr>
          <w:rFonts w:ascii="Times New Roman" w:hAnsi="Times New Roman" w:cs="Times New Roman"/>
        </w:rPr>
      </w:pPr>
    </w:p>
    <w:p w:rsidR="00D867A0" w:rsidRDefault="00D867A0" w:rsidP="00D867A0">
      <w:pPr>
        <w:rPr>
          <w:rFonts w:ascii="Times New Roman" w:hAnsi="Times New Roman" w:cs="Times New Roman"/>
        </w:rPr>
      </w:pPr>
    </w:p>
    <w:p w:rsidR="00D867A0" w:rsidRDefault="00D867A0" w:rsidP="00D867A0">
      <w:pPr>
        <w:rPr>
          <w:rFonts w:ascii="Times New Roman" w:hAnsi="Times New Roman" w:cs="Times New Roman"/>
        </w:rPr>
      </w:pPr>
    </w:p>
    <w:p w:rsidR="00D867A0" w:rsidRDefault="00D867A0" w:rsidP="00D867A0">
      <w:pPr>
        <w:rPr>
          <w:rFonts w:ascii="Times New Roman" w:hAnsi="Times New Roman" w:cs="Times New Roman"/>
        </w:rPr>
      </w:pPr>
    </w:p>
    <w:p w:rsidR="00D867A0" w:rsidRDefault="00D867A0" w:rsidP="00D867A0">
      <w:pPr>
        <w:rPr>
          <w:rFonts w:ascii="Times New Roman" w:hAnsi="Times New Roman" w:cs="Times New Roman"/>
        </w:rPr>
      </w:pPr>
    </w:p>
    <w:p w:rsidR="00D867A0" w:rsidRDefault="00D867A0" w:rsidP="00D867A0">
      <w:pPr>
        <w:rPr>
          <w:rFonts w:ascii="Times New Roman" w:hAnsi="Times New Roman" w:cs="Times New Roman"/>
        </w:rPr>
      </w:pPr>
    </w:p>
    <w:p w:rsidR="00D867A0" w:rsidRPr="00D867A0" w:rsidRDefault="00A26EA3" w:rsidP="00D867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D867A0">
        <w:rPr>
          <w:rFonts w:ascii="Times New Roman" w:hAnsi="Times New Roman" w:cs="Times New Roman"/>
        </w:rPr>
        <w:t>3</w:t>
      </w:r>
      <w:r w:rsidR="00D867A0" w:rsidRPr="00D867A0">
        <w:rPr>
          <w:rFonts w:ascii="Times New Roman" w:hAnsi="Times New Roman" w:cs="Times New Roman"/>
        </w:rPr>
        <w:t xml:space="preserve"> Median costs (and IQR) in 2012 US$ of acute respiratory infections (ARI) requiring inpatient care by type of facility, level of care, and age group, August 2012-March 2013, National Capital Region and Srinagar, India, N=451</w:t>
      </w:r>
    </w:p>
    <w:tbl>
      <w:tblPr>
        <w:tblStyle w:val="LightShading"/>
        <w:tblW w:w="0" w:type="auto"/>
        <w:tblLook w:val="04A0"/>
      </w:tblPr>
      <w:tblGrid>
        <w:gridCol w:w="1316"/>
        <w:gridCol w:w="955"/>
        <w:gridCol w:w="1418"/>
        <w:gridCol w:w="1653"/>
        <w:gridCol w:w="1381"/>
        <w:gridCol w:w="1499"/>
        <w:gridCol w:w="1354"/>
      </w:tblGrid>
      <w:tr w:rsidR="00D867A0" w:rsidRPr="00D867A0" w:rsidTr="008F6CCD">
        <w:trPr>
          <w:cnfStyle w:val="100000000000"/>
        </w:trPr>
        <w:tc>
          <w:tcPr>
            <w:cnfStyle w:val="001000000000"/>
            <w:tcW w:w="2448" w:type="dxa"/>
            <w:gridSpan w:val="2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Direct out-of-pocket cost</w:t>
            </w:r>
            <w:r w:rsidRPr="00D867A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054" w:type="dxa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 xml:space="preserve"> Estimated government cost</w:t>
            </w:r>
            <w:r w:rsidRPr="00D867A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71" w:type="dxa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Total direct cost</w:t>
            </w:r>
            <w:r w:rsidRPr="00D867A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72" w:type="dxa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Indirect cost to society</w:t>
            </w:r>
            <w:r w:rsidRPr="00D867A0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71" w:type="dxa"/>
          </w:tcPr>
          <w:p w:rsidR="00D867A0" w:rsidRPr="00D867A0" w:rsidRDefault="00D867A0" w:rsidP="00D867A0">
            <w:pPr>
              <w:cnfStyle w:val="1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Total cost of ARI</w:t>
            </w:r>
          </w:p>
        </w:tc>
      </w:tr>
      <w:tr w:rsidR="00D867A0" w:rsidRPr="00D867A0" w:rsidTr="008F6CCD">
        <w:trPr>
          <w:cnfStyle w:val="000000100000"/>
        </w:trPr>
        <w:tc>
          <w:tcPr>
            <w:cnfStyle w:val="001000000000"/>
            <w:tcW w:w="13176" w:type="dxa"/>
            <w:gridSpan w:val="7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Level of Facility</w:t>
            </w:r>
          </w:p>
        </w:tc>
      </w:tr>
      <w:tr w:rsidR="00D867A0" w:rsidRPr="00D867A0" w:rsidTr="008F6CCD">
        <w:trPr>
          <w:trHeight w:val="431"/>
        </w:trPr>
        <w:tc>
          <w:tcPr>
            <w:cnfStyle w:val="001000000000"/>
            <w:tcW w:w="1458" w:type="dxa"/>
            <w:vMerge w:val="restar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Secondary level care</w:t>
            </w:r>
          </w:p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(n=36)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(2-12)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38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(31-46)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42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(33-58)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24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(21-27)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66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(54-85)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cnfStyle w:val="000000100000"/>
        </w:trPr>
        <w:tc>
          <w:tcPr>
            <w:cnfStyle w:val="001000000000"/>
            <w:tcW w:w="1458" w:type="dxa"/>
            <w:vMerge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(n=84)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149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(114-232)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149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(114-232)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21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(17-24)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170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(131-256)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c>
          <w:tcPr>
            <w:cnfStyle w:val="001000000000"/>
            <w:tcW w:w="1458" w:type="dxa"/>
            <w:vMerge w:val="restar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Tertiary level care</w:t>
            </w: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(n=289)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31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(11-112)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80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(49-119)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111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(60-231)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34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(24-48)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145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(84-279)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cnfStyle w:val="000000100000"/>
        </w:trPr>
        <w:tc>
          <w:tcPr>
            <w:cnfStyle w:val="001000000000"/>
            <w:tcW w:w="1458" w:type="dxa"/>
            <w:vMerge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(n=42)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393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(237-744)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393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(237-744)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21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(17-27)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414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(254-771)</w:t>
            </w:r>
          </w:p>
        </w:tc>
      </w:tr>
      <w:tr w:rsidR="00D867A0" w:rsidRPr="00D867A0" w:rsidTr="008F6CCD">
        <w:tc>
          <w:tcPr>
            <w:cnfStyle w:val="001000000000"/>
            <w:tcW w:w="13176" w:type="dxa"/>
            <w:gridSpan w:val="7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Age Group</w:t>
            </w:r>
          </w:p>
        </w:tc>
      </w:tr>
      <w:tr w:rsidR="00D867A0" w:rsidRPr="00D867A0" w:rsidTr="008F6CCD">
        <w:trPr>
          <w:cnfStyle w:val="000000100000"/>
        </w:trPr>
        <w:tc>
          <w:tcPr>
            <w:cnfStyle w:val="001000000000"/>
            <w:tcW w:w="1458" w:type="dxa"/>
            <w:vMerge w:val="restar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0-5 years</w:t>
            </w: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(n=100)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10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(4-33)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44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(26-70)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54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(30-103)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24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(17-34)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78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(47-137)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c>
          <w:tcPr>
            <w:cnfStyle w:val="001000000000"/>
            <w:tcW w:w="1458" w:type="dxa"/>
            <w:vMerge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(n=35)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136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(103-185)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135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(103-185)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21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(17-24)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156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(120-209)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cnfStyle w:val="000000100000"/>
        </w:trPr>
        <w:tc>
          <w:tcPr>
            <w:cnfStyle w:val="001000000000"/>
            <w:tcW w:w="1458" w:type="dxa"/>
            <w:vMerge w:val="restar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6-17 years</w:t>
            </w: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(n=10)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21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(6-52)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44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(26-79)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65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(32-131)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24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(17-38)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89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(49-169)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c>
          <w:tcPr>
            <w:cnfStyle w:val="001000000000"/>
            <w:tcW w:w="1458" w:type="dxa"/>
            <w:vMerge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(n=9)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151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(116-167)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151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(115-167)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21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(21-24)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172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(136-191)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cnfStyle w:val="000000100000"/>
        </w:trPr>
        <w:tc>
          <w:tcPr>
            <w:cnfStyle w:val="001000000000"/>
            <w:tcW w:w="1458" w:type="dxa"/>
            <w:vMerge w:val="restar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18-64 years</w:t>
            </w: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(n=92)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33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(19-152)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83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(27-48)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116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(46-200)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39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(27-48)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155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(73-248)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c>
          <w:tcPr>
            <w:cnfStyle w:val="001000000000"/>
            <w:tcW w:w="1458" w:type="dxa"/>
            <w:vMerge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(n=45)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208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(139-340)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208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(139-340)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21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(17-24)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229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(156-364)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867A0" w:rsidRPr="00D867A0" w:rsidTr="008F6CCD">
        <w:trPr>
          <w:cnfStyle w:val="000000100000"/>
        </w:trPr>
        <w:tc>
          <w:tcPr>
            <w:cnfStyle w:val="001000000000"/>
            <w:tcW w:w="1458" w:type="dxa"/>
            <w:vMerge w:val="restart"/>
            <w:shd w:val="clear" w:color="auto" w:fill="auto"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&gt;=65 years</w:t>
            </w:r>
          </w:p>
        </w:tc>
        <w:tc>
          <w:tcPr>
            <w:tcW w:w="99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Public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(n=123)</w:t>
            </w:r>
          </w:p>
        </w:tc>
        <w:tc>
          <w:tcPr>
            <w:tcW w:w="2160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41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(19-144)</w:t>
            </w:r>
          </w:p>
        </w:tc>
        <w:tc>
          <w:tcPr>
            <w:tcW w:w="2054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79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(53-105)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120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(72-249)</w:t>
            </w:r>
          </w:p>
        </w:tc>
        <w:tc>
          <w:tcPr>
            <w:tcW w:w="2172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38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(27-48)</w:t>
            </w:r>
          </w:p>
        </w:tc>
        <w:tc>
          <w:tcPr>
            <w:tcW w:w="2171" w:type="dxa"/>
            <w:shd w:val="clear" w:color="auto" w:fill="auto"/>
          </w:tcPr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158</w:t>
            </w:r>
          </w:p>
          <w:p w:rsidR="00D867A0" w:rsidRPr="00D867A0" w:rsidRDefault="00D867A0" w:rsidP="00D867A0">
            <w:pPr>
              <w:cnfStyle w:val="0000001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(99-297)</w:t>
            </w:r>
          </w:p>
        </w:tc>
      </w:tr>
      <w:tr w:rsidR="00D867A0" w:rsidRPr="00D867A0" w:rsidTr="008F6CCD">
        <w:tc>
          <w:tcPr>
            <w:cnfStyle w:val="001000000000"/>
            <w:tcW w:w="1458" w:type="dxa"/>
            <w:vMerge/>
          </w:tcPr>
          <w:p w:rsidR="00D867A0" w:rsidRPr="00D867A0" w:rsidRDefault="00D867A0" w:rsidP="00D86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Private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(n=37)</w:t>
            </w:r>
          </w:p>
        </w:tc>
        <w:tc>
          <w:tcPr>
            <w:tcW w:w="2160" w:type="dxa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355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(208-690)</w:t>
            </w:r>
          </w:p>
        </w:tc>
        <w:tc>
          <w:tcPr>
            <w:tcW w:w="2054" w:type="dxa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1" w:type="dxa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355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(208-690)</w:t>
            </w:r>
          </w:p>
        </w:tc>
        <w:tc>
          <w:tcPr>
            <w:tcW w:w="2172" w:type="dxa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21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(21-24)</w:t>
            </w:r>
          </w:p>
        </w:tc>
        <w:tc>
          <w:tcPr>
            <w:tcW w:w="2171" w:type="dxa"/>
          </w:tcPr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376</w:t>
            </w:r>
          </w:p>
          <w:p w:rsidR="00D867A0" w:rsidRPr="00D867A0" w:rsidRDefault="00D867A0" w:rsidP="00D867A0">
            <w:pPr>
              <w:cnfStyle w:val="000000000000"/>
              <w:rPr>
                <w:rFonts w:ascii="Times New Roman" w:hAnsi="Times New Roman" w:cs="Times New Roman"/>
              </w:rPr>
            </w:pPr>
            <w:r w:rsidRPr="00D867A0">
              <w:rPr>
                <w:rFonts w:ascii="Times New Roman" w:hAnsi="Times New Roman" w:cs="Times New Roman"/>
              </w:rPr>
              <w:t>(229-714)</w:t>
            </w:r>
          </w:p>
        </w:tc>
      </w:tr>
    </w:tbl>
    <w:p w:rsidR="00D867A0" w:rsidRPr="00D867A0" w:rsidRDefault="00D867A0" w:rsidP="00D867A0">
      <w:pPr>
        <w:numPr>
          <w:ilvl w:val="0"/>
          <w:numId w:val="1"/>
        </w:numPr>
        <w:spacing w:after="0" w:line="240" w:lineRule="auto"/>
        <w:ind w:left="634"/>
        <w:rPr>
          <w:rFonts w:ascii="Times New Roman" w:hAnsi="Times New Roman" w:cs="Times New Roman"/>
        </w:rPr>
      </w:pPr>
      <w:r w:rsidRPr="00D867A0">
        <w:rPr>
          <w:rFonts w:ascii="Times New Roman" w:hAnsi="Times New Roman" w:cs="Times New Roman"/>
        </w:rPr>
        <w:t>Direct out-of-pocket cost includes admission, prescriptions, diagnostics (X-ray and Lab work) and transportation expenses</w:t>
      </w:r>
    </w:p>
    <w:p w:rsidR="00D867A0" w:rsidRPr="00D867A0" w:rsidRDefault="00D867A0" w:rsidP="00D867A0">
      <w:pPr>
        <w:numPr>
          <w:ilvl w:val="0"/>
          <w:numId w:val="1"/>
        </w:numPr>
        <w:spacing w:after="0" w:line="240" w:lineRule="auto"/>
        <w:ind w:left="634"/>
        <w:rPr>
          <w:rFonts w:ascii="Times New Roman" w:hAnsi="Times New Roman" w:cs="Times New Roman"/>
        </w:rPr>
      </w:pPr>
      <w:r w:rsidRPr="00D867A0">
        <w:rPr>
          <w:rFonts w:ascii="Times New Roman" w:hAnsi="Times New Roman" w:cs="Times New Roman"/>
        </w:rPr>
        <w:t>WHO CHOICE estimates (adjusted to 2013) multiplied by the length of stay. The average of secondary and tertiary level was used in the age group estimates</w:t>
      </w:r>
    </w:p>
    <w:p w:rsidR="00D867A0" w:rsidRPr="00D867A0" w:rsidRDefault="00D867A0" w:rsidP="00D867A0">
      <w:pPr>
        <w:numPr>
          <w:ilvl w:val="0"/>
          <w:numId w:val="1"/>
        </w:numPr>
        <w:spacing w:after="0" w:line="240" w:lineRule="auto"/>
        <w:ind w:left="634"/>
        <w:rPr>
          <w:rFonts w:ascii="Times New Roman" w:hAnsi="Times New Roman" w:cs="Times New Roman"/>
        </w:rPr>
      </w:pPr>
      <w:r w:rsidRPr="00D867A0">
        <w:rPr>
          <w:rFonts w:ascii="Times New Roman" w:hAnsi="Times New Roman" w:cs="Times New Roman"/>
        </w:rPr>
        <w:t xml:space="preserve">Total direct cost is the sum of direct out-of-pocket cost and estimated government cost-of –bed charges </w:t>
      </w:r>
    </w:p>
    <w:p w:rsidR="00D867A0" w:rsidRPr="00D867A0" w:rsidRDefault="00D867A0" w:rsidP="00D867A0">
      <w:pPr>
        <w:numPr>
          <w:ilvl w:val="0"/>
          <w:numId w:val="1"/>
        </w:numPr>
        <w:spacing w:after="0" w:line="240" w:lineRule="auto"/>
        <w:ind w:left="634"/>
        <w:rPr>
          <w:rFonts w:ascii="Times New Roman" w:hAnsi="Times New Roman" w:cs="Times New Roman"/>
        </w:rPr>
      </w:pPr>
      <w:r w:rsidRPr="00D867A0">
        <w:rPr>
          <w:rFonts w:ascii="Times New Roman" w:hAnsi="Times New Roman" w:cs="Times New Roman"/>
        </w:rPr>
        <w:t>Indirect cost is the per capita income per day multiplied by the sum of length of hospital stay plus 2 days</w:t>
      </w:r>
      <w:bookmarkStart w:id="0" w:name="_GoBack"/>
      <w:bookmarkEnd w:id="0"/>
    </w:p>
    <w:sectPr w:rsidR="00D867A0" w:rsidRPr="00D867A0" w:rsidSect="00D867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95E4A"/>
    <w:multiLevelType w:val="hybridMultilevel"/>
    <w:tmpl w:val="5E6CDC06"/>
    <w:lvl w:ilvl="0" w:tplc="760668B6">
      <w:start w:val="1"/>
      <w:numFmt w:val="decimal"/>
      <w:lvlText w:val="%1."/>
      <w:lvlJc w:val="left"/>
      <w:pPr>
        <w:ind w:left="63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78F21B50"/>
    <w:multiLevelType w:val="hybridMultilevel"/>
    <w:tmpl w:val="C3D67F8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D867A0"/>
    <w:rsid w:val="002806A0"/>
    <w:rsid w:val="00822B28"/>
    <w:rsid w:val="00A26EA3"/>
    <w:rsid w:val="00D867A0"/>
    <w:rsid w:val="00E5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D867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8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D867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8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7.4683830639591123E-2"/>
          <c:y val="4.6925273394080168E-2"/>
          <c:w val="0.74039904770628562"/>
          <c:h val="0.76856567239353091"/>
        </c:manualLayout>
      </c:layout>
      <c:barChart>
        <c:barDir val="col"/>
        <c:grouping val="clustered"/>
        <c:ser>
          <c:idx val="0"/>
          <c:order val="0"/>
          <c:tx>
            <c:strRef>
              <c:f>Sheet3!$C$2</c:f>
              <c:strCache>
                <c:ptCount val="1"/>
                <c:pt idx="0">
                  <c:v>Total Direct Cost</c:v>
                </c:pt>
              </c:strCache>
            </c:strRef>
          </c:tx>
          <c:cat>
            <c:multiLvlStrRef>
              <c:f>Sheet3!$A$3:$B$10</c:f>
              <c:multiLvlStrCache>
                <c:ptCount val="8"/>
                <c:lvl>
                  <c:pt idx="0">
                    <c:v>Public</c:v>
                  </c:pt>
                  <c:pt idx="1">
                    <c:v>Private</c:v>
                  </c:pt>
                  <c:pt idx="2">
                    <c:v>Public</c:v>
                  </c:pt>
                  <c:pt idx="3">
                    <c:v>Private</c:v>
                  </c:pt>
                  <c:pt idx="4">
                    <c:v>Public</c:v>
                  </c:pt>
                  <c:pt idx="5">
                    <c:v>Private</c:v>
                  </c:pt>
                  <c:pt idx="6">
                    <c:v>Public</c:v>
                  </c:pt>
                  <c:pt idx="7">
                    <c:v>Private</c:v>
                  </c:pt>
                </c:lvl>
                <c:lvl>
                  <c:pt idx="0">
                    <c:v>&lt;=5years</c:v>
                  </c:pt>
                  <c:pt idx="2">
                    <c:v>6-17 years</c:v>
                  </c:pt>
                  <c:pt idx="4">
                    <c:v>18-64 years</c:v>
                  </c:pt>
                  <c:pt idx="6">
                    <c:v>&gt;=65 years</c:v>
                  </c:pt>
                </c:lvl>
              </c:multiLvlStrCache>
            </c:multiLvlStrRef>
          </c:cat>
          <c:val>
            <c:numRef>
              <c:f>Sheet3!$C$3:$C$10</c:f>
              <c:numCache>
                <c:formatCode>General</c:formatCode>
                <c:ptCount val="8"/>
                <c:pt idx="0">
                  <c:v>54</c:v>
                </c:pt>
                <c:pt idx="1">
                  <c:v>135</c:v>
                </c:pt>
                <c:pt idx="2">
                  <c:v>65</c:v>
                </c:pt>
                <c:pt idx="3">
                  <c:v>151</c:v>
                </c:pt>
                <c:pt idx="4">
                  <c:v>116</c:v>
                </c:pt>
                <c:pt idx="5">
                  <c:v>208</c:v>
                </c:pt>
                <c:pt idx="6">
                  <c:v>120</c:v>
                </c:pt>
                <c:pt idx="7">
                  <c:v>355</c:v>
                </c:pt>
              </c:numCache>
            </c:numRef>
          </c:val>
        </c:ser>
        <c:ser>
          <c:idx val="1"/>
          <c:order val="1"/>
          <c:tx>
            <c:strRef>
              <c:f>Sheet3!$D$2</c:f>
              <c:strCache>
                <c:ptCount val="1"/>
                <c:pt idx="0">
                  <c:v>Indirect Cost</c:v>
                </c:pt>
              </c:strCache>
            </c:strRef>
          </c:tx>
          <c:cat>
            <c:multiLvlStrRef>
              <c:f>Sheet3!$A$3:$B$10</c:f>
              <c:multiLvlStrCache>
                <c:ptCount val="8"/>
                <c:lvl>
                  <c:pt idx="0">
                    <c:v>Public</c:v>
                  </c:pt>
                  <c:pt idx="1">
                    <c:v>Private</c:v>
                  </c:pt>
                  <c:pt idx="2">
                    <c:v>Public</c:v>
                  </c:pt>
                  <c:pt idx="3">
                    <c:v>Private</c:v>
                  </c:pt>
                  <c:pt idx="4">
                    <c:v>Public</c:v>
                  </c:pt>
                  <c:pt idx="5">
                    <c:v>Private</c:v>
                  </c:pt>
                  <c:pt idx="6">
                    <c:v>Public</c:v>
                  </c:pt>
                  <c:pt idx="7">
                    <c:v>Private</c:v>
                  </c:pt>
                </c:lvl>
                <c:lvl>
                  <c:pt idx="0">
                    <c:v>&lt;=5years</c:v>
                  </c:pt>
                  <c:pt idx="2">
                    <c:v>6-17 years</c:v>
                  </c:pt>
                  <c:pt idx="4">
                    <c:v>18-64 years</c:v>
                  </c:pt>
                  <c:pt idx="6">
                    <c:v>&gt;=65 years</c:v>
                  </c:pt>
                </c:lvl>
              </c:multiLvlStrCache>
            </c:multiLvlStrRef>
          </c:cat>
          <c:val>
            <c:numRef>
              <c:f>Sheet3!$D$3:$D$10</c:f>
              <c:numCache>
                <c:formatCode>General</c:formatCode>
                <c:ptCount val="8"/>
                <c:pt idx="0">
                  <c:v>24</c:v>
                </c:pt>
                <c:pt idx="1">
                  <c:v>21</c:v>
                </c:pt>
                <c:pt idx="2">
                  <c:v>24</c:v>
                </c:pt>
                <c:pt idx="3">
                  <c:v>21</c:v>
                </c:pt>
                <c:pt idx="4">
                  <c:v>39</c:v>
                </c:pt>
                <c:pt idx="5">
                  <c:v>21</c:v>
                </c:pt>
                <c:pt idx="6">
                  <c:v>38</c:v>
                </c:pt>
                <c:pt idx="7">
                  <c:v>21</c:v>
                </c:pt>
              </c:numCache>
            </c:numRef>
          </c:val>
        </c:ser>
        <c:dLbls/>
        <c:axId val="76020736"/>
        <c:axId val="79824000"/>
      </c:barChart>
      <c:catAx>
        <c:axId val="76020736"/>
        <c:scaling>
          <c:orientation val="minMax"/>
        </c:scaling>
        <c:axPos val="b"/>
        <c:tickLblPos val="nextTo"/>
        <c:crossAx val="79824000"/>
        <c:crosses val="autoZero"/>
        <c:auto val="1"/>
        <c:lblAlgn val="ctr"/>
        <c:lblOffset val="100"/>
      </c:catAx>
      <c:valAx>
        <c:axId val="79824000"/>
        <c:scaling>
          <c:orientation val="minMax"/>
        </c:scaling>
        <c:axPos val="l"/>
        <c:numFmt formatCode="&quot;$&quot;#,##0" sourceLinked="0"/>
        <c:tickLblPos val="nextTo"/>
        <c:crossAx val="76020736"/>
        <c:crosses val="autoZero"/>
        <c:crossBetween val="between"/>
      </c:valAx>
      <c:spPr>
        <a:solidFill>
          <a:schemeClr val="bg2"/>
        </a:solidFill>
      </c:spPr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457</Words>
  <Characters>2609</Characters>
  <Application>Microsoft Office Word</Application>
  <DocSecurity>0</DocSecurity>
  <Lines>21</Lines>
  <Paragraphs>6</Paragraphs>
  <ScaleCrop>false</ScaleCrop>
  <Company>Mercer University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K. Peasah</dc:creator>
  <cp:lastModifiedBy>parbon</cp:lastModifiedBy>
  <cp:revision>3</cp:revision>
  <dcterms:created xsi:type="dcterms:W3CDTF">2015-02-23T16:37:00Z</dcterms:created>
  <dcterms:modified xsi:type="dcterms:W3CDTF">2015-03-29T05:44:00Z</dcterms:modified>
</cp:coreProperties>
</file>