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EEE" w:rsidRPr="00B7553A" w:rsidRDefault="00E144FA" w:rsidP="00FD3EEE">
      <w:pPr>
        <w:jc w:val="center"/>
        <w:rPr>
          <w:b/>
          <w:lang w:val="en-US"/>
        </w:rPr>
      </w:pPr>
      <w:r>
        <w:rPr>
          <w:b/>
          <w:lang w:val="en-US"/>
        </w:rPr>
        <w:t>Additional file 3</w:t>
      </w:r>
      <w:bookmarkStart w:id="0" w:name="_GoBack"/>
      <w:bookmarkEnd w:id="0"/>
      <w:r w:rsidR="00FD3EEE" w:rsidRPr="00B7553A">
        <w:rPr>
          <w:b/>
          <w:lang w:val="en-US"/>
        </w:rPr>
        <w:t>: Summary table of key findings from studies selected</w:t>
      </w:r>
      <w:r w:rsidR="00077131">
        <w:rPr>
          <w:b/>
          <w:lang w:val="en-US"/>
        </w:rPr>
        <w:t xml:space="preserve"> by initial theme</w:t>
      </w:r>
    </w:p>
    <w:tbl>
      <w:tblPr>
        <w:tblStyle w:val="MediumGrid3-Accent1"/>
        <w:tblpPr w:leftFromText="180" w:rightFromText="180" w:vertAnchor="text" w:tblpY="1"/>
        <w:tblOverlap w:val="never"/>
        <w:tblW w:w="14142" w:type="dxa"/>
        <w:tblLayout w:type="fixed"/>
        <w:tblLook w:val="04A0" w:firstRow="1" w:lastRow="0" w:firstColumn="1" w:lastColumn="0" w:noHBand="0" w:noVBand="1"/>
      </w:tblPr>
      <w:tblGrid>
        <w:gridCol w:w="1702"/>
        <w:gridCol w:w="2126"/>
        <w:gridCol w:w="10314"/>
      </w:tblGrid>
      <w:tr w:rsidR="00FD3EEE" w:rsidTr="00BD4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FD3EEE" w:rsidRPr="00CC1AFD" w:rsidRDefault="00FD3EEE" w:rsidP="00655FF1">
            <w:pPr>
              <w:rPr>
                <w:b w:val="0"/>
              </w:rPr>
            </w:pPr>
            <w:r>
              <w:t>Theme</w:t>
            </w:r>
          </w:p>
        </w:tc>
        <w:tc>
          <w:tcPr>
            <w:tcW w:w="2126" w:type="dxa"/>
          </w:tcPr>
          <w:p w:rsidR="00FD3EEE" w:rsidRPr="00CC1AFD" w:rsidRDefault="00FD3EEE" w:rsidP="00655F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C1AFD">
              <w:t>Subthemes, if applicable</w:t>
            </w:r>
          </w:p>
        </w:tc>
        <w:tc>
          <w:tcPr>
            <w:tcW w:w="10314" w:type="dxa"/>
          </w:tcPr>
          <w:p w:rsidR="00FD3EEE" w:rsidRPr="00CC1AFD" w:rsidRDefault="00FD3EEE" w:rsidP="00655F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C1AFD">
              <w:t>Key findings</w:t>
            </w:r>
          </w:p>
        </w:tc>
      </w:tr>
      <w:tr w:rsidR="00A16EEC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A16EEC" w:rsidRDefault="00A16EEC" w:rsidP="009A324D">
            <w:pPr>
              <w:rPr>
                <w:b w:val="0"/>
                <w:lang w:val="en-US"/>
              </w:rPr>
            </w:pPr>
            <w:r>
              <w:rPr>
                <w:lang w:val="en-US"/>
              </w:rPr>
              <w:t>Attitudes and beliefs</w:t>
            </w:r>
          </w:p>
        </w:tc>
        <w:tc>
          <w:tcPr>
            <w:tcW w:w="2126" w:type="dxa"/>
          </w:tcPr>
          <w:p w:rsidR="00A16EEC" w:rsidRDefault="00A16EEC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Willingness to respond</w:t>
            </w:r>
          </w:p>
        </w:tc>
        <w:tc>
          <w:tcPr>
            <w:tcW w:w="10314" w:type="dxa"/>
          </w:tcPr>
          <w:p w:rsidR="00A16EEC" w:rsidRPr="0086771E" w:rsidRDefault="00A16EEC" w:rsidP="009A324D">
            <w:pPr>
              <w:pStyle w:val="ListParagraph"/>
              <w:numPr>
                <w:ilvl w:val="0"/>
                <w:numId w:val="14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Barriers to public health system functioning during emergencies include attitudes such as willingness, which can vary by type of disaster and practice location, whether</w:t>
            </w:r>
            <w:r>
              <w:rPr>
                <w:sz w:val="21"/>
                <w:szCs w:val="21"/>
              </w:rPr>
              <w:t xml:space="preserve"> urban or rural (DeSimone, 2009;</w:t>
            </w:r>
            <w:r w:rsidRPr="0086771E">
              <w:rPr>
                <w:sz w:val="21"/>
                <w:szCs w:val="21"/>
              </w:rPr>
              <w:t xml:space="preserve"> Barnet</w:t>
            </w:r>
            <w:r>
              <w:rPr>
                <w:sz w:val="21"/>
                <w:szCs w:val="21"/>
              </w:rPr>
              <w:t>t</w:t>
            </w:r>
            <w:r w:rsidRPr="0086771E">
              <w:rPr>
                <w:sz w:val="21"/>
                <w:szCs w:val="21"/>
              </w:rPr>
              <w:t>, 2012)</w:t>
            </w:r>
          </w:p>
          <w:p w:rsidR="00A16EEC" w:rsidRPr="0086771E" w:rsidRDefault="00A16EEC" w:rsidP="009A324D">
            <w:pPr>
              <w:pStyle w:val="ListParagraph"/>
              <w:numPr>
                <w:ilvl w:val="0"/>
                <w:numId w:val="14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Attitudes such as willingness are important to consider in training in emergency response (Barnet</w:t>
            </w:r>
            <w:r>
              <w:rPr>
                <w:sz w:val="21"/>
                <w:szCs w:val="21"/>
              </w:rPr>
              <w:t>t</w:t>
            </w:r>
            <w:r w:rsidRPr="0086771E">
              <w:rPr>
                <w:sz w:val="21"/>
                <w:szCs w:val="21"/>
              </w:rPr>
              <w:t>, 2009 and 2012)</w:t>
            </w:r>
          </w:p>
        </w:tc>
      </w:tr>
      <w:tr w:rsidR="00A16EEC" w:rsidTr="00BD45CA">
        <w:trPr>
          <w:trHeight w:val="2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A16EEC" w:rsidRDefault="00A16EEC" w:rsidP="009A324D">
            <w:r>
              <w:rPr>
                <w:lang w:val="en-US"/>
              </w:rPr>
              <w:t>Capacity assessment and capacity-building</w:t>
            </w:r>
          </w:p>
        </w:tc>
        <w:tc>
          <w:tcPr>
            <w:tcW w:w="2126" w:type="dxa"/>
          </w:tcPr>
          <w:p w:rsidR="00A16EEC" w:rsidRDefault="00A16EEC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A16EEC" w:rsidRPr="0086771E" w:rsidRDefault="00A16EEC" w:rsidP="009A324D">
            <w:pPr>
              <w:pStyle w:val="ListParagraph"/>
              <w:numPr>
                <w:ilvl w:val="0"/>
                <w:numId w:val="13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Evaluations of planning, preparing, and responding enhance our understanding of preparedness and capabilities (Davis, 2007)</w:t>
            </w:r>
          </w:p>
          <w:p w:rsidR="00A16EEC" w:rsidRDefault="00A16EEC" w:rsidP="009A324D">
            <w:pPr>
              <w:pStyle w:val="ListParagraph"/>
              <w:numPr>
                <w:ilvl w:val="0"/>
                <w:numId w:val="13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Surveys of health departments can capture data on resources and capacity required to manage outbreaks (</w:t>
            </w:r>
            <w:proofErr w:type="spellStart"/>
            <w:r w:rsidRPr="0086771E">
              <w:rPr>
                <w:sz w:val="21"/>
                <w:szCs w:val="21"/>
              </w:rPr>
              <w:t>Porten</w:t>
            </w:r>
            <w:proofErr w:type="spellEnd"/>
            <w:r w:rsidRPr="0086771E">
              <w:rPr>
                <w:sz w:val="21"/>
                <w:szCs w:val="21"/>
              </w:rPr>
              <w:t>, 2006)</w:t>
            </w:r>
          </w:p>
          <w:p w:rsidR="00A16EEC" w:rsidRPr="0086771E" w:rsidRDefault="00A16EEC" w:rsidP="009A324D">
            <w:pPr>
              <w:pStyle w:val="ListParagraph"/>
              <w:numPr>
                <w:ilvl w:val="0"/>
                <w:numId w:val="13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E52F2D">
              <w:rPr>
                <w:sz w:val="21"/>
                <w:szCs w:val="21"/>
              </w:rPr>
              <w:t xml:space="preserve">Funding </w:t>
            </w:r>
            <w:r>
              <w:rPr>
                <w:sz w:val="21"/>
                <w:szCs w:val="21"/>
              </w:rPr>
              <w:t>should</w:t>
            </w:r>
            <w:r w:rsidRPr="00E52F2D">
              <w:rPr>
                <w:sz w:val="21"/>
                <w:szCs w:val="21"/>
              </w:rPr>
              <w:t xml:space="preserve"> be provided</w:t>
            </w:r>
            <w:r>
              <w:rPr>
                <w:sz w:val="21"/>
                <w:szCs w:val="21"/>
              </w:rPr>
              <w:t xml:space="preserve"> to</w:t>
            </w:r>
            <w:r w:rsidRPr="00E52F2D">
              <w:rPr>
                <w:sz w:val="21"/>
                <w:szCs w:val="21"/>
              </w:rPr>
              <w:t xml:space="preserve"> local health departments in order for personnel to achieve expected outcomes, increase training and professional development, increase communication and collaborations in</w:t>
            </w:r>
            <w:r>
              <w:rPr>
                <w:sz w:val="21"/>
                <w:szCs w:val="21"/>
              </w:rPr>
              <w:t>cluding public health and in</w:t>
            </w:r>
            <w:r w:rsidRPr="00E52F2D">
              <w:rPr>
                <w:sz w:val="21"/>
                <w:szCs w:val="21"/>
              </w:rPr>
              <w:t xml:space="preserve"> emergency preparedness </w:t>
            </w:r>
            <w:r>
              <w:rPr>
                <w:sz w:val="21"/>
                <w:szCs w:val="21"/>
              </w:rPr>
              <w:t>(Hyde, 2006)</w:t>
            </w:r>
          </w:p>
        </w:tc>
      </w:tr>
      <w:tr w:rsidR="00A16EEC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A16EEC" w:rsidRDefault="00A16EEC" w:rsidP="009A324D">
            <w:r>
              <w:rPr>
                <w:lang w:val="en-US"/>
              </w:rPr>
              <w:t>Collaboration and system integration</w:t>
            </w:r>
          </w:p>
        </w:tc>
        <w:tc>
          <w:tcPr>
            <w:tcW w:w="2126" w:type="dxa"/>
          </w:tcPr>
          <w:p w:rsidR="00A16EEC" w:rsidRDefault="00A16EEC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A16EEC" w:rsidRPr="0086771E" w:rsidRDefault="00A16EEC" w:rsidP="009A324D">
            <w:pPr>
              <w:numPr>
                <w:ilvl w:val="0"/>
                <w:numId w:val="2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Public health epidemiologists effectively link public health agencies and hospitals to enhance syndromic surveillance, communicable disease management, and public health emergency preparedness and response (</w:t>
            </w:r>
            <w:proofErr w:type="spellStart"/>
            <w:r w:rsidRPr="0086771E">
              <w:rPr>
                <w:sz w:val="21"/>
                <w:szCs w:val="21"/>
              </w:rPr>
              <w:t>Markiewicz</w:t>
            </w:r>
            <w:proofErr w:type="spellEnd"/>
            <w:r w:rsidRPr="0086771E">
              <w:rPr>
                <w:sz w:val="21"/>
                <w:szCs w:val="21"/>
              </w:rPr>
              <w:t>, 2012)</w:t>
            </w:r>
          </w:p>
          <w:p w:rsidR="00A16EEC" w:rsidRDefault="00A16EEC" w:rsidP="009A324D">
            <w:pPr>
              <w:pStyle w:val="ListParagraph"/>
              <w:numPr>
                <w:ilvl w:val="0"/>
                <w:numId w:val="11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1"/>
                <w:szCs w:val="21"/>
              </w:rPr>
            </w:pPr>
            <w:r w:rsidRPr="0086771E">
              <w:rPr>
                <w:rFonts w:cs="Times New Roman"/>
                <w:color w:val="000000"/>
                <w:sz w:val="21"/>
                <w:szCs w:val="21"/>
              </w:rPr>
              <w:t>The organizational dimensions of public health preparedness depend on a complex mix of individual organizational characteristics, inter-agency r</w:t>
            </w:r>
            <w:r>
              <w:rPr>
                <w:rFonts w:cs="Times New Roman"/>
                <w:color w:val="000000"/>
                <w:sz w:val="21"/>
                <w:szCs w:val="21"/>
              </w:rPr>
              <w:t xml:space="preserve">elationships, and institutional </w:t>
            </w:r>
            <w:r w:rsidRPr="0086771E">
              <w:rPr>
                <w:rFonts w:cs="Times New Roman"/>
                <w:color w:val="000000"/>
                <w:sz w:val="21"/>
                <w:szCs w:val="21"/>
              </w:rPr>
              <w:t>environmental factors (Moore, 2006)</w:t>
            </w:r>
          </w:p>
          <w:p w:rsidR="00A16EEC" w:rsidRPr="0086771E" w:rsidRDefault="00A16EEC" w:rsidP="009A324D">
            <w:pPr>
              <w:pStyle w:val="ListParagraph"/>
              <w:numPr>
                <w:ilvl w:val="0"/>
                <w:numId w:val="11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1"/>
                <w:szCs w:val="21"/>
              </w:rPr>
            </w:pPr>
            <w:r w:rsidRPr="006E5CDF">
              <w:rPr>
                <w:rFonts w:cs="Times New Roman"/>
                <w:color w:val="000000"/>
                <w:sz w:val="21"/>
                <w:szCs w:val="21"/>
              </w:rPr>
              <w:t xml:space="preserve">The need to collaborate on and exchange plans and protocols among agencies was identified as </w:t>
            </w:r>
            <w:r>
              <w:rPr>
                <w:rFonts w:cs="Times New Roman"/>
                <w:color w:val="000000"/>
                <w:sz w:val="21"/>
                <w:szCs w:val="21"/>
              </w:rPr>
              <w:t xml:space="preserve">the </w:t>
            </w:r>
            <w:r w:rsidRPr="006E5CDF">
              <w:rPr>
                <w:rFonts w:cs="Times New Roman"/>
                <w:color w:val="000000"/>
                <w:sz w:val="21"/>
                <w:szCs w:val="21"/>
              </w:rPr>
              <w:t xml:space="preserve">most important and most </w:t>
            </w:r>
            <w:r>
              <w:rPr>
                <w:rFonts w:cs="Times New Roman"/>
                <w:color w:val="000000"/>
                <w:sz w:val="21"/>
                <w:szCs w:val="21"/>
              </w:rPr>
              <w:t>feasible</w:t>
            </w:r>
            <w:r w:rsidRPr="006E5CDF">
              <w:rPr>
                <w:rFonts w:cs="Times New Roman"/>
                <w:color w:val="000000"/>
                <w:sz w:val="21"/>
                <w:szCs w:val="21"/>
              </w:rPr>
              <w:t xml:space="preserve"> across all groups</w:t>
            </w:r>
            <w:r>
              <w:rPr>
                <w:rFonts w:cs="Times New Roman"/>
                <w:color w:val="000000"/>
                <w:sz w:val="21"/>
                <w:szCs w:val="21"/>
              </w:rPr>
              <w:t xml:space="preserve"> (Olson, 2005)</w:t>
            </w:r>
          </w:p>
          <w:p w:rsidR="00A16EEC" w:rsidRPr="0086771E" w:rsidRDefault="00A16EEC" w:rsidP="009A324D">
            <w:pPr>
              <w:pStyle w:val="ListParagraph"/>
              <w:numPr>
                <w:ilvl w:val="0"/>
                <w:numId w:val="11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1"/>
                <w:szCs w:val="21"/>
              </w:rPr>
            </w:pPr>
            <w:r w:rsidRPr="0086771E">
              <w:rPr>
                <w:rFonts w:cs="Times New Roman"/>
                <w:color w:val="000000"/>
                <w:sz w:val="21"/>
                <w:szCs w:val="21"/>
              </w:rPr>
              <w:t>Methods such as network analysis present options to study the role of inter-agency networks in the development of prepared public health systems (Moore, 2006)</w:t>
            </w:r>
          </w:p>
          <w:p w:rsidR="00A16EEC" w:rsidRPr="0086771E" w:rsidRDefault="00A16EEC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A16EEC" w:rsidTr="00BD45CA">
        <w:trPr>
          <w:trHeight w:val="1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A16EEC" w:rsidRDefault="00A16EEC" w:rsidP="009A324D">
            <w:pPr>
              <w:rPr>
                <w:b w:val="0"/>
                <w:lang w:val="en-US"/>
              </w:rPr>
            </w:pPr>
            <w:r>
              <w:rPr>
                <w:lang w:val="en-US"/>
              </w:rPr>
              <w:t>C</w:t>
            </w:r>
            <w:r w:rsidRPr="000843A7">
              <w:rPr>
                <w:lang w:val="en-US"/>
              </w:rPr>
              <w:t>ommunicable</w:t>
            </w:r>
            <w:r>
              <w:rPr>
                <w:lang w:val="en-US"/>
              </w:rPr>
              <w:t xml:space="preserve"> disease c</w:t>
            </w:r>
            <w:r w:rsidRPr="000843A7">
              <w:rPr>
                <w:lang w:val="en-US"/>
              </w:rPr>
              <w:t>ontrol</w:t>
            </w:r>
          </w:p>
        </w:tc>
        <w:tc>
          <w:tcPr>
            <w:tcW w:w="2126" w:type="dxa"/>
          </w:tcPr>
          <w:p w:rsidR="00A16EEC" w:rsidRDefault="00A16EEC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16EEC" w:rsidRDefault="00A16EEC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A16EEC" w:rsidRDefault="00A16EEC" w:rsidP="00A16EEC">
            <w:pPr>
              <w:pStyle w:val="ListParagraph"/>
              <w:numPr>
                <w:ilvl w:val="0"/>
                <w:numId w:val="16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Emergency plans such as continuity of operations and pandemic influenza plans will allow the implementation of effective vaccination strategies in the pandemic setting (</w:t>
            </w:r>
            <w:proofErr w:type="spellStart"/>
            <w:r>
              <w:rPr>
                <w:sz w:val="21"/>
                <w:szCs w:val="21"/>
              </w:rPr>
              <w:t>DiBiase</w:t>
            </w:r>
            <w:proofErr w:type="spellEnd"/>
            <w:r>
              <w:rPr>
                <w:sz w:val="21"/>
                <w:szCs w:val="21"/>
              </w:rPr>
              <w:t xml:space="preserve">, 2011) </w:t>
            </w:r>
          </w:p>
          <w:p w:rsidR="00A16EEC" w:rsidRPr="00E52F2D" w:rsidRDefault="00A16EEC" w:rsidP="00A16EEC">
            <w:pPr>
              <w:pStyle w:val="ListParagraph"/>
              <w:numPr>
                <w:ilvl w:val="0"/>
                <w:numId w:val="16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School cycles indicate that </w:t>
            </w:r>
            <w:r w:rsidRPr="00584BF1">
              <w:rPr>
                <w:rFonts w:cs="Times New Roman"/>
                <w:color w:val="000000"/>
                <w:sz w:val="21"/>
                <w:szCs w:val="21"/>
              </w:rPr>
              <w:t>school closure and other mitigation measures could be useful to miti</w:t>
            </w:r>
            <w:r>
              <w:rPr>
                <w:rFonts w:cs="Times New Roman"/>
                <w:color w:val="000000"/>
                <w:sz w:val="21"/>
                <w:szCs w:val="21"/>
              </w:rPr>
              <w:t>gate future influenza pandemics (</w:t>
            </w:r>
            <w:proofErr w:type="spellStart"/>
            <w:r>
              <w:rPr>
                <w:rFonts w:cs="Times New Roman"/>
                <w:color w:val="000000"/>
                <w:sz w:val="21"/>
                <w:szCs w:val="21"/>
              </w:rPr>
              <w:t>Chowell</w:t>
            </w:r>
            <w:proofErr w:type="spellEnd"/>
            <w:r>
              <w:rPr>
                <w:rFonts w:cs="Times New Roman"/>
                <w:color w:val="000000"/>
                <w:sz w:val="21"/>
                <w:szCs w:val="21"/>
              </w:rPr>
              <w:t>, 2011)</w:t>
            </w:r>
          </w:p>
        </w:tc>
      </w:tr>
      <w:tr w:rsidR="00BD45CA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textDirection w:val="btLr"/>
          </w:tcPr>
          <w:p w:rsidR="00BD45CA" w:rsidRDefault="00BD45CA" w:rsidP="009A324D">
            <w:pPr>
              <w:ind w:left="113" w:right="113"/>
              <w:jc w:val="center"/>
            </w:pPr>
            <w:r>
              <w:rPr>
                <w:lang w:val="en-US"/>
              </w:rPr>
              <w:lastRenderedPageBreak/>
              <w:t>Communications</w:t>
            </w:r>
          </w:p>
        </w:tc>
        <w:tc>
          <w:tcPr>
            <w:tcW w:w="2126" w:type="dxa"/>
          </w:tcPr>
          <w:p w:rsidR="00BD45CA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Externally-facing (public)</w:t>
            </w:r>
          </w:p>
          <w:p w:rsidR="00BD45CA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>Adoption of public health advice may be related to considerations for communication and audience: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10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 xml:space="preserve">High concern did not translate to higher compliance with recommendations </w:t>
            </w:r>
            <w:r w:rsidRPr="0086771E">
              <w:rPr>
                <w:rFonts w:cs="Times New Roman"/>
                <w:sz w:val="21"/>
                <w:szCs w:val="21"/>
              </w:rPr>
              <w:t>possibly due to the low level of knowledge or economic barriers (</w:t>
            </w:r>
            <w:proofErr w:type="spellStart"/>
            <w:r w:rsidRPr="0086771E">
              <w:rPr>
                <w:rFonts w:cs="Times New Roman"/>
                <w:sz w:val="21"/>
                <w:szCs w:val="21"/>
              </w:rPr>
              <w:t>Balkhy</w:t>
            </w:r>
            <w:proofErr w:type="spellEnd"/>
            <w:r w:rsidRPr="0086771E">
              <w:rPr>
                <w:rFonts w:cs="Times New Roman"/>
                <w:sz w:val="21"/>
                <w:szCs w:val="21"/>
              </w:rPr>
              <w:t>, 2010)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10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>People actively engage in skeptical evaluation of government advice, particularly in terms of feasibility, credibility, and costs, which influence whether they adopt recommended actions (Teasdale, 2011)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10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>Information alerts to the public may offer potential for early diagnosis of cases in an outbreak setting (</w:t>
            </w:r>
            <w:proofErr w:type="spellStart"/>
            <w:r w:rsidRPr="0086771E">
              <w:rPr>
                <w:rFonts w:cs="Times New Roman"/>
                <w:sz w:val="21"/>
                <w:szCs w:val="21"/>
                <w:lang w:val="en-US"/>
              </w:rPr>
              <w:t>Hiam</w:t>
            </w:r>
            <w:proofErr w:type="spellEnd"/>
            <w:r w:rsidRPr="0086771E">
              <w:rPr>
                <w:rFonts w:cs="Times New Roman"/>
                <w:sz w:val="21"/>
                <w:szCs w:val="21"/>
                <w:lang w:val="en-US"/>
              </w:rPr>
              <w:t>, 2005)</w:t>
            </w:r>
          </w:p>
          <w:p w:rsidR="00BD45CA" w:rsidRPr="0086771E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BD45CA" w:rsidTr="00BD45CA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:rsidR="00BD45CA" w:rsidRDefault="00BD45CA" w:rsidP="009A324D"/>
        </w:tc>
        <w:tc>
          <w:tcPr>
            <w:tcW w:w="2126" w:type="dxa"/>
          </w:tcPr>
          <w:p w:rsidR="00BD45CA" w:rsidRDefault="00BD45CA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Internally-facing (system)</w:t>
            </w:r>
          </w:p>
          <w:p w:rsidR="00BD45CA" w:rsidRDefault="00BD45CA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2"/>
              </w:numPr>
              <w:ind w:left="176" w:hanging="1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1"/>
                <w:szCs w:val="21"/>
              </w:rPr>
            </w:pPr>
            <w:r w:rsidRPr="0086771E">
              <w:rPr>
                <w:rFonts w:cs="Times New Roman"/>
                <w:sz w:val="21"/>
                <w:szCs w:val="21"/>
              </w:rPr>
              <w:t>Potential gaps in communication include (Harris, 2007):</w:t>
            </w:r>
          </w:p>
          <w:p w:rsidR="00BD45CA" w:rsidRPr="0086771E" w:rsidRDefault="00BD45CA" w:rsidP="009A324D">
            <w:pPr>
              <w:pStyle w:val="ListParagraph"/>
              <w:numPr>
                <w:ilvl w:val="1"/>
                <w:numId w:val="2"/>
              </w:numPr>
              <w:ind w:left="884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1"/>
                <w:szCs w:val="21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 xml:space="preserve">The level of regular communication </w:t>
            </w:r>
            <w:r>
              <w:rPr>
                <w:rFonts w:cs="Times New Roman"/>
                <w:sz w:val="21"/>
                <w:szCs w:val="21"/>
                <w:lang w:val="en-US"/>
              </w:rPr>
              <w:t>across</w:t>
            </w:r>
            <w:r w:rsidRPr="0086771E">
              <w:rPr>
                <w:rFonts w:cs="Times New Roman"/>
                <w:sz w:val="21"/>
                <w:szCs w:val="21"/>
                <w:lang w:val="en-US"/>
              </w:rPr>
              <w:t xml:space="preserve"> local planners in different regions was low</w:t>
            </w:r>
          </w:p>
          <w:p w:rsidR="00BD45CA" w:rsidRPr="0086771E" w:rsidRDefault="00BD45CA" w:rsidP="009A324D">
            <w:pPr>
              <w:pStyle w:val="ListParagraph"/>
              <w:numPr>
                <w:ilvl w:val="1"/>
                <w:numId w:val="2"/>
              </w:numPr>
              <w:ind w:left="884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1"/>
                <w:szCs w:val="21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 xml:space="preserve">There was a shortage of connections to private-sector individuals 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2"/>
              </w:numPr>
              <w:tabs>
                <w:tab w:val="left" w:pos="-13433"/>
              </w:tabs>
              <w:ind w:left="176" w:hanging="1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>In communicating to frontlines clinicians during a public health emergency, clinicians</w:t>
            </w:r>
            <w:r>
              <w:rPr>
                <w:rFonts w:cs="Times New Roman"/>
                <w:sz w:val="21"/>
                <w:szCs w:val="21"/>
                <w:lang w:val="en-US"/>
              </w:rPr>
              <w:t xml:space="preserve"> would prefer a</w:t>
            </w:r>
            <w:r w:rsidRPr="0086771E">
              <w:rPr>
                <w:rFonts w:cs="Times New Roman"/>
                <w:sz w:val="21"/>
                <w:szCs w:val="21"/>
                <w:lang w:val="en-US"/>
              </w:rPr>
              <w:t xml:space="preserve"> single source of authoritative information and ability to easily recognize new information specific to their needs (</w:t>
            </w:r>
            <w:proofErr w:type="spellStart"/>
            <w:r w:rsidRPr="0086771E">
              <w:rPr>
                <w:rFonts w:cs="Times New Roman"/>
                <w:sz w:val="21"/>
                <w:szCs w:val="21"/>
                <w:lang w:val="en-US"/>
              </w:rPr>
              <w:t>Staes</w:t>
            </w:r>
            <w:proofErr w:type="spellEnd"/>
            <w:r w:rsidRPr="0086771E">
              <w:rPr>
                <w:rFonts w:cs="Times New Roman"/>
                <w:sz w:val="21"/>
                <w:szCs w:val="21"/>
                <w:lang w:val="en-US"/>
              </w:rPr>
              <w:t>, 2011)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5"/>
              </w:numPr>
              <w:ind w:left="17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  <w:r w:rsidRPr="0086771E">
              <w:rPr>
                <w:rFonts w:cs="Times New Roman"/>
                <w:sz w:val="21"/>
                <w:szCs w:val="21"/>
              </w:rPr>
              <w:t>Effective communication during a public health emergency depends on the provision of clear messages and close involvement of the affected community to ensure trust in agency delivering message (Blanchard, 2005)</w:t>
            </w:r>
          </w:p>
        </w:tc>
      </w:tr>
      <w:tr w:rsidR="00BD45CA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:rsidR="00BD45CA" w:rsidRDefault="00BD45CA" w:rsidP="00655FF1">
            <w:pPr>
              <w:rPr>
                <w:b w:val="0"/>
                <w:lang w:val="en-US"/>
              </w:rPr>
            </w:pPr>
          </w:p>
        </w:tc>
        <w:tc>
          <w:tcPr>
            <w:tcW w:w="2126" w:type="dxa"/>
          </w:tcPr>
          <w:p w:rsidR="00BD45CA" w:rsidRDefault="00BD45CA" w:rsidP="00655F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Vulnerable or high-risk populations</w:t>
            </w: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2"/>
              </w:numPr>
              <w:ind w:left="31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1"/>
                <w:szCs w:val="21"/>
                <w:lang w:val="en-US"/>
              </w:rPr>
            </w:pPr>
            <w:r w:rsidRPr="0086771E">
              <w:rPr>
                <w:rFonts w:cs="Times New Roman"/>
                <w:sz w:val="21"/>
                <w:szCs w:val="21"/>
                <w:lang w:val="en-US"/>
              </w:rPr>
              <w:t>Social determinants are important and influence reception to disaster communications; trust in the source of information is also a key consideration for risk messaging (Taylor-Clark, 2010)</w:t>
            </w:r>
          </w:p>
          <w:p w:rsidR="00BD45CA" w:rsidRPr="0086771E" w:rsidRDefault="00BD45CA" w:rsidP="00655F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D45CA" w:rsidTr="00BD45CA">
        <w:trPr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textDirection w:val="btLr"/>
          </w:tcPr>
          <w:p w:rsidR="00BD45CA" w:rsidRDefault="00BD45CA" w:rsidP="00655FF1">
            <w:pPr>
              <w:ind w:left="113" w:right="113"/>
              <w:jc w:val="center"/>
            </w:pPr>
            <w:r>
              <w:rPr>
                <w:lang w:val="en-US"/>
              </w:rPr>
              <w:t>Education, training and e</w:t>
            </w:r>
            <w:r w:rsidRPr="000843A7">
              <w:rPr>
                <w:lang w:val="en-US"/>
              </w:rPr>
              <w:t>xercises</w:t>
            </w:r>
          </w:p>
          <w:p w:rsidR="00BD45CA" w:rsidRDefault="00BD45CA" w:rsidP="00655FF1">
            <w:pPr>
              <w:ind w:left="113" w:right="113"/>
            </w:pPr>
          </w:p>
        </w:tc>
        <w:tc>
          <w:tcPr>
            <w:tcW w:w="2126" w:type="dxa"/>
          </w:tcPr>
          <w:p w:rsidR="00BD45CA" w:rsidRDefault="00BD45CA" w:rsidP="00655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Public health practitioner</w:t>
            </w:r>
          </w:p>
          <w:p w:rsidR="00BD45CA" w:rsidRDefault="00BD45CA" w:rsidP="00655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FD3EEE">
            <w:pPr>
              <w:pStyle w:val="ListParagraph"/>
              <w:numPr>
                <w:ilvl w:val="0"/>
                <w:numId w:val="4"/>
              </w:numPr>
              <w:ind w:left="317" w:hanging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>Blended learning that includes traditional face-to-face learning coupled with online learning had good outcomes for user satisfaction and knowledge (Chandler, 2008)</w:t>
            </w:r>
          </w:p>
          <w:p w:rsidR="00BD45CA" w:rsidRPr="0086771E" w:rsidRDefault="00BD45CA" w:rsidP="00FD3EEE">
            <w:pPr>
              <w:pStyle w:val="ListParagraph"/>
              <w:numPr>
                <w:ilvl w:val="0"/>
                <w:numId w:val="4"/>
              </w:numPr>
              <w:ind w:left="317" w:hanging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rFonts w:cs="Times New Roman"/>
                <w:sz w:val="21"/>
                <w:szCs w:val="21"/>
              </w:rPr>
              <w:t>Evaluation of training and exercises could include considerations such as:</w:t>
            </w:r>
          </w:p>
          <w:p w:rsidR="00BD45CA" w:rsidRPr="0086771E" w:rsidRDefault="00BD45CA" w:rsidP="00FD3EEE">
            <w:pPr>
              <w:pStyle w:val="ListParagraph"/>
              <w:numPr>
                <w:ilvl w:val="1"/>
                <w:numId w:val="4"/>
              </w:numPr>
              <w:ind w:left="742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rFonts w:cs="Times New Roman"/>
                <w:sz w:val="21"/>
                <w:szCs w:val="21"/>
              </w:rPr>
              <w:t>A set of criteria covering command and control, communication, surveillance, sample testing (</w:t>
            </w:r>
            <w:proofErr w:type="spellStart"/>
            <w:r w:rsidRPr="0086771E">
              <w:rPr>
                <w:rFonts w:cs="Times New Roman"/>
                <w:sz w:val="21"/>
                <w:szCs w:val="21"/>
              </w:rPr>
              <w:t>Gebbie</w:t>
            </w:r>
            <w:proofErr w:type="spellEnd"/>
            <w:r w:rsidRPr="0086771E">
              <w:rPr>
                <w:rFonts w:cs="Times New Roman"/>
                <w:sz w:val="21"/>
                <w:szCs w:val="21"/>
              </w:rPr>
              <w:t>, 2006)</w:t>
            </w:r>
          </w:p>
          <w:p w:rsidR="00BD45CA" w:rsidRPr="0086771E" w:rsidRDefault="00BD45CA" w:rsidP="00FD3EEE">
            <w:pPr>
              <w:pStyle w:val="ListParagraph"/>
              <w:numPr>
                <w:ilvl w:val="1"/>
                <w:numId w:val="4"/>
              </w:numPr>
              <w:ind w:left="742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>A tool implemented during tabletop exercises to identify public health capabilities in need of further improvement (</w:t>
            </w:r>
            <w:proofErr w:type="spellStart"/>
            <w:r w:rsidRPr="0086771E">
              <w:rPr>
                <w:sz w:val="21"/>
                <w:szCs w:val="21"/>
                <w:lang w:val="en-US"/>
              </w:rPr>
              <w:t>Savoia</w:t>
            </w:r>
            <w:proofErr w:type="spellEnd"/>
            <w:r w:rsidRPr="0086771E">
              <w:rPr>
                <w:sz w:val="21"/>
                <w:szCs w:val="21"/>
                <w:lang w:val="en-US"/>
              </w:rPr>
              <w:t>, 2009)</w:t>
            </w:r>
          </w:p>
          <w:p w:rsidR="00BD45CA" w:rsidRPr="0086771E" w:rsidRDefault="00BD45CA" w:rsidP="00FD3EEE">
            <w:pPr>
              <w:pStyle w:val="ListParagraph"/>
              <w:numPr>
                <w:ilvl w:val="1"/>
                <w:numId w:val="4"/>
              </w:numPr>
              <w:ind w:left="742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>Self-assessment should be paired with objective measures, such as drills, exercises, and tests of knowledge (</w:t>
            </w:r>
            <w:proofErr w:type="spellStart"/>
            <w:r w:rsidRPr="0086771E">
              <w:rPr>
                <w:sz w:val="21"/>
                <w:szCs w:val="21"/>
                <w:lang w:val="en-US"/>
              </w:rPr>
              <w:t>Kerby</w:t>
            </w:r>
            <w:proofErr w:type="spellEnd"/>
            <w:r w:rsidRPr="0086771E">
              <w:rPr>
                <w:sz w:val="21"/>
                <w:szCs w:val="21"/>
                <w:lang w:val="en-US"/>
              </w:rPr>
              <w:t>, 2005)</w:t>
            </w:r>
          </w:p>
          <w:p w:rsidR="00BD45CA" w:rsidRPr="0086771E" w:rsidRDefault="00BD45CA" w:rsidP="00FD3EEE">
            <w:pPr>
              <w:pStyle w:val="ListParagraph"/>
              <w:numPr>
                <w:ilvl w:val="0"/>
                <w:numId w:val="4"/>
              </w:numPr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>Audiences for training can include general public health staff, public health nurses or address particular topics such as legal preparedness for infectious dise</w:t>
            </w:r>
            <w:r>
              <w:rPr>
                <w:sz w:val="21"/>
                <w:szCs w:val="21"/>
                <w:lang w:val="en-US"/>
              </w:rPr>
              <w:t>ase emergencies (</w:t>
            </w:r>
            <w:proofErr w:type="spellStart"/>
            <w:r>
              <w:rPr>
                <w:sz w:val="21"/>
                <w:szCs w:val="21"/>
                <w:lang w:val="en-US"/>
              </w:rPr>
              <w:t>Quereshi</w:t>
            </w:r>
            <w:proofErr w:type="spellEnd"/>
            <w:r>
              <w:rPr>
                <w:sz w:val="21"/>
                <w:szCs w:val="21"/>
                <w:lang w:val="en-US"/>
              </w:rPr>
              <w:t>, 2004;</w:t>
            </w:r>
            <w:r w:rsidRPr="0086771E"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86771E">
              <w:rPr>
                <w:sz w:val="21"/>
                <w:szCs w:val="21"/>
                <w:lang w:val="en-US"/>
              </w:rPr>
              <w:t>Savoia</w:t>
            </w:r>
            <w:proofErr w:type="spellEnd"/>
            <w:r w:rsidRPr="0086771E">
              <w:rPr>
                <w:sz w:val="21"/>
                <w:szCs w:val="21"/>
                <w:lang w:val="en-US"/>
              </w:rPr>
              <w:t>, 2009</w:t>
            </w:r>
            <w:r>
              <w:rPr>
                <w:sz w:val="21"/>
                <w:szCs w:val="21"/>
                <w:lang w:val="en-US"/>
              </w:rPr>
              <w:t>;</w:t>
            </w:r>
            <w:r w:rsidRPr="0086771E">
              <w:rPr>
                <w:sz w:val="21"/>
                <w:szCs w:val="21"/>
                <w:lang w:val="en-US"/>
              </w:rPr>
              <w:t xml:space="preserve"> Wang, 2008)</w:t>
            </w:r>
          </w:p>
          <w:p w:rsidR="00BD45CA" w:rsidRPr="0086771E" w:rsidRDefault="00BD45CA" w:rsidP="00655FF1">
            <w:pPr>
              <w:pStyle w:val="ListParagraph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D45CA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:rsidR="00BD45CA" w:rsidRDefault="00BD45CA" w:rsidP="00655FF1">
            <w:pPr>
              <w:rPr>
                <w:b w:val="0"/>
                <w:lang w:val="en-US"/>
              </w:rPr>
            </w:pPr>
          </w:p>
        </w:tc>
        <w:tc>
          <w:tcPr>
            <w:tcW w:w="2126" w:type="dxa"/>
          </w:tcPr>
          <w:p w:rsidR="00BD45CA" w:rsidRDefault="00BD45CA" w:rsidP="00655F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Clinician</w:t>
            </w:r>
          </w:p>
          <w:p w:rsidR="00BD45CA" w:rsidRDefault="00BD45CA" w:rsidP="00655F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FD3EEE">
            <w:pPr>
              <w:numPr>
                <w:ilvl w:val="0"/>
                <w:numId w:val="8"/>
              </w:numPr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86771E">
              <w:rPr>
                <w:sz w:val="21"/>
                <w:szCs w:val="21"/>
                <w:lang w:val="en-US"/>
              </w:rPr>
              <w:t>Public health can benefit from partnering with clinicians fo</w:t>
            </w:r>
            <w:r>
              <w:rPr>
                <w:sz w:val="21"/>
                <w:szCs w:val="21"/>
                <w:lang w:val="en-US"/>
              </w:rPr>
              <w:t>r</w:t>
            </w:r>
            <w:r w:rsidRPr="0086771E">
              <w:rPr>
                <w:sz w:val="21"/>
                <w:szCs w:val="21"/>
                <w:lang w:val="en-US"/>
              </w:rPr>
              <w:t xml:space="preserve"> training in areas such as proper selection and use of respirators for infection control (</w:t>
            </w:r>
            <w:proofErr w:type="spellStart"/>
            <w:r w:rsidRPr="0086771E">
              <w:rPr>
                <w:sz w:val="21"/>
                <w:szCs w:val="21"/>
                <w:lang w:val="en-US"/>
              </w:rPr>
              <w:t>Alfano-Sobsey</w:t>
            </w:r>
            <w:proofErr w:type="spellEnd"/>
            <w:r w:rsidRPr="0086771E">
              <w:rPr>
                <w:sz w:val="21"/>
                <w:szCs w:val="21"/>
                <w:lang w:val="en-US"/>
              </w:rPr>
              <w:t>, 2006)</w:t>
            </w:r>
          </w:p>
          <w:p w:rsidR="00BD45CA" w:rsidRPr="0086771E" w:rsidRDefault="00BD45CA" w:rsidP="00655FF1">
            <w:pPr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D45CA" w:rsidTr="00BD45CA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:rsidR="00BD45CA" w:rsidRDefault="00BD45CA" w:rsidP="00655FF1">
            <w:pPr>
              <w:rPr>
                <w:b w:val="0"/>
                <w:lang w:val="en-US"/>
              </w:rPr>
            </w:pPr>
          </w:p>
        </w:tc>
        <w:tc>
          <w:tcPr>
            <w:tcW w:w="2126" w:type="dxa"/>
          </w:tcPr>
          <w:p w:rsidR="00BD45CA" w:rsidRDefault="00BD45CA" w:rsidP="00655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Leadership</w:t>
            </w:r>
          </w:p>
        </w:tc>
        <w:tc>
          <w:tcPr>
            <w:tcW w:w="10314" w:type="dxa"/>
          </w:tcPr>
          <w:p w:rsidR="00BD45CA" w:rsidRPr="0086771E" w:rsidRDefault="00BD45CA" w:rsidP="00FD3EEE">
            <w:pPr>
              <w:numPr>
                <w:ilvl w:val="0"/>
                <w:numId w:val="8"/>
              </w:numPr>
              <w:ind w:left="317" w:hanging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>A focus on leadership training can result in increased overall knowledge score and positive change in skills (Wang, 2008)</w:t>
            </w:r>
          </w:p>
        </w:tc>
      </w:tr>
      <w:tr w:rsidR="00BD45CA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BD45CA" w:rsidRDefault="00BD45CA" w:rsidP="009A324D">
            <w:pPr>
              <w:rPr>
                <w:b w:val="0"/>
                <w:lang w:val="en-US"/>
              </w:rPr>
            </w:pPr>
            <w:r>
              <w:rPr>
                <w:lang w:val="en-US"/>
              </w:rPr>
              <w:lastRenderedPageBreak/>
              <w:t>Public health considerations for sheltering and evacuation</w:t>
            </w:r>
          </w:p>
        </w:tc>
        <w:tc>
          <w:tcPr>
            <w:tcW w:w="2126" w:type="dxa"/>
          </w:tcPr>
          <w:p w:rsidR="00BD45CA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15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Better public health training is recommended for sheltering operations (</w:t>
            </w:r>
            <w:proofErr w:type="spellStart"/>
            <w:r w:rsidRPr="0086771E">
              <w:rPr>
                <w:sz w:val="21"/>
                <w:szCs w:val="21"/>
              </w:rPr>
              <w:t>Brahmbhatt</w:t>
            </w:r>
            <w:proofErr w:type="spellEnd"/>
            <w:r w:rsidRPr="0086771E">
              <w:rPr>
                <w:sz w:val="21"/>
                <w:szCs w:val="21"/>
              </w:rPr>
              <w:t>, 2009)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15"/>
              </w:numPr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Planning is important to address health and health care needs of sheltered populations (Broz, 2009)</w:t>
            </w:r>
          </w:p>
        </w:tc>
      </w:tr>
      <w:tr w:rsidR="00BD45CA" w:rsidTr="00BD45CA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BD45CA" w:rsidRDefault="00BD45CA" w:rsidP="00655FF1">
            <w:r>
              <w:rPr>
                <w:lang w:val="en-US"/>
              </w:rPr>
              <w:t>Quality improvement and performance standards</w:t>
            </w:r>
          </w:p>
        </w:tc>
        <w:tc>
          <w:tcPr>
            <w:tcW w:w="2126" w:type="dxa"/>
          </w:tcPr>
          <w:p w:rsidR="00BD45CA" w:rsidRDefault="00BD45CA" w:rsidP="00655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FD3EEE">
            <w:pPr>
              <w:pStyle w:val="ListParagraph"/>
              <w:numPr>
                <w:ilvl w:val="0"/>
                <w:numId w:val="12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Useful process evaluations may include team debriefing (</w:t>
            </w:r>
            <w:proofErr w:type="spellStart"/>
            <w:r w:rsidRPr="0086771E">
              <w:rPr>
                <w:sz w:val="21"/>
                <w:szCs w:val="21"/>
              </w:rPr>
              <w:t>Flabouris</w:t>
            </w:r>
            <w:proofErr w:type="spellEnd"/>
            <w:r w:rsidRPr="0086771E">
              <w:rPr>
                <w:sz w:val="21"/>
                <w:szCs w:val="21"/>
              </w:rPr>
              <w:t>, 2004)</w:t>
            </w:r>
          </w:p>
          <w:p w:rsidR="00BD45CA" w:rsidRDefault="00BD45CA" w:rsidP="00FD3EEE">
            <w:pPr>
              <w:pStyle w:val="ListParagraph"/>
              <w:numPr>
                <w:ilvl w:val="0"/>
                <w:numId w:val="12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Frameworks and measurement tools may be useful to systematically evaluate performance for quality improvement goals (</w:t>
            </w:r>
            <w:proofErr w:type="spellStart"/>
            <w:r w:rsidRPr="0086771E">
              <w:rPr>
                <w:sz w:val="21"/>
                <w:szCs w:val="21"/>
              </w:rPr>
              <w:t>Sarpy</w:t>
            </w:r>
            <w:proofErr w:type="spellEnd"/>
            <w:r w:rsidRPr="0086771E">
              <w:rPr>
                <w:sz w:val="21"/>
                <w:szCs w:val="21"/>
              </w:rPr>
              <w:t>, 2003</w:t>
            </w:r>
            <w:r>
              <w:rPr>
                <w:sz w:val="21"/>
                <w:szCs w:val="21"/>
              </w:rPr>
              <w:t>;</w:t>
            </w:r>
            <w:r w:rsidRPr="0086771E">
              <w:rPr>
                <w:sz w:val="21"/>
                <w:szCs w:val="21"/>
              </w:rPr>
              <w:t xml:space="preserve"> Parker, 2005)</w:t>
            </w:r>
          </w:p>
          <w:p w:rsidR="00BD45CA" w:rsidRPr="00E52F2D" w:rsidRDefault="00BD45CA" w:rsidP="00FD3EEE">
            <w:pPr>
              <w:pStyle w:val="ListParagraph"/>
              <w:numPr>
                <w:ilvl w:val="0"/>
                <w:numId w:val="12"/>
              </w:numPr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E52F2D">
              <w:rPr>
                <w:sz w:val="21"/>
                <w:szCs w:val="21"/>
              </w:rPr>
              <w:t>A model for improving public health preparedness may be promising for improving public health performance which includes: a</w:t>
            </w:r>
            <w:proofErr w:type="spellStart"/>
            <w:r w:rsidRPr="00E52F2D">
              <w:rPr>
                <w:rFonts w:cs="Times New Roman"/>
                <w:sz w:val="21"/>
                <w:szCs w:val="21"/>
                <w:lang w:val="en-US"/>
              </w:rPr>
              <w:t>ims</w:t>
            </w:r>
            <w:proofErr w:type="spellEnd"/>
            <w:r w:rsidRPr="00E52F2D">
              <w:rPr>
                <w:rFonts w:cs="Times New Roman"/>
                <w:sz w:val="21"/>
                <w:szCs w:val="21"/>
                <w:lang w:val="en-US"/>
              </w:rPr>
              <w:t xml:space="preserve"> and goals of public health departments; performance measures; strategies and ideas for changes; </w:t>
            </w:r>
            <w:r>
              <w:rPr>
                <w:rFonts w:cs="Times New Roman"/>
                <w:sz w:val="21"/>
                <w:szCs w:val="21"/>
                <w:lang w:val="en-US"/>
              </w:rPr>
              <w:t xml:space="preserve">and </w:t>
            </w:r>
            <w:r w:rsidRPr="00E52F2D">
              <w:rPr>
                <w:rFonts w:cs="Times New Roman"/>
                <w:sz w:val="21"/>
                <w:szCs w:val="21"/>
                <w:lang w:val="en-US"/>
              </w:rPr>
              <w:t>the use of plan-do-study-act (PDSA) cycles</w:t>
            </w:r>
            <w:r>
              <w:rPr>
                <w:rFonts w:cs="Times New Roman"/>
                <w:sz w:val="21"/>
                <w:szCs w:val="21"/>
                <w:lang w:val="en-US"/>
              </w:rPr>
              <w:t>; however,</w:t>
            </w:r>
            <w:r w:rsidRPr="00E52F2D">
              <w:rPr>
                <w:rFonts w:cs="Times New Roman"/>
                <w:sz w:val="21"/>
                <w:szCs w:val="21"/>
                <w:lang w:val="en-US"/>
              </w:rPr>
              <w:t xml:space="preserve"> further efforts are needed (</w:t>
            </w:r>
            <w:proofErr w:type="spellStart"/>
            <w:r w:rsidRPr="00E52F2D">
              <w:rPr>
                <w:rFonts w:cs="Times New Roman"/>
                <w:sz w:val="21"/>
                <w:szCs w:val="21"/>
                <w:lang w:val="en-US"/>
              </w:rPr>
              <w:t>Lostein</w:t>
            </w:r>
            <w:proofErr w:type="spellEnd"/>
            <w:r w:rsidRPr="00E52F2D">
              <w:rPr>
                <w:rFonts w:cs="Times New Roman"/>
                <w:sz w:val="21"/>
                <w:szCs w:val="21"/>
                <w:lang w:val="en-US"/>
              </w:rPr>
              <w:t>, 2008)</w:t>
            </w:r>
          </w:p>
        </w:tc>
      </w:tr>
      <w:tr w:rsidR="00BD45CA" w:rsidRPr="0086771E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textDirection w:val="btLr"/>
          </w:tcPr>
          <w:p w:rsidR="00BD45CA" w:rsidRDefault="00BD45CA" w:rsidP="009A324D">
            <w:pPr>
              <w:ind w:left="113" w:right="113"/>
              <w:jc w:val="center"/>
            </w:pPr>
            <w:r>
              <w:rPr>
                <w:lang w:val="en-US"/>
              </w:rPr>
              <w:t>S</w:t>
            </w:r>
            <w:r w:rsidRPr="005F01F0">
              <w:rPr>
                <w:lang w:val="en-US"/>
              </w:rPr>
              <w:t>urveillance, epidemiology and public health information</w:t>
            </w:r>
          </w:p>
        </w:tc>
        <w:tc>
          <w:tcPr>
            <w:tcW w:w="2126" w:type="dxa"/>
          </w:tcPr>
          <w:p w:rsidR="00BD45CA" w:rsidRDefault="00BD45CA" w:rsidP="009A32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Unspecified</w:t>
            </w:r>
          </w:p>
          <w:p w:rsidR="00BD45CA" w:rsidRDefault="00BD45CA" w:rsidP="009A32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1"/>
              </w:numPr>
              <w:ind w:left="175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Sources of data that are useful for public health surveillance in public health emergencies may include diverse sources such as:</w:t>
            </w:r>
          </w:p>
          <w:p w:rsidR="00BD45CA" w:rsidRPr="0086771E" w:rsidRDefault="00BD45CA" w:rsidP="009A324D">
            <w:pPr>
              <w:pStyle w:val="ListParagraph"/>
              <w:numPr>
                <w:ilvl w:val="1"/>
                <w:numId w:val="1"/>
              </w:numPr>
              <w:ind w:left="102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Medical dispatch data (</w:t>
            </w:r>
            <w:proofErr w:type="spellStart"/>
            <w:r w:rsidRPr="0086771E">
              <w:rPr>
                <w:sz w:val="21"/>
                <w:szCs w:val="21"/>
              </w:rPr>
              <w:t>Bassil</w:t>
            </w:r>
            <w:proofErr w:type="spellEnd"/>
            <w:r w:rsidRPr="0086771E">
              <w:rPr>
                <w:sz w:val="21"/>
                <w:szCs w:val="21"/>
              </w:rPr>
              <w:t>, 2008)</w:t>
            </w:r>
          </w:p>
          <w:p w:rsidR="00BD45CA" w:rsidRPr="0086771E" w:rsidRDefault="00BD45CA" w:rsidP="009A324D">
            <w:pPr>
              <w:pStyle w:val="ListParagraph"/>
              <w:numPr>
                <w:ilvl w:val="1"/>
                <w:numId w:val="1"/>
              </w:numPr>
              <w:ind w:left="102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Syndromic surveillance data (Betancourt, 2007)</w:t>
            </w:r>
          </w:p>
          <w:p w:rsidR="00BD45CA" w:rsidRPr="0086771E" w:rsidRDefault="00BD45CA" w:rsidP="009A324D">
            <w:pPr>
              <w:pStyle w:val="ListParagraph"/>
              <w:numPr>
                <w:ilvl w:val="1"/>
                <w:numId w:val="1"/>
              </w:numPr>
              <w:ind w:left="102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 xml:space="preserve">Municipal data for mortality </w:t>
            </w:r>
            <w:r w:rsidRPr="0086771E">
              <w:rPr>
                <w:sz w:val="21"/>
                <w:szCs w:val="21"/>
                <w:lang w:val="en-US"/>
              </w:rPr>
              <w:t>(Fan, 2010)</w:t>
            </w:r>
          </w:p>
          <w:p w:rsidR="00BD45CA" w:rsidRPr="0086771E" w:rsidRDefault="00BD45CA" w:rsidP="009A324D">
            <w:pPr>
              <w:pStyle w:val="ListParagraph"/>
              <w:numPr>
                <w:ilvl w:val="1"/>
                <w:numId w:val="1"/>
              </w:numPr>
              <w:ind w:left="102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>Active lab-based surveillance system (Ghosh, 2008)</w:t>
            </w:r>
          </w:p>
          <w:p w:rsidR="00BD45CA" w:rsidRPr="0086771E" w:rsidRDefault="00BD45CA" w:rsidP="009A324D">
            <w:pPr>
              <w:pStyle w:val="ListParagraph"/>
              <w:numPr>
                <w:ilvl w:val="1"/>
                <w:numId w:val="1"/>
              </w:numPr>
              <w:ind w:left="102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Mobile phones for infectious disease surveillance info in a post-disaster setting (Yang, 2009)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1"/>
              </w:numPr>
              <w:ind w:left="175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Immediate health needs and longer-term health outcomes can be captured by cross-sectional and longitudinal surveys  (</w:t>
            </w:r>
            <w:proofErr w:type="spellStart"/>
            <w:r w:rsidRPr="0086771E">
              <w:rPr>
                <w:sz w:val="21"/>
                <w:szCs w:val="21"/>
              </w:rPr>
              <w:t>Yzermans</w:t>
            </w:r>
            <w:proofErr w:type="spellEnd"/>
            <w:r w:rsidRPr="0086771E">
              <w:rPr>
                <w:sz w:val="21"/>
                <w:szCs w:val="21"/>
              </w:rPr>
              <w:t>, 2005</w:t>
            </w:r>
            <w:r>
              <w:rPr>
                <w:sz w:val="21"/>
                <w:szCs w:val="21"/>
              </w:rPr>
              <w:t>;</w:t>
            </w:r>
            <w:r w:rsidRPr="0086771E">
              <w:rPr>
                <w:sz w:val="21"/>
                <w:szCs w:val="21"/>
              </w:rPr>
              <w:t xml:space="preserve"> </w:t>
            </w:r>
            <w:r w:rsidRPr="0086771E">
              <w:rPr>
                <w:rFonts w:cs="Times New Roman"/>
                <w:color w:val="000000"/>
                <w:sz w:val="21"/>
                <w:szCs w:val="21"/>
              </w:rPr>
              <w:t>Schnitzler, 2007)</w:t>
            </w:r>
          </w:p>
          <w:p w:rsidR="00BD45CA" w:rsidRPr="0086771E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D45CA" w:rsidRPr="0086771E" w:rsidTr="00BD45CA">
        <w:trPr>
          <w:trHeight w:val="2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:rsidR="00BD45CA" w:rsidRDefault="00BD45CA" w:rsidP="009A324D">
            <w:pPr>
              <w:rPr>
                <w:b w:val="0"/>
                <w:lang w:val="en-US"/>
              </w:rPr>
            </w:pPr>
          </w:p>
        </w:tc>
        <w:tc>
          <w:tcPr>
            <w:tcW w:w="2126" w:type="dxa"/>
          </w:tcPr>
          <w:p w:rsidR="00BD45CA" w:rsidRDefault="00BD45CA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Rapid needs assessments (RNAs)</w:t>
            </w:r>
          </w:p>
          <w:p w:rsidR="00BD45CA" w:rsidRDefault="00BD45CA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1"/>
              </w:numPr>
              <w:ind w:left="175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>RNAs provided information to local and state authorities about types and magnitude of needs and health status of the affected communities (</w:t>
            </w:r>
            <w:r w:rsidRPr="0086771E">
              <w:rPr>
                <w:rFonts w:cs="Times New Roman"/>
                <w:sz w:val="21"/>
                <w:szCs w:val="21"/>
              </w:rPr>
              <w:t>Chen, 2003</w:t>
            </w:r>
            <w:r>
              <w:rPr>
                <w:rFonts w:cs="Times New Roman"/>
                <w:sz w:val="21"/>
                <w:szCs w:val="21"/>
              </w:rPr>
              <w:t>;</w:t>
            </w:r>
            <w:r w:rsidRPr="0086771E">
              <w:rPr>
                <w:rFonts w:cs="Times New Roman"/>
                <w:sz w:val="21"/>
                <w:szCs w:val="21"/>
              </w:rPr>
              <w:t xml:space="preserve"> </w:t>
            </w:r>
            <w:r w:rsidRPr="0086771E">
              <w:rPr>
                <w:sz w:val="21"/>
                <w:szCs w:val="21"/>
                <w:lang w:val="en-US"/>
              </w:rPr>
              <w:t>McNeil, 2006</w:t>
            </w:r>
            <w:r>
              <w:rPr>
                <w:sz w:val="21"/>
                <w:szCs w:val="21"/>
                <w:lang w:val="en-US"/>
              </w:rPr>
              <w:t>;</w:t>
            </w:r>
            <w:r w:rsidRPr="0086771E">
              <w:rPr>
                <w:sz w:val="21"/>
                <w:szCs w:val="21"/>
                <w:lang w:val="en-US"/>
              </w:rPr>
              <w:t xml:space="preserve"> Zane, 2010)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1"/>
              </w:numPr>
              <w:ind w:left="175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rFonts w:cs="Times New Roman"/>
                <w:sz w:val="21"/>
                <w:szCs w:val="21"/>
              </w:rPr>
              <w:t>Emergency preparedness must be based on carefully conceived priorities, information, and communications, and improved capabilities must be developed to rapidly implement an emergency public health network (Chen, 2003)</w:t>
            </w:r>
          </w:p>
          <w:p w:rsidR="00BD45CA" w:rsidRPr="0086771E" w:rsidRDefault="00BD45CA" w:rsidP="009A324D">
            <w:pPr>
              <w:pStyle w:val="ListParagraph"/>
              <w:numPr>
                <w:ilvl w:val="0"/>
                <w:numId w:val="1"/>
              </w:numPr>
              <w:ind w:left="175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rFonts w:cs="Times New Roman"/>
                <w:sz w:val="21"/>
                <w:szCs w:val="21"/>
              </w:rPr>
              <w:t>A locally designed and deployed tool may provide population-based estimates of community needs or extent of event-related consequences (</w:t>
            </w:r>
            <w:proofErr w:type="spellStart"/>
            <w:r w:rsidRPr="0086771E">
              <w:rPr>
                <w:rFonts w:cs="Times New Roman"/>
                <w:sz w:val="21"/>
                <w:szCs w:val="21"/>
              </w:rPr>
              <w:t>Groenewald</w:t>
            </w:r>
            <w:proofErr w:type="spellEnd"/>
            <w:r w:rsidRPr="0086771E">
              <w:rPr>
                <w:rFonts w:cs="Times New Roman"/>
                <w:sz w:val="21"/>
                <w:szCs w:val="21"/>
              </w:rPr>
              <w:t>, 2006)</w:t>
            </w:r>
          </w:p>
          <w:p w:rsidR="00BD45CA" w:rsidRPr="0086771E" w:rsidRDefault="00BD45CA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D45CA" w:rsidRPr="0086771E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:rsidR="00BD45CA" w:rsidRDefault="00BD45CA" w:rsidP="009A324D">
            <w:pPr>
              <w:rPr>
                <w:b w:val="0"/>
                <w:lang w:val="en-US"/>
              </w:rPr>
            </w:pPr>
          </w:p>
        </w:tc>
        <w:tc>
          <w:tcPr>
            <w:tcW w:w="2126" w:type="dxa"/>
          </w:tcPr>
          <w:p w:rsidR="00BD45CA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Risk assessment</w:t>
            </w: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9"/>
              </w:numPr>
              <w:ind w:left="175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86771E">
              <w:rPr>
                <w:sz w:val="21"/>
                <w:szCs w:val="21"/>
                <w:lang w:val="en-US"/>
              </w:rPr>
              <w:t>Public health surveys may be useful to provide information</w:t>
            </w:r>
            <w:r>
              <w:rPr>
                <w:sz w:val="21"/>
                <w:szCs w:val="21"/>
                <w:lang w:val="en-US"/>
              </w:rPr>
              <w:t xml:space="preserve"> on</w:t>
            </w:r>
            <w:r w:rsidRPr="0086771E">
              <w:rPr>
                <w:sz w:val="21"/>
                <w:szCs w:val="21"/>
                <w:lang w:val="en-US"/>
              </w:rPr>
              <w:t xml:space="preserve"> risk of exposures, such as nuclear (Maguire, 2010)</w:t>
            </w:r>
          </w:p>
        </w:tc>
      </w:tr>
    </w:tbl>
    <w:tbl>
      <w:tblPr>
        <w:tblStyle w:val="MediumGrid3-Accent1"/>
        <w:tblW w:w="14142" w:type="dxa"/>
        <w:tblLayout w:type="fixed"/>
        <w:tblLook w:val="0480" w:firstRow="0" w:lastRow="0" w:firstColumn="1" w:lastColumn="0" w:noHBand="0" w:noVBand="1"/>
      </w:tblPr>
      <w:tblGrid>
        <w:gridCol w:w="1702"/>
        <w:gridCol w:w="2126"/>
        <w:gridCol w:w="10314"/>
      </w:tblGrid>
      <w:tr w:rsidR="00BD45CA" w:rsidTr="00BD4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textDirection w:val="btLr"/>
          </w:tcPr>
          <w:p w:rsidR="00BD45CA" w:rsidRDefault="00BD45CA" w:rsidP="009A324D">
            <w:pPr>
              <w:ind w:left="113" w:right="113"/>
              <w:jc w:val="center"/>
              <w:rPr>
                <w:b w:val="0"/>
                <w:lang w:val="en-US"/>
              </w:rPr>
            </w:pPr>
            <w:r>
              <w:rPr>
                <w:lang w:val="en-US"/>
              </w:rPr>
              <w:lastRenderedPageBreak/>
              <w:t>Vulnerable populations</w:t>
            </w:r>
          </w:p>
        </w:tc>
        <w:tc>
          <w:tcPr>
            <w:tcW w:w="2126" w:type="dxa"/>
          </w:tcPr>
          <w:p w:rsidR="00BD45CA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C1AFD">
              <w:rPr>
                <w:lang w:val="en-US"/>
              </w:rPr>
              <w:t xml:space="preserve">Vulnerability assessment </w:t>
            </w:r>
          </w:p>
          <w:p w:rsidR="00BD45CA" w:rsidRPr="00CC1AFD" w:rsidRDefault="00BD45CA" w:rsidP="009A32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3"/>
              </w:numPr>
              <w:ind w:left="175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  <w:lang w:val="en-US"/>
              </w:rPr>
              <w:t xml:space="preserve">A developed heat vulnerability index may be a marker of </w:t>
            </w:r>
            <w:r w:rsidRPr="0086771E">
              <w:rPr>
                <w:i/>
                <w:sz w:val="21"/>
                <w:szCs w:val="21"/>
                <w:lang w:val="en-US"/>
              </w:rPr>
              <w:t>health</w:t>
            </w:r>
            <w:r w:rsidRPr="0086771E">
              <w:rPr>
                <w:sz w:val="21"/>
                <w:szCs w:val="21"/>
                <w:lang w:val="en-US"/>
              </w:rPr>
              <w:t xml:space="preserve"> vulnerability in general (Reid, 2009 and 2012)</w:t>
            </w:r>
          </w:p>
        </w:tc>
      </w:tr>
      <w:tr w:rsidR="00BD45CA" w:rsidTr="00BD45CA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:rsidR="00BD45CA" w:rsidRDefault="00BD45CA" w:rsidP="009A324D"/>
        </w:tc>
        <w:tc>
          <w:tcPr>
            <w:tcW w:w="2126" w:type="dxa"/>
          </w:tcPr>
          <w:p w:rsidR="00BD45CA" w:rsidRDefault="00BD45CA" w:rsidP="009A3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-US"/>
              </w:rPr>
              <w:t>H</w:t>
            </w:r>
            <w:r w:rsidRPr="00CC1AFD">
              <w:rPr>
                <w:lang w:val="en-US"/>
              </w:rPr>
              <w:t>igh-risk populations</w:t>
            </w:r>
          </w:p>
        </w:tc>
        <w:tc>
          <w:tcPr>
            <w:tcW w:w="10314" w:type="dxa"/>
          </w:tcPr>
          <w:p w:rsidR="00BD45CA" w:rsidRPr="0086771E" w:rsidRDefault="00BD45CA" w:rsidP="009A324D">
            <w:pPr>
              <w:pStyle w:val="ListParagraph"/>
              <w:numPr>
                <w:ilvl w:val="0"/>
                <w:numId w:val="7"/>
              </w:numPr>
              <w:ind w:left="175" w:hanging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86771E">
              <w:rPr>
                <w:sz w:val="21"/>
                <w:szCs w:val="21"/>
                <w:lang w:val="en-US"/>
              </w:rPr>
              <w:t>A model for assessing capacity to integrate diverse communities into preparedness planning and response should include (</w:t>
            </w:r>
            <w:proofErr w:type="spellStart"/>
            <w:r w:rsidRPr="0086771E">
              <w:rPr>
                <w:sz w:val="21"/>
                <w:szCs w:val="21"/>
                <w:lang w:val="en-US"/>
              </w:rPr>
              <w:t>Andrulis</w:t>
            </w:r>
            <w:proofErr w:type="spellEnd"/>
            <w:r w:rsidRPr="0086771E">
              <w:rPr>
                <w:sz w:val="21"/>
                <w:szCs w:val="21"/>
                <w:lang w:val="en-US"/>
              </w:rPr>
              <w:t xml:space="preserve">, 2011): </w:t>
            </w:r>
          </w:p>
          <w:p w:rsidR="00BD45CA" w:rsidRPr="0086771E" w:rsidRDefault="00BD45CA" w:rsidP="009A324D">
            <w:pPr>
              <w:numPr>
                <w:ilvl w:val="0"/>
                <w:numId w:val="6"/>
              </w:numPr>
              <w:ind w:left="459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86771E">
              <w:rPr>
                <w:sz w:val="21"/>
                <w:szCs w:val="21"/>
                <w:lang w:val="en-US"/>
              </w:rPr>
              <w:t>Engaging diverse communities in all aspects of emergency planning, implementation, and evaluation</w:t>
            </w:r>
          </w:p>
          <w:p w:rsidR="00BD45CA" w:rsidRPr="0086771E" w:rsidRDefault="00BD45CA" w:rsidP="009A324D">
            <w:pPr>
              <w:numPr>
                <w:ilvl w:val="0"/>
                <w:numId w:val="6"/>
              </w:numPr>
              <w:ind w:left="459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86771E">
              <w:rPr>
                <w:sz w:val="21"/>
                <w:szCs w:val="21"/>
                <w:lang w:val="en-US"/>
              </w:rPr>
              <w:t>Mitigating fear and stigma</w:t>
            </w:r>
          </w:p>
          <w:p w:rsidR="00BD45CA" w:rsidRPr="0086771E" w:rsidRDefault="00BD45CA" w:rsidP="009A324D">
            <w:pPr>
              <w:numPr>
                <w:ilvl w:val="0"/>
                <w:numId w:val="6"/>
              </w:numPr>
              <w:ind w:left="459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86771E">
              <w:rPr>
                <w:sz w:val="21"/>
                <w:szCs w:val="21"/>
                <w:lang w:val="en-US"/>
              </w:rPr>
              <w:t>Building organizational cultural competence</w:t>
            </w:r>
          </w:p>
          <w:p w:rsidR="00BD45CA" w:rsidRPr="0086771E" w:rsidRDefault="00BD45CA" w:rsidP="009A324D">
            <w:pPr>
              <w:numPr>
                <w:ilvl w:val="0"/>
                <w:numId w:val="6"/>
              </w:numPr>
              <w:ind w:left="459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86771E">
              <w:rPr>
                <w:sz w:val="21"/>
                <w:szCs w:val="21"/>
                <w:lang w:val="en-US"/>
              </w:rPr>
              <w:t>Enhancing coordination of information and resources</w:t>
            </w:r>
          </w:p>
          <w:p w:rsidR="00BD45CA" w:rsidRDefault="00BD45CA" w:rsidP="009A324D">
            <w:pPr>
              <w:numPr>
                <w:ilvl w:val="0"/>
                <w:numId w:val="4"/>
              </w:numPr>
              <w:ind w:left="175" w:hanging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6771E">
              <w:rPr>
                <w:sz w:val="21"/>
                <w:szCs w:val="21"/>
              </w:rPr>
              <w:t>It can be challenging to identify and prioritize vulnerable individuals (Abrahamson, 2009</w:t>
            </w:r>
            <w:r>
              <w:rPr>
                <w:sz w:val="21"/>
                <w:szCs w:val="21"/>
              </w:rPr>
              <w:t>;</w:t>
            </w:r>
            <w:r w:rsidRPr="0086771E">
              <w:rPr>
                <w:sz w:val="21"/>
                <w:szCs w:val="21"/>
              </w:rPr>
              <w:t xml:space="preserve"> </w:t>
            </w:r>
            <w:proofErr w:type="spellStart"/>
            <w:r w:rsidRPr="0086771E">
              <w:rPr>
                <w:sz w:val="21"/>
                <w:szCs w:val="21"/>
                <w:lang w:val="en-US"/>
              </w:rPr>
              <w:t>Andrulis</w:t>
            </w:r>
            <w:proofErr w:type="spellEnd"/>
            <w:r w:rsidRPr="0086771E">
              <w:rPr>
                <w:sz w:val="21"/>
                <w:szCs w:val="21"/>
                <w:lang w:val="en-US"/>
              </w:rPr>
              <w:t>, 2011</w:t>
            </w:r>
            <w:r w:rsidRPr="0086771E">
              <w:rPr>
                <w:sz w:val="21"/>
                <w:szCs w:val="21"/>
              </w:rPr>
              <w:t>)</w:t>
            </w:r>
          </w:p>
          <w:p w:rsidR="00BD45CA" w:rsidRPr="0086771E" w:rsidRDefault="00BD45CA" w:rsidP="009A324D">
            <w:pPr>
              <w:numPr>
                <w:ilvl w:val="0"/>
                <w:numId w:val="4"/>
              </w:numPr>
              <w:ind w:left="175" w:hanging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Vulnerable populations such as children may have greater emotional and behavioural consequences from emergencies such as terrorism (Stein, 2004)</w:t>
            </w:r>
          </w:p>
        </w:tc>
      </w:tr>
    </w:tbl>
    <w:p w:rsidR="008C246F" w:rsidRDefault="008C246F"/>
    <w:sectPr w:rsidR="008C246F" w:rsidSect="00FD3EE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6544"/>
    <w:multiLevelType w:val="hybridMultilevel"/>
    <w:tmpl w:val="8C2E39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458E5"/>
    <w:multiLevelType w:val="hybridMultilevel"/>
    <w:tmpl w:val="94BC68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67BA8"/>
    <w:multiLevelType w:val="hybridMultilevel"/>
    <w:tmpl w:val="5C9AE3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3E3950"/>
    <w:multiLevelType w:val="hybridMultilevel"/>
    <w:tmpl w:val="1BBA32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D350D"/>
    <w:multiLevelType w:val="hybridMultilevel"/>
    <w:tmpl w:val="EE7CB9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80F6C"/>
    <w:multiLevelType w:val="hybridMultilevel"/>
    <w:tmpl w:val="8B76AA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2102C9"/>
    <w:multiLevelType w:val="hybridMultilevel"/>
    <w:tmpl w:val="079A08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F4775B"/>
    <w:multiLevelType w:val="hybridMultilevel"/>
    <w:tmpl w:val="54629D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33853"/>
    <w:multiLevelType w:val="hybridMultilevel"/>
    <w:tmpl w:val="DFF40F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517432"/>
    <w:multiLevelType w:val="hybridMultilevel"/>
    <w:tmpl w:val="E9BC6E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5F6A5D"/>
    <w:multiLevelType w:val="hybridMultilevel"/>
    <w:tmpl w:val="89923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F74B96"/>
    <w:multiLevelType w:val="hybridMultilevel"/>
    <w:tmpl w:val="412ED9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85601B"/>
    <w:multiLevelType w:val="hybridMultilevel"/>
    <w:tmpl w:val="7ADA65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E9494C"/>
    <w:multiLevelType w:val="hybridMultilevel"/>
    <w:tmpl w:val="4D4A84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A141C7"/>
    <w:multiLevelType w:val="hybridMultilevel"/>
    <w:tmpl w:val="736669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F4068D"/>
    <w:multiLevelType w:val="hybridMultilevel"/>
    <w:tmpl w:val="1F94D96E"/>
    <w:lvl w:ilvl="0" w:tplc="10090001">
      <w:start w:val="1"/>
      <w:numFmt w:val="bullet"/>
      <w:lvlText w:val=""/>
      <w:lvlJc w:val="left"/>
      <w:pPr>
        <w:ind w:left="31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3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75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47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19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1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3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35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07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1"/>
  </w:num>
  <w:num w:numId="5">
    <w:abstractNumId w:val="0"/>
  </w:num>
  <w:num w:numId="6">
    <w:abstractNumId w:val="13"/>
  </w:num>
  <w:num w:numId="7">
    <w:abstractNumId w:val="4"/>
  </w:num>
  <w:num w:numId="8">
    <w:abstractNumId w:val="10"/>
  </w:num>
  <w:num w:numId="9">
    <w:abstractNumId w:val="6"/>
  </w:num>
  <w:num w:numId="10">
    <w:abstractNumId w:val="12"/>
  </w:num>
  <w:num w:numId="11">
    <w:abstractNumId w:val="3"/>
  </w:num>
  <w:num w:numId="12">
    <w:abstractNumId w:val="5"/>
  </w:num>
  <w:num w:numId="13">
    <w:abstractNumId w:val="9"/>
  </w:num>
  <w:num w:numId="14">
    <w:abstractNumId w:val="2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EEE"/>
    <w:rsid w:val="00077131"/>
    <w:rsid w:val="00174E0E"/>
    <w:rsid w:val="00182722"/>
    <w:rsid w:val="003C4B20"/>
    <w:rsid w:val="004008A5"/>
    <w:rsid w:val="0042210F"/>
    <w:rsid w:val="005A0FA7"/>
    <w:rsid w:val="00613080"/>
    <w:rsid w:val="0061648F"/>
    <w:rsid w:val="006208FF"/>
    <w:rsid w:val="006456C3"/>
    <w:rsid w:val="0079639E"/>
    <w:rsid w:val="00890079"/>
    <w:rsid w:val="008C246F"/>
    <w:rsid w:val="00996AEE"/>
    <w:rsid w:val="009B6779"/>
    <w:rsid w:val="00A16EEC"/>
    <w:rsid w:val="00AA7C89"/>
    <w:rsid w:val="00AD17AC"/>
    <w:rsid w:val="00B259C1"/>
    <w:rsid w:val="00B92001"/>
    <w:rsid w:val="00BD45CA"/>
    <w:rsid w:val="00C568C6"/>
    <w:rsid w:val="00C91837"/>
    <w:rsid w:val="00D80233"/>
    <w:rsid w:val="00E12D99"/>
    <w:rsid w:val="00E144FA"/>
    <w:rsid w:val="00E67F79"/>
    <w:rsid w:val="00F3737D"/>
    <w:rsid w:val="00F6536D"/>
    <w:rsid w:val="00FA7481"/>
    <w:rsid w:val="00FB3954"/>
    <w:rsid w:val="00FD3EEE"/>
    <w:rsid w:val="00FE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EEE"/>
    <w:pPr>
      <w:ind w:left="720"/>
      <w:contextualSpacing/>
    </w:pPr>
  </w:style>
  <w:style w:type="table" w:styleId="MediumGrid3-Accent1">
    <w:name w:val="Medium Grid 3 Accent 1"/>
    <w:basedOn w:val="TableNormal"/>
    <w:uiPriority w:val="69"/>
    <w:rsid w:val="00FD3E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77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EEE"/>
    <w:pPr>
      <w:ind w:left="720"/>
      <w:contextualSpacing/>
    </w:pPr>
  </w:style>
  <w:style w:type="table" w:styleId="MediumGrid3-Accent1">
    <w:name w:val="Medium Grid 3 Accent 1"/>
    <w:basedOn w:val="TableNormal"/>
    <w:uiPriority w:val="69"/>
    <w:rsid w:val="00FD3E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77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Ontario Agency for Health Protection and Promotion</Company>
  <LinksUpToDate>false</LinksUpToDate>
  <CharactersWithSpaces>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Khan</dc:creator>
  <cp:lastModifiedBy>Yasmin Khan</cp:lastModifiedBy>
  <cp:revision>4</cp:revision>
  <cp:lastPrinted>2015-04-15T14:14:00Z</cp:lastPrinted>
  <dcterms:created xsi:type="dcterms:W3CDTF">2015-04-15T14:04:00Z</dcterms:created>
  <dcterms:modified xsi:type="dcterms:W3CDTF">2015-04-15T16:04:00Z</dcterms:modified>
</cp:coreProperties>
</file>