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E790D" w14:textId="3018DC27" w:rsidR="00D7547F" w:rsidRPr="009B75DC" w:rsidRDefault="00D7547F" w:rsidP="009B75DC">
      <w:pPr>
        <w:ind w:left="-180"/>
        <w:rPr>
          <w:rFonts w:asciiTheme="majorHAnsi" w:hAnsiTheme="majorHAnsi" w:cstheme="majorHAnsi"/>
          <w:b/>
        </w:rPr>
      </w:pPr>
      <w:r w:rsidRPr="009B75DC">
        <w:rPr>
          <w:rFonts w:asciiTheme="majorHAnsi" w:hAnsiTheme="majorHAnsi" w:cstheme="majorHAnsi"/>
          <w:b/>
        </w:rPr>
        <w:t xml:space="preserve">Summary of </w:t>
      </w:r>
      <w:r w:rsidR="007D45AD">
        <w:rPr>
          <w:rFonts w:asciiTheme="majorHAnsi" w:hAnsiTheme="majorHAnsi" w:cstheme="majorHAnsi"/>
          <w:b/>
        </w:rPr>
        <w:t xml:space="preserve">Key </w:t>
      </w:r>
      <w:r w:rsidRPr="009B75DC">
        <w:rPr>
          <w:rFonts w:asciiTheme="majorHAnsi" w:hAnsiTheme="majorHAnsi" w:cstheme="majorHAnsi"/>
          <w:b/>
        </w:rPr>
        <w:t xml:space="preserve">Findings from </w:t>
      </w:r>
      <w:r w:rsidR="00423B28">
        <w:rPr>
          <w:rFonts w:asciiTheme="majorHAnsi" w:hAnsiTheme="majorHAnsi" w:cstheme="majorHAnsi"/>
          <w:b/>
        </w:rPr>
        <w:t>5</w:t>
      </w:r>
      <w:r w:rsidR="00F53004">
        <w:rPr>
          <w:rFonts w:asciiTheme="majorHAnsi" w:hAnsiTheme="majorHAnsi" w:cstheme="majorHAnsi"/>
          <w:b/>
        </w:rPr>
        <w:t>9</w:t>
      </w:r>
      <w:bookmarkStart w:id="0" w:name="_GoBack"/>
      <w:bookmarkEnd w:id="0"/>
      <w:r w:rsidRPr="009B75DC">
        <w:rPr>
          <w:rFonts w:asciiTheme="majorHAnsi" w:hAnsiTheme="majorHAnsi" w:cstheme="majorHAnsi"/>
          <w:b/>
        </w:rPr>
        <w:t xml:space="preserve"> Systematic Reviews</w:t>
      </w:r>
    </w:p>
    <w:p w14:paraId="5546C71B" w14:textId="77777777" w:rsidR="00D7547F" w:rsidRDefault="00D7547F"/>
    <w:tbl>
      <w:tblPr>
        <w:tblStyle w:val="TableGrid"/>
        <w:tblW w:w="13520" w:type="dxa"/>
        <w:jc w:val="center"/>
        <w:tblLayout w:type="fixed"/>
        <w:tblLook w:val="04A0" w:firstRow="1" w:lastRow="0" w:firstColumn="1" w:lastColumn="0" w:noHBand="0" w:noVBand="1"/>
      </w:tblPr>
      <w:tblGrid>
        <w:gridCol w:w="1172"/>
        <w:gridCol w:w="1235"/>
        <w:gridCol w:w="992"/>
        <w:gridCol w:w="992"/>
        <w:gridCol w:w="7796"/>
        <w:gridCol w:w="1333"/>
      </w:tblGrid>
      <w:tr w:rsidR="0081624F" w:rsidRPr="005573A3" w14:paraId="56899939" w14:textId="77777777" w:rsidTr="00A923F0">
        <w:trPr>
          <w:cantSplit/>
          <w:trHeight w:val="75"/>
          <w:jc w:val="center"/>
        </w:trPr>
        <w:tc>
          <w:tcPr>
            <w:tcW w:w="1172" w:type="dxa"/>
            <w:tcBorders>
              <w:top w:val="single" w:sz="12" w:space="0" w:color="auto"/>
              <w:left w:val="single" w:sz="4" w:space="0" w:color="FFFFFF" w:themeColor="background1"/>
              <w:bottom w:val="single" w:sz="12" w:space="0" w:color="auto"/>
              <w:right w:val="single" w:sz="4" w:space="0" w:color="FFFFFF" w:themeColor="background1"/>
            </w:tcBorders>
          </w:tcPr>
          <w:p w14:paraId="4718C6B1" w14:textId="49735ED4" w:rsidR="0081624F" w:rsidRPr="00F0774B" w:rsidRDefault="0081624F" w:rsidP="00AC5329">
            <w:pPr>
              <w:rPr>
                <w:rFonts w:ascii="Calibri" w:hAnsi="Calibri"/>
                <w:b/>
                <w:sz w:val="18"/>
                <w:szCs w:val="18"/>
              </w:rPr>
            </w:pPr>
            <w:r w:rsidRPr="00F0774B">
              <w:rPr>
                <w:rFonts w:ascii="Calibri" w:hAnsi="Calibri"/>
                <w:b/>
                <w:sz w:val="18"/>
                <w:szCs w:val="18"/>
              </w:rPr>
              <w:t xml:space="preserve">MPOWER </w:t>
            </w:r>
          </w:p>
        </w:tc>
        <w:tc>
          <w:tcPr>
            <w:tcW w:w="1235" w:type="dxa"/>
            <w:tcBorders>
              <w:top w:val="single" w:sz="12" w:space="0" w:color="auto"/>
              <w:left w:val="single" w:sz="4" w:space="0" w:color="FFFFFF" w:themeColor="background1"/>
              <w:bottom w:val="single" w:sz="12" w:space="0" w:color="auto"/>
              <w:right w:val="single" w:sz="4" w:space="0" w:color="FFFFFF" w:themeColor="background1"/>
            </w:tcBorders>
          </w:tcPr>
          <w:p w14:paraId="1C8B53D6" w14:textId="60B61410" w:rsidR="0081624F" w:rsidRPr="005573A3" w:rsidRDefault="0081624F">
            <w:pPr>
              <w:rPr>
                <w:rFonts w:ascii="Calibri" w:hAnsi="Calibri"/>
                <w:b/>
                <w:sz w:val="18"/>
                <w:szCs w:val="18"/>
              </w:rPr>
            </w:pPr>
            <w:r>
              <w:rPr>
                <w:rFonts w:ascii="Calibri" w:hAnsi="Calibri"/>
                <w:b/>
                <w:sz w:val="18"/>
                <w:szCs w:val="18"/>
              </w:rPr>
              <w:t>Review</w:t>
            </w:r>
          </w:p>
        </w:tc>
        <w:tc>
          <w:tcPr>
            <w:tcW w:w="992" w:type="dxa"/>
            <w:tcBorders>
              <w:top w:val="single" w:sz="12" w:space="0" w:color="auto"/>
              <w:left w:val="single" w:sz="4" w:space="0" w:color="FFFFFF" w:themeColor="background1"/>
              <w:bottom w:val="single" w:sz="12" w:space="0" w:color="auto"/>
              <w:right w:val="single" w:sz="4" w:space="0" w:color="FFFFFF" w:themeColor="background1"/>
            </w:tcBorders>
          </w:tcPr>
          <w:p w14:paraId="208A6234" w14:textId="77BE138E" w:rsidR="0081624F" w:rsidRDefault="00D7547F" w:rsidP="00D7547F">
            <w:pPr>
              <w:ind w:right="-108"/>
              <w:jc w:val="center"/>
              <w:rPr>
                <w:rFonts w:ascii="Calibri" w:hAnsi="Calibri"/>
                <w:b/>
                <w:sz w:val="18"/>
                <w:szCs w:val="18"/>
              </w:rPr>
            </w:pPr>
            <w:r>
              <w:rPr>
                <w:rFonts w:ascii="Calibri" w:hAnsi="Calibri"/>
                <w:b/>
                <w:sz w:val="18"/>
                <w:szCs w:val="18"/>
              </w:rPr>
              <w:t>S</w:t>
            </w:r>
            <w:r w:rsidR="0081624F">
              <w:rPr>
                <w:rFonts w:ascii="Calibri" w:hAnsi="Calibri"/>
                <w:b/>
                <w:sz w:val="18"/>
                <w:szCs w:val="18"/>
              </w:rPr>
              <w:t>tudies</w:t>
            </w:r>
          </w:p>
        </w:tc>
        <w:tc>
          <w:tcPr>
            <w:tcW w:w="992" w:type="dxa"/>
            <w:tcBorders>
              <w:top w:val="single" w:sz="12" w:space="0" w:color="auto"/>
              <w:left w:val="single" w:sz="4" w:space="0" w:color="FFFFFF" w:themeColor="background1"/>
              <w:bottom w:val="single" w:sz="12" w:space="0" w:color="auto"/>
              <w:right w:val="single" w:sz="4" w:space="0" w:color="FFFFFF" w:themeColor="background1"/>
            </w:tcBorders>
          </w:tcPr>
          <w:p w14:paraId="55A8EAD4" w14:textId="3EC8C99A" w:rsidR="0081624F" w:rsidRPr="000D3A4B" w:rsidRDefault="0081624F" w:rsidP="00D7547F">
            <w:pPr>
              <w:ind w:right="-108"/>
              <w:jc w:val="center"/>
              <w:rPr>
                <w:rFonts w:ascii="Calibri" w:hAnsi="Calibri"/>
                <w:b/>
                <w:sz w:val="18"/>
                <w:szCs w:val="18"/>
              </w:rPr>
            </w:pPr>
            <w:r>
              <w:rPr>
                <w:rFonts w:ascii="Calibri" w:hAnsi="Calibri"/>
                <w:b/>
                <w:sz w:val="18"/>
                <w:szCs w:val="18"/>
              </w:rPr>
              <w:t>Last search</w:t>
            </w:r>
          </w:p>
        </w:tc>
        <w:tc>
          <w:tcPr>
            <w:tcW w:w="7796" w:type="dxa"/>
            <w:tcBorders>
              <w:top w:val="single" w:sz="12" w:space="0" w:color="auto"/>
              <w:left w:val="single" w:sz="4" w:space="0" w:color="FFFFFF" w:themeColor="background1"/>
              <w:bottom w:val="single" w:sz="12" w:space="0" w:color="auto"/>
              <w:right w:val="single" w:sz="4" w:space="0" w:color="FFFFFF" w:themeColor="background1"/>
            </w:tcBorders>
          </w:tcPr>
          <w:p w14:paraId="4C45B1B7" w14:textId="77777777" w:rsidR="0081624F" w:rsidRPr="00772602" w:rsidRDefault="0081624F" w:rsidP="00772602">
            <w:pPr>
              <w:rPr>
                <w:rFonts w:ascii="Calibri" w:hAnsi="Calibri"/>
                <w:b/>
                <w:sz w:val="18"/>
                <w:szCs w:val="18"/>
              </w:rPr>
            </w:pPr>
            <w:r w:rsidRPr="00772602">
              <w:rPr>
                <w:rFonts w:ascii="Calibri" w:hAnsi="Calibri"/>
                <w:b/>
                <w:sz w:val="18"/>
                <w:szCs w:val="18"/>
              </w:rPr>
              <w:t>Key findings</w:t>
            </w:r>
          </w:p>
        </w:tc>
        <w:tc>
          <w:tcPr>
            <w:tcW w:w="1333" w:type="dxa"/>
            <w:tcBorders>
              <w:top w:val="single" w:sz="12" w:space="0" w:color="auto"/>
              <w:left w:val="single" w:sz="4" w:space="0" w:color="FFFFFF" w:themeColor="background1"/>
              <w:bottom w:val="single" w:sz="12" w:space="0" w:color="auto"/>
              <w:right w:val="single" w:sz="4" w:space="0" w:color="FFFFFF" w:themeColor="background1"/>
            </w:tcBorders>
          </w:tcPr>
          <w:p w14:paraId="28BF8622" w14:textId="7510E949" w:rsidR="0081624F" w:rsidRPr="000D3A4B" w:rsidRDefault="0081624F">
            <w:pPr>
              <w:rPr>
                <w:rFonts w:ascii="Calibri" w:hAnsi="Calibri"/>
                <w:b/>
                <w:sz w:val="18"/>
                <w:szCs w:val="18"/>
              </w:rPr>
            </w:pPr>
            <w:r>
              <w:rPr>
                <w:rFonts w:ascii="Calibri" w:hAnsi="Calibri"/>
                <w:b/>
                <w:sz w:val="18"/>
                <w:szCs w:val="18"/>
              </w:rPr>
              <w:t>Quality rating</w:t>
            </w:r>
          </w:p>
        </w:tc>
      </w:tr>
      <w:tr w:rsidR="0081624F" w:rsidRPr="005573A3" w14:paraId="258A539C" w14:textId="77777777" w:rsidTr="00A923F0">
        <w:trPr>
          <w:cantSplit/>
          <w:trHeight w:val="75"/>
          <w:jc w:val="center"/>
        </w:trPr>
        <w:tc>
          <w:tcPr>
            <w:tcW w:w="1172" w:type="dxa"/>
            <w:vMerge w:val="restart"/>
            <w:tcBorders>
              <w:top w:val="single" w:sz="12" w:space="0" w:color="auto"/>
              <w:left w:val="single" w:sz="4" w:space="0" w:color="FFFFFF" w:themeColor="background1"/>
              <w:right w:val="single" w:sz="4" w:space="0" w:color="FFFFFF" w:themeColor="background1"/>
            </w:tcBorders>
          </w:tcPr>
          <w:p w14:paraId="4D4634D3" w14:textId="57E572C2" w:rsidR="0081624F" w:rsidRPr="00F0774B" w:rsidRDefault="0081624F" w:rsidP="00D175C4">
            <w:pPr>
              <w:rPr>
                <w:rFonts w:ascii="Calibri" w:hAnsi="Calibri"/>
                <w:b/>
                <w:sz w:val="18"/>
                <w:szCs w:val="18"/>
              </w:rPr>
            </w:pPr>
            <w:r w:rsidRPr="00F0774B">
              <w:rPr>
                <w:rFonts w:ascii="Calibri" w:hAnsi="Calibri"/>
                <w:b/>
                <w:sz w:val="18"/>
                <w:szCs w:val="18"/>
              </w:rPr>
              <w:t>Protect people from tobacco smoke</w:t>
            </w:r>
          </w:p>
        </w:tc>
        <w:tc>
          <w:tcPr>
            <w:tcW w:w="1235" w:type="dxa"/>
            <w:tcBorders>
              <w:top w:val="single" w:sz="12" w:space="0" w:color="auto"/>
              <w:left w:val="single" w:sz="4" w:space="0" w:color="FFFFFF" w:themeColor="background1"/>
              <w:right w:val="single" w:sz="4" w:space="0" w:color="FFFFFF" w:themeColor="background1"/>
            </w:tcBorders>
          </w:tcPr>
          <w:p w14:paraId="196559DF" w14:textId="1A28F6AE" w:rsidR="0081624F" w:rsidRPr="0025010C" w:rsidRDefault="0081624F" w:rsidP="004C4F33">
            <w:pPr>
              <w:rPr>
                <w:rFonts w:ascii="Calibri" w:hAnsi="Calibri"/>
                <w:sz w:val="18"/>
                <w:szCs w:val="18"/>
              </w:rPr>
            </w:pPr>
            <w:r>
              <w:rPr>
                <w:rFonts w:ascii="Calibri" w:hAnsi="Calibri"/>
                <w:sz w:val="18"/>
                <w:szCs w:val="18"/>
              </w:rPr>
              <w:t xml:space="preserve">Eriksen </w:t>
            </w:r>
            <w:r w:rsidR="004C4F33">
              <w:rPr>
                <w:rFonts w:ascii="Calibri" w:hAnsi="Calibri"/>
                <w:sz w:val="18"/>
                <w:szCs w:val="18"/>
              </w:rPr>
              <w:t xml:space="preserve">&amp; </w:t>
            </w:r>
            <w:r>
              <w:rPr>
                <w:rFonts w:ascii="Calibri" w:hAnsi="Calibri"/>
                <w:sz w:val="18"/>
                <w:szCs w:val="18"/>
              </w:rPr>
              <w:t>Gottlieb 1998</w:t>
            </w:r>
          </w:p>
        </w:tc>
        <w:tc>
          <w:tcPr>
            <w:tcW w:w="992" w:type="dxa"/>
            <w:tcBorders>
              <w:top w:val="single" w:sz="12" w:space="0" w:color="auto"/>
              <w:left w:val="single" w:sz="4" w:space="0" w:color="FFFFFF" w:themeColor="background1"/>
              <w:right w:val="single" w:sz="4" w:space="0" w:color="FFFFFF" w:themeColor="background1"/>
            </w:tcBorders>
            <w:shd w:val="clear" w:color="auto" w:fill="FFFFFF" w:themeFill="background1"/>
          </w:tcPr>
          <w:p w14:paraId="603583F8" w14:textId="733EEC49" w:rsidR="0081624F" w:rsidRDefault="0081624F" w:rsidP="00D7547F">
            <w:pPr>
              <w:jc w:val="center"/>
              <w:rPr>
                <w:rFonts w:ascii="Calibri" w:hAnsi="Calibri"/>
                <w:sz w:val="18"/>
                <w:szCs w:val="18"/>
              </w:rPr>
            </w:pPr>
            <w:r>
              <w:rPr>
                <w:rFonts w:ascii="Calibri" w:hAnsi="Calibri"/>
                <w:sz w:val="18"/>
                <w:szCs w:val="18"/>
              </w:rPr>
              <w:t>81</w:t>
            </w:r>
          </w:p>
        </w:tc>
        <w:tc>
          <w:tcPr>
            <w:tcW w:w="992" w:type="dxa"/>
            <w:tcBorders>
              <w:top w:val="single" w:sz="12" w:space="0" w:color="auto"/>
              <w:left w:val="single" w:sz="4" w:space="0" w:color="FFFFFF" w:themeColor="background1"/>
              <w:right w:val="single" w:sz="4" w:space="0" w:color="FFFFFF" w:themeColor="background1"/>
            </w:tcBorders>
          </w:tcPr>
          <w:p w14:paraId="0014B7A2" w14:textId="56D7C802" w:rsidR="0081624F" w:rsidRDefault="0081624F" w:rsidP="00D7547F">
            <w:pPr>
              <w:jc w:val="center"/>
              <w:rPr>
                <w:rFonts w:ascii="Calibri" w:hAnsi="Calibri"/>
                <w:sz w:val="18"/>
                <w:szCs w:val="18"/>
              </w:rPr>
            </w:pPr>
            <w:r>
              <w:rPr>
                <w:rFonts w:ascii="Calibri" w:hAnsi="Calibri"/>
                <w:sz w:val="18"/>
                <w:szCs w:val="18"/>
              </w:rPr>
              <w:t>1994</w:t>
            </w:r>
          </w:p>
        </w:tc>
        <w:tc>
          <w:tcPr>
            <w:tcW w:w="7796" w:type="dxa"/>
            <w:tcBorders>
              <w:top w:val="single" w:sz="12" w:space="0" w:color="auto"/>
              <w:left w:val="single" w:sz="4" w:space="0" w:color="FFFFFF" w:themeColor="background1"/>
              <w:right w:val="single" w:sz="4" w:space="0" w:color="FFFFFF" w:themeColor="background1"/>
            </w:tcBorders>
          </w:tcPr>
          <w:p w14:paraId="35D582F7" w14:textId="23D3C67F" w:rsidR="0081624F" w:rsidRPr="0097597C" w:rsidRDefault="0081624F" w:rsidP="00075837">
            <w:pPr>
              <w:pStyle w:val="ListParagraph"/>
              <w:numPr>
                <w:ilvl w:val="0"/>
                <w:numId w:val="9"/>
              </w:numPr>
              <w:ind w:left="170" w:hanging="170"/>
              <w:rPr>
                <w:rFonts w:ascii="Calibri" w:hAnsi="Calibri"/>
                <w:sz w:val="18"/>
                <w:szCs w:val="18"/>
              </w:rPr>
            </w:pPr>
            <w:r>
              <w:rPr>
                <w:rFonts w:ascii="Calibri" w:hAnsi="Calibri"/>
                <w:sz w:val="18"/>
                <w:szCs w:val="18"/>
              </w:rPr>
              <w:t>Workplace smoke-free policies reduce cigarette consumption by individual employees in the workplace; their effects on overall consumption, prevalence and cessation are less clear</w:t>
            </w:r>
          </w:p>
        </w:tc>
        <w:tc>
          <w:tcPr>
            <w:tcW w:w="1333" w:type="dxa"/>
            <w:tcBorders>
              <w:top w:val="single" w:sz="12" w:space="0" w:color="auto"/>
              <w:left w:val="single" w:sz="4" w:space="0" w:color="FFFFFF" w:themeColor="background1"/>
              <w:right w:val="single" w:sz="4" w:space="0" w:color="FFFFFF" w:themeColor="background1"/>
            </w:tcBorders>
          </w:tcPr>
          <w:p w14:paraId="45C80591" w14:textId="308C28E2" w:rsidR="0081624F" w:rsidRDefault="004C4F33" w:rsidP="009C03AB">
            <w:pPr>
              <w:rPr>
                <w:rFonts w:ascii="Calibri" w:hAnsi="Calibri"/>
                <w:sz w:val="18"/>
                <w:szCs w:val="18"/>
              </w:rPr>
            </w:pPr>
            <w:r>
              <w:rPr>
                <w:rFonts w:ascii="Calibri" w:hAnsi="Calibri"/>
                <w:sz w:val="18"/>
                <w:szCs w:val="18"/>
              </w:rPr>
              <w:t>6/9 (Authors)</w:t>
            </w:r>
          </w:p>
        </w:tc>
      </w:tr>
      <w:tr w:rsidR="0081624F" w:rsidRPr="005573A3" w14:paraId="635819A0" w14:textId="77777777" w:rsidTr="00A923F0">
        <w:trPr>
          <w:cantSplit/>
          <w:trHeight w:val="536"/>
          <w:jc w:val="center"/>
        </w:trPr>
        <w:tc>
          <w:tcPr>
            <w:tcW w:w="1172" w:type="dxa"/>
            <w:vMerge/>
            <w:tcBorders>
              <w:left w:val="single" w:sz="4" w:space="0" w:color="FFFFFF" w:themeColor="background1"/>
              <w:right w:val="single" w:sz="4" w:space="0" w:color="FFFFFF" w:themeColor="background1"/>
            </w:tcBorders>
          </w:tcPr>
          <w:p w14:paraId="69BD25E2" w14:textId="75FBCC9C"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18635095" w14:textId="07016B2F" w:rsidR="0081624F" w:rsidRPr="0025010C" w:rsidRDefault="0081624F" w:rsidP="00A16911">
            <w:pPr>
              <w:rPr>
                <w:rFonts w:ascii="Calibri" w:hAnsi="Calibri"/>
                <w:sz w:val="18"/>
                <w:szCs w:val="18"/>
              </w:rPr>
            </w:pPr>
            <w:r w:rsidRPr="0025010C">
              <w:rPr>
                <w:rFonts w:ascii="Calibri" w:hAnsi="Calibri"/>
                <w:sz w:val="18"/>
                <w:szCs w:val="18"/>
              </w:rPr>
              <w:t xml:space="preserve">Hopkins </w:t>
            </w:r>
            <w:r w:rsidRPr="0025010C">
              <w:rPr>
                <w:rFonts w:ascii="Calibri" w:hAnsi="Calibri"/>
                <w:i/>
                <w:sz w:val="18"/>
                <w:szCs w:val="18"/>
              </w:rPr>
              <w:t>et al</w:t>
            </w:r>
            <w:r>
              <w:rPr>
                <w:rFonts w:ascii="Calibri" w:hAnsi="Calibri"/>
                <w:i/>
                <w:sz w:val="18"/>
                <w:szCs w:val="18"/>
              </w:rPr>
              <w:t>.</w:t>
            </w:r>
            <w:r w:rsidRPr="0025010C">
              <w:rPr>
                <w:rFonts w:ascii="Calibri" w:hAnsi="Calibri"/>
                <w:sz w:val="18"/>
                <w:szCs w:val="18"/>
              </w:rPr>
              <w:t xml:space="preserve"> 2001</w:t>
            </w:r>
          </w:p>
        </w:tc>
        <w:tc>
          <w:tcPr>
            <w:tcW w:w="992" w:type="dxa"/>
            <w:tcBorders>
              <w:left w:val="single" w:sz="4" w:space="0" w:color="FFFFFF" w:themeColor="background1"/>
              <w:right w:val="single" w:sz="4" w:space="0" w:color="FFFFFF" w:themeColor="background1"/>
            </w:tcBorders>
          </w:tcPr>
          <w:p w14:paraId="54667B9C" w14:textId="512F381D" w:rsidR="0081624F" w:rsidRDefault="0081624F" w:rsidP="00D7547F">
            <w:pPr>
              <w:jc w:val="center"/>
              <w:rPr>
                <w:rFonts w:ascii="Calibri" w:hAnsi="Calibri"/>
                <w:sz w:val="18"/>
                <w:szCs w:val="18"/>
              </w:rPr>
            </w:pPr>
            <w:r>
              <w:rPr>
                <w:rFonts w:ascii="Calibri" w:hAnsi="Calibri"/>
                <w:sz w:val="18"/>
                <w:szCs w:val="18"/>
              </w:rPr>
              <w:t>16</w:t>
            </w:r>
          </w:p>
        </w:tc>
        <w:tc>
          <w:tcPr>
            <w:tcW w:w="992" w:type="dxa"/>
            <w:tcBorders>
              <w:left w:val="single" w:sz="4" w:space="0" w:color="FFFFFF" w:themeColor="background1"/>
              <w:right w:val="single" w:sz="4" w:space="0" w:color="FFFFFF" w:themeColor="background1"/>
            </w:tcBorders>
          </w:tcPr>
          <w:p w14:paraId="351712CF" w14:textId="77E62D58" w:rsidR="0081624F" w:rsidRDefault="0081624F" w:rsidP="00D7547F">
            <w:pPr>
              <w:jc w:val="center"/>
              <w:rPr>
                <w:rFonts w:ascii="Calibri" w:hAnsi="Calibri"/>
                <w:sz w:val="18"/>
                <w:szCs w:val="18"/>
              </w:rPr>
            </w:pPr>
            <w:r>
              <w:rPr>
                <w:rFonts w:ascii="Calibri" w:hAnsi="Calibri"/>
                <w:sz w:val="18"/>
                <w:szCs w:val="18"/>
              </w:rPr>
              <w:t>2000</w:t>
            </w:r>
          </w:p>
        </w:tc>
        <w:tc>
          <w:tcPr>
            <w:tcW w:w="7796" w:type="dxa"/>
            <w:tcBorders>
              <w:left w:val="single" w:sz="4" w:space="0" w:color="FFFFFF" w:themeColor="background1"/>
              <w:right w:val="single" w:sz="4" w:space="0" w:color="FFFFFF" w:themeColor="background1"/>
            </w:tcBorders>
          </w:tcPr>
          <w:p w14:paraId="0AB5A8E6" w14:textId="47284247"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Nine studies on </w:t>
            </w:r>
            <w:r w:rsidR="00354C29">
              <w:rPr>
                <w:rFonts w:ascii="Calibri" w:hAnsi="Calibri"/>
                <w:sz w:val="18"/>
                <w:szCs w:val="18"/>
              </w:rPr>
              <w:t>smoking</w:t>
            </w:r>
            <w:r w:rsidR="00354C29" w:rsidRPr="0097597C">
              <w:rPr>
                <w:rFonts w:ascii="Calibri" w:hAnsi="Calibri"/>
                <w:sz w:val="18"/>
                <w:szCs w:val="18"/>
              </w:rPr>
              <w:t xml:space="preserve"> </w:t>
            </w:r>
            <w:r w:rsidRPr="0097597C">
              <w:rPr>
                <w:rFonts w:ascii="Calibri" w:hAnsi="Calibri"/>
                <w:sz w:val="18"/>
                <w:szCs w:val="18"/>
              </w:rPr>
              <w:t xml:space="preserve">behaviour reported reduced tobacco use (median = -1.2 cigarettes/day, range = -4.3 </w:t>
            </w:r>
            <w:r w:rsidR="00312134">
              <w:rPr>
                <w:rFonts w:ascii="Calibri" w:hAnsi="Calibri"/>
                <w:sz w:val="18"/>
                <w:szCs w:val="18"/>
              </w:rPr>
              <w:t>to no change</w:t>
            </w:r>
            <w:r w:rsidRPr="0097597C">
              <w:rPr>
                <w:rFonts w:ascii="Calibri" w:hAnsi="Calibri"/>
                <w:sz w:val="18"/>
                <w:szCs w:val="18"/>
              </w:rPr>
              <w:t>) and increased smoking cessation</w:t>
            </w:r>
            <w:r>
              <w:rPr>
                <w:rFonts w:ascii="Calibri" w:hAnsi="Calibri"/>
                <w:sz w:val="18"/>
                <w:szCs w:val="18"/>
              </w:rPr>
              <w:t xml:space="preserve"> </w:t>
            </w:r>
            <w:r w:rsidRPr="0097597C">
              <w:rPr>
                <w:rFonts w:ascii="Calibri" w:hAnsi="Calibri"/>
                <w:sz w:val="18"/>
                <w:szCs w:val="18"/>
              </w:rPr>
              <w:t>with smoking bans or restrictions</w:t>
            </w:r>
            <w:r>
              <w:rPr>
                <w:rFonts w:ascii="Calibri" w:hAnsi="Calibri"/>
                <w:sz w:val="18"/>
                <w:szCs w:val="18"/>
              </w:rPr>
              <w:t>;</w:t>
            </w:r>
            <w:r w:rsidRPr="0097597C">
              <w:rPr>
                <w:rFonts w:ascii="Calibri" w:hAnsi="Calibri"/>
                <w:sz w:val="18"/>
                <w:szCs w:val="18"/>
              </w:rPr>
              <w:t xml:space="preserve"> inconsistent evidence </w:t>
            </w:r>
            <w:r>
              <w:rPr>
                <w:rFonts w:ascii="Calibri" w:hAnsi="Calibri"/>
                <w:sz w:val="18"/>
                <w:szCs w:val="18"/>
              </w:rPr>
              <w:t xml:space="preserve">was found </w:t>
            </w:r>
            <w:r w:rsidRPr="0097597C">
              <w:rPr>
                <w:rFonts w:ascii="Calibri" w:hAnsi="Calibri"/>
                <w:sz w:val="18"/>
                <w:szCs w:val="18"/>
              </w:rPr>
              <w:t>for smoking prevalence (range = -11.4 to 1.0)</w:t>
            </w:r>
          </w:p>
          <w:p w14:paraId="51396F42" w14:textId="7B0D7533" w:rsidR="0081624F" w:rsidRPr="0097597C" w:rsidRDefault="0081624F" w:rsidP="00900790">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Nine of ten studies on secondhand smoke (SHS) reported reduced exposure in workplaces with smoking bans or restrictions; four studies </w:t>
            </w:r>
            <w:r w:rsidR="00354C29">
              <w:rPr>
                <w:rFonts w:ascii="Calibri" w:hAnsi="Calibri"/>
                <w:sz w:val="18"/>
                <w:szCs w:val="18"/>
              </w:rPr>
              <w:t>evaluated</w:t>
            </w:r>
            <w:r w:rsidR="00354C29" w:rsidRPr="0097597C">
              <w:rPr>
                <w:rFonts w:ascii="Calibri" w:hAnsi="Calibri"/>
                <w:sz w:val="18"/>
                <w:szCs w:val="18"/>
              </w:rPr>
              <w:t xml:space="preserve"> </w:t>
            </w:r>
            <w:r w:rsidRPr="0097597C">
              <w:rPr>
                <w:rFonts w:ascii="Calibri" w:hAnsi="Calibri"/>
                <w:sz w:val="18"/>
                <w:szCs w:val="18"/>
              </w:rPr>
              <w:t>environmental measurements of SHS exposure (median relative percentage difference = -72%, range = -</w:t>
            </w:r>
            <w:r w:rsidR="00900790">
              <w:rPr>
                <w:rFonts w:ascii="Calibri" w:hAnsi="Calibri"/>
                <w:sz w:val="18"/>
                <w:szCs w:val="18"/>
              </w:rPr>
              <w:t>97</w:t>
            </w:r>
            <w:r w:rsidRPr="0097597C">
              <w:rPr>
                <w:rFonts w:ascii="Calibri" w:hAnsi="Calibri"/>
                <w:sz w:val="18"/>
                <w:szCs w:val="18"/>
              </w:rPr>
              <w:t xml:space="preserve"> to -</w:t>
            </w:r>
            <w:r w:rsidR="00900790">
              <w:rPr>
                <w:rFonts w:ascii="Calibri" w:hAnsi="Calibri"/>
                <w:sz w:val="18"/>
                <w:szCs w:val="18"/>
              </w:rPr>
              <w:t>44</w:t>
            </w:r>
            <w:r w:rsidRPr="0097597C">
              <w:rPr>
                <w:rFonts w:ascii="Calibri" w:hAnsi="Calibri"/>
                <w:sz w:val="18"/>
                <w:szCs w:val="18"/>
              </w:rPr>
              <w:t xml:space="preserve">) and six studies measured self-reported SHS exposure (median relative percentage difference = -60%, range = </w:t>
            </w:r>
            <w:r w:rsidR="00900790">
              <w:rPr>
                <w:rFonts w:ascii="Calibri" w:hAnsi="Calibri"/>
                <w:sz w:val="18"/>
                <w:szCs w:val="18"/>
              </w:rPr>
              <w:t>-9</w:t>
            </w:r>
            <w:r w:rsidRPr="0097597C">
              <w:rPr>
                <w:rFonts w:ascii="Calibri" w:hAnsi="Calibri"/>
                <w:sz w:val="18"/>
                <w:szCs w:val="18"/>
              </w:rPr>
              <w:t>4 to 4)</w:t>
            </w:r>
          </w:p>
        </w:tc>
        <w:tc>
          <w:tcPr>
            <w:tcW w:w="1333" w:type="dxa"/>
            <w:tcBorders>
              <w:left w:val="single" w:sz="4" w:space="0" w:color="FFFFFF" w:themeColor="background1"/>
              <w:right w:val="single" w:sz="4" w:space="0" w:color="FFFFFF" w:themeColor="background1"/>
            </w:tcBorders>
          </w:tcPr>
          <w:p w14:paraId="4FBEBCA6" w14:textId="3009CEC7" w:rsidR="0081624F" w:rsidRDefault="004C4F33" w:rsidP="00344E27">
            <w:pPr>
              <w:rPr>
                <w:rFonts w:ascii="Calibri" w:hAnsi="Calibri"/>
                <w:sz w:val="18"/>
                <w:szCs w:val="18"/>
              </w:rPr>
            </w:pPr>
            <w:r>
              <w:rPr>
                <w:rFonts w:ascii="Calibri" w:hAnsi="Calibri"/>
                <w:sz w:val="18"/>
                <w:szCs w:val="18"/>
              </w:rPr>
              <w:t>10/10 (HE)</w:t>
            </w:r>
          </w:p>
        </w:tc>
      </w:tr>
      <w:tr w:rsidR="0081624F" w:rsidRPr="005573A3" w14:paraId="2D2B3786"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2C232C61" w14:textId="761D38A6"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C6A5962" w14:textId="034E85F5" w:rsidR="0081624F" w:rsidRPr="009C48CE" w:rsidRDefault="0081624F" w:rsidP="004C4F33">
            <w:pPr>
              <w:rPr>
                <w:rFonts w:ascii="Calibri" w:hAnsi="Calibri"/>
                <w:sz w:val="18"/>
                <w:szCs w:val="18"/>
              </w:rPr>
            </w:pPr>
            <w:r w:rsidRPr="009C48CE">
              <w:rPr>
                <w:rFonts w:ascii="Calibri" w:hAnsi="Calibri"/>
                <w:sz w:val="18"/>
                <w:szCs w:val="18"/>
              </w:rPr>
              <w:t xml:space="preserve">Fichtenberg </w:t>
            </w:r>
            <w:r w:rsidR="004C4F33">
              <w:rPr>
                <w:rFonts w:ascii="Calibri" w:hAnsi="Calibri"/>
                <w:sz w:val="18"/>
                <w:szCs w:val="18"/>
              </w:rPr>
              <w:t>&amp;</w:t>
            </w:r>
            <w:r w:rsidR="004C4F33" w:rsidRPr="009C48CE">
              <w:rPr>
                <w:rFonts w:ascii="Calibri" w:hAnsi="Calibri"/>
                <w:sz w:val="18"/>
                <w:szCs w:val="18"/>
              </w:rPr>
              <w:t xml:space="preserve"> </w:t>
            </w:r>
            <w:r w:rsidRPr="009C48CE">
              <w:rPr>
                <w:rFonts w:ascii="Calibri" w:hAnsi="Calibri"/>
                <w:sz w:val="18"/>
                <w:szCs w:val="18"/>
              </w:rPr>
              <w:t>Glantz 2002</w:t>
            </w:r>
            <w:r>
              <w:rPr>
                <w:rFonts w:ascii="Calibri" w:hAnsi="Calibri"/>
                <w:sz w:val="18"/>
                <w:szCs w:val="18"/>
              </w:rPr>
              <w:t>a</w:t>
            </w:r>
          </w:p>
        </w:tc>
        <w:tc>
          <w:tcPr>
            <w:tcW w:w="992" w:type="dxa"/>
            <w:tcBorders>
              <w:left w:val="single" w:sz="4" w:space="0" w:color="FFFFFF" w:themeColor="background1"/>
              <w:right w:val="single" w:sz="4" w:space="0" w:color="FFFFFF" w:themeColor="background1"/>
            </w:tcBorders>
          </w:tcPr>
          <w:p w14:paraId="09AC9DF5" w14:textId="3575BB85" w:rsidR="0081624F" w:rsidRDefault="0081624F" w:rsidP="00D7547F">
            <w:pPr>
              <w:jc w:val="center"/>
              <w:rPr>
                <w:rFonts w:ascii="Calibri" w:hAnsi="Calibri"/>
                <w:sz w:val="18"/>
                <w:szCs w:val="18"/>
              </w:rPr>
            </w:pPr>
            <w:r>
              <w:rPr>
                <w:rFonts w:ascii="Calibri" w:hAnsi="Calibri"/>
                <w:sz w:val="18"/>
                <w:szCs w:val="18"/>
              </w:rPr>
              <w:t>26</w:t>
            </w:r>
          </w:p>
        </w:tc>
        <w:tc>
          <w:tcPr>
            <w:tcW w:w="992" w:type="dxa"/>
            <w:tcBorders>
              <w:left w:val="single" w:sz="4" w:space="0" w:color="FFFFFF" w:themeColor="background1"/>
              <w:right w:val="single" w:sz="4" w:space="0" w:color="FFFFFF" w:themeColor="background1"/>
            </w:tcBorders>
          </w:tcPr>
          <w:p w14:paraId="76F3DDC3" w14:textId="3995F5AB" w:rsidR="0081624F" w:rsidRDefault="005514C1"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3C8F2475" w14:textId="6FEBD1C0"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Smoke-free workplaces reduce smoking prevalence </w:t>
            </w:r>
            <w:r w:rsidR="00354C29">
              <w:rPr>
                <w:rFonts w:ascii="Calibri" w:hAnsi="Calibri"/>
                <w:sz w:val="18"/>
                <w:szCs w:val="18"/>
              </w:rPr>
              <w:t>by</w:t>
            </w:r>
            <w:r w:rsidRPr="0097597C">
              <w:rPr>
                <w:rFonts w:ascii="Calibri" w:hAnsi="Calibri"/>
                <w:sz w:val="18"/>
                <w:szCs w:val="18"/>
              </w:rPr>
              <w:t xml:space="preserve"> 3.8%</w:t>
            </w:r>
            <w:r w:rsidR="00354C29">
              <w:rPr>
                <w:rFonts w:ascii="Calibri" w:hAnsi="Calibri"/>
                <w:sz w:val="18"/>
                <w:szCs w:val="18"/>
              </w:rPr>
              <w:t xml:space="preserve"> (</w:t>
            </w:r>
            <w:r w:rsidRPr="0097597C">
              <w:rPr>
                <w:rFonts w:ascii="Calibri" w:hAnsi="Calibri"/>
                <w:sz w:val="18"/>
                <w:szCs w:val="18"/>
              </w:rPr>
              <w:t xml:space="preserve">95% CI = </w:t>
            </w:r>
            <w:r w:rsidR="00354C29">
              <w:rPr>
                <w:rFonts w:ascii="Calibri" w:hAnsi="Calibri"/>
                <w:sz w:val="18"/>
                <w:szCs w:val="18"/>
              </w:rPr>
              <w:t>-</w:t>
            </w:r>
            <w:r w:rsidR="00312134">
              <w:rPr>
                <w:rFonts w:ascii="Calibri" w:hAnsi="Calibri"/>
                <w:sz w:val="18"/>
                <w:szCs w:val="18"/>
              </w:rPr>
              <w:t>4.7</w:t>
            </w:r>
            <w:r w:rsidRPr="0097597C">
              <w:rPr>
                <w:rFonts w:ascii="Calibri" w:hAnsi="Calibri"/>
                <w:sz w:val="18"/>
                <w:szCs w:val="18"/>
              </w:rPr>
              <w:t xml:space="preserve"> to </w:t>
            </w:r>
            <w:r w:rsidR="00354C29">
              <w:rPr>
                <w:rFonts w:ascii="Calibri" w:hAnsi="Calibri"/>
                <w:sz w:val="18"/>
                <w:szCs w:val="18"/>
              </w:rPr>
              <w:t>-</w:t>
            </w:r>
            <w:r w:rsidR="00312134">
              <w:rPr>
                <w:rFonts w:ascii="Calibri" w:hAnsi="Calibri"/>
                <w:sz w:val="18"/>
                <w:szCs w:val="18"/>
              </w:rPr>
              <w:t>2.8</w:t>
            </w:r>
            <w:r w:rsidRPr="0097597C">
              <w:rPr>
                <w:rFonts w:ascii="Calibri" w:hAnsi="Calibri"/>
                <w:sz w:val="18"/>
                <w:szCs w:val="18"/>
              </w:rPr>
              <w:t xml:space="preserve">) and cigarette consumption </w:t>
            </w:r>
            <w:r w:rsidR="00354C29">
              <w:rPr>
                <w:rFonts w:ascii="Calibri" w:hAnsi="Calibri"/>
                <w:sz w:val="18"/>
                <w:szCs w:val="18"/>
              </w:rPr>
              <w:t>by</w:t>
            </w:r>
            <w:r w:rsidRPr="0097597C">
              <w:rPr>
                <w:rFonts w:ascii="Calibri" w:hAnsi="Calibri"/>
                <w:sz w:val="18"/>
                <w:szCs w:val="18"/>
              </w:rPr>
              <w:t xml:space="preserve"> 3.1 cigarettes/day/smoker</w:t>
            </w:r>
            <w:r w:rsidR="00354C29">
              <w:rPr>
                <w:rFonts w:ascii="Calibri" w:hAnsi="Calibri"/>
                <w:sz w:val="18"/>
                <w:szCs w:val="18"/>
              </w:rPr>
              <w:t xml:space="preserve"> (</w:t>
            </w:r>
            <w:r w:rsidRPr="0097597C">
              <w:rPr>
                <w:rFonts w:ascii="Calibri" w:hAnsi="Calibri"/>
                <w:sz w:val="18"/>
                <w:szCs w:val="18"/>
              </w:rPr>
              <w:t xml:space="preserve">95% CI = </w:t>
            </w:r>
            <w:r w:rsidR="00354C29">
              <w:rPr>
                <w:rFonts w:ascii="Calibri" w:hAnsi="Calibri"/>
                <w:sz w:val="18"/>
                <w:szCs w:val="18"/>
              </w:rPr>
              <w:t>-</w:t>
            </w:r>
            <w:r w:rsidR="00312134">
              <w:rPr>
                <w:rFonts w:ascii="Calibri" w:hAnsi="Calibri"/>
                <w:sz w:val="18"/>
                <w:szCs w:val="18"/>
              </w:rPr>
              <w:t>3.8</w:t>
            </w:r>
            <w:r w:rsidRPr="0097597C">
              <w:rPr>
                <w:rFonts w:ascii="Calibri" w:hAnsi="Calibri"/>
                <w:sz w:val="18"/>
                <w:szCs w:val="18"/>
              </w:rPr>
              <w:t xml:space="preserve"> to </w:t>
            </w:r>
            <w:r w:rsidR="00354C29">
              <w:rPr>
                <w:rFonts w:ascii="Calibri" w:hAnsi="Calibri"/>
                <w:sz w:val="18"/>
                <w:szCs w:val="18"/>
              </w:rPr>
              <w:t>-</w:t>
            </w:r>
            <w:r w:rsidR="00312134">
              <w:rPr>
                <w:rFonts w:ascii="Calibri" w:hAnsi="Calibri"/>
                <w:sz w:val="18"/>
                <w:szCs w:val="18"/>
              </w:rPr>
              <w:t>2.4</w:t>
            </w:r>
            <w:r w:rsidRPr="0097597C">
              <w:rPr>
                <w:rFonts w:ascii="Calibri" w:hAnsi="Calibri"/>
                <w:sz w:val="18"/>
                <w:szCs w:val="18"/>
              </w:rPr>
              <w:t>)</w:t>
            </w:r>
          </w:p>
          <w:p w14:paraId="0F44CD05" w14:textId="4A2BE8EC" w:rsidR="0081624F" w:rsidRPr="00354C29" w:rsidRDefault="00354C29" w:rsidP="00354C29">
            <w:pPr>
              <w:pStyle w:val="ListParagraph"/>
              <w:numPr>
                <w:ilvl w:val="0"/>
                <w:numId w:val="9"/>
              </w:numPr>
              <w:ind w:left="170" w:hanging="170"/>
              <w:rPr>
                <w:rFonts w:ascii="Calibri" w:hAnsi="Calibri"/>
                <w:sz w:val="18"/>
                <w:szCs w:val="18"/>
              </w:rPr>
            </w:pPr>
            <w:r w:rsidRPr="00354C29">
              <w:rPr>
                <w:rFonts w:ascii="Calibri" w:hAnsi="Calibri"/>
                <w:sz w:val="18"/>
                <w:szCs w:val="18"/>
              </w:rPr>
              <w:t>The c</w:t>
            </w:r>
            <w:r w:rsidR="0081624F" w:rsidRPr="00354C29">
              <w:rPr>
                <w:rFonts w:ascii="Calibri" w:hAnsi="Calibri"/>
                <w:sz w:val="18"/>
                <w:szCs w:val="18"/>
              </w:rPr>
              <w:t>ombined effects of increased smoking cessation and reduced consumption decrease total cigarette consumption per employee by 29%</w:t>
            </w:r>
            <w:r w:rsidRPr="00354C29">
              <w:rPr>
                <w:rFonts w:ascii="Calibri" w:hAnsi="Calibri"/>
                <w:sz w:val="18"/>
                <w:szCs w:val="18"/>
              </w:rPr>
              <w:t xml:space="preserve">; </w:t>
            </w:r>
            <w:r>
              <w:rPr>
                <w:rFonts w:ascii="Calibri" w:hAnsi="Calibri"/>
                <w:sz w:val="18"/>
                <w:szCs w:val="18"/>
              </w:rPr>
              <w:t>t</w:t>
            </w:r>
            <w:r w:rsidR="0081624F" w:rsidRPr="00354C29">
              <w:rPr>
                <w:rFonts w:ascii="Calibri" w:hAnsi="Calibri"/>
                <w:sz w:val="18"/>
                <w:szCs w:val="18"/>
              </w:rPr>
              <w:t>o achieve this same reduction by cigarette taxation, a proportionately larger cigarette price increase (73%) would be required</w:t>
            </w:r>
          </w:p>
          <w:p w14:paraId="048F87E4" w14:textId="119392C2" w:rsidR="0081624F" w:rsidRPr="0097597C" w:rsidRDefault="0081624F" w:rsidP="00354C29">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Local and state legislation restricting smoking in public </w:t>
            </w:r>
            <w:r w:rsidR="00354C29">
              <w:rPr>
                <w:rFonts w:ascii="Calibri" w:hAnsi="Calibri"/>
                <w:sz w:val="18"/>
                <w:szCs w:val="18"/>
              </w:rPr>
              <w:t xml:space="preserve">spaces </w:t>
            </w:r>
            <w:r w:rsidRPr="0097597C">
              <w:rPr>
                <w:rFonts w:ascii="Calibri" w:hAnsi="Calibri"/>
                <w:sz w:val="18"/>
                <w:szCs w:val="18"/>
              </w:rPr>
              <w:t>and in workplaces reduce</w:t>
            </w:r>
            <w:r>
              <w:rPr>
                <w:rFonts w:ascii="Calibri" w:hAnsi="Calibri"/>
                <w:sz w:val="18"/>
                <w:szCs w:val="18"/>
              </w:rPr>
              <w:t>s</w:t>
            </w:r>
            <w:r w:rsidRPr="0097597C">
              <w:rPr>
                <w:rFonts w:ascii="Calibri" w:hAnsi="Calibri"/>
                <w:sz w:val="18"/>
                <w:szCs w:val="18"/>
              </w:rPr>
              <w:t xml:space="preserve"> smoking prevalence and cigarette consumption</w:t>
            </w:r>
          </w:p>
        </w:tc>
        <w:tc>
          <w:tcPr>
            <w:tcW w:w="1333" w:type="dxa"/>
            <w:tcBorders>
              <w:left w:val="single" w:sz="4" w:space="0" w:color="FFFFFF" w:themeColor="background1"/>
              <w:right w:val="single" w:sz="4" w:space="0" w:color="FFFFFF" w:themeColor="background1"/>
            </w:tcBorders>
          </w:tcPr>
          <w:p w14:paraId="342FE9DB" w14:textId="5BEA224D" w:rsidR="0081624F" w:rsidRDefault="004C4F33" w:rsidP="00344E27">
            <w:pPr>
              <w:rPr>
                <w:rFonts w:ascii="Calibri" w:hAnsi="Calibri"/>
                <w:sz w:val="18"/>
                <w:szCs w:val="18"/>
              </w:rPr>
            </w:pPr>
            <w:r>
              <w:rPr>
                <w:rFonts w:ascii="Calibri" w:hAnsi="Calibri"/>
                <w:sz w:val="18"/>
                <w:szCs w:val="18"/>
              </w:rPr>
              <w:t>5/10 (HE)</w:t>
            </w:r>
          </w:p>
        </w:tc>
      </w:tr>
      <w:tr w:rsidR="0081624F" w:rsidRPr="005573A3" w14:paraId="025B0700"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2399D4AC"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F80A299" w14:textId="4032C561" w:rsidR="0081624F" w:rsidRDefault="0081624F" w:rsidP="004C4F33">
            <w:pPr>
              <w:rPr>
                <w:rFonts w:ascii="Calibri" w:hAnsi="Calibri"/>
                <w:sz w:val="18"/>
                <w:szCs w:val="18"/>
              </w:rPr>
            </w:pPr>
            <w:r>
              <w:rPr>
                <w:rFonts w:ascii="Calibri" w:hAnsi="Calibri"/>
                <w:sz w:val="18"/>
                <w:szCs w:val="18"/>
              </w:rPr>
              <w:t xml:space="preserve">Levy </w:t>
            </w:r>
            <w:r w:rsidR="004C4F33">
              <w:rPr>
                <w:rFonts w:ascii="Calibri" w:hAnsi="Calibri"/>
                <w:sz w:val="18"/>
                <w:szCs w:val="18"/>
              </w:rPr>
              <w:t xml:space="preserve">&amp; </w:t>
            </w:r>
            <w:r>
              <w:rPr>
                <w:rFonts w:ascii="Calibri" w:hAnsi="Calibri"/>
                <w:sz w:val="18"/>
                <w:szCs w:val="18"/>
              </w:rPr>
              <w:t>Friend 2003</w:t>
            </w:r>
          </w:p>
        </w:tc>
        <w:tc>
          <w:tcPr>
            <w:tcW w:w="992" w:type="dxa"/>
            <w:tcBorders>
              <w:left w:val="single" w:sz="4" w:space="0" w:color="FFFFFF" w:themeColor="background1"/>
              <w:right w:val="single" w:sz="4" w:space="0" w:color="FFFFFF" w:themeColor="background1"/>
            </w:tcBorders>
          </w:tcPr>
          <w:p w14:paraId="7BA119FA" w14:textId="02C23FBB" w:rsidR="0081624F" w:rsidRDefault="0081624F" w:rsidP="00D7547F">
            <w:pPr>
              <w:jc w:val="center"/>
              <w:rPr>
                <w:rFonts w:ascii="Calibri" w:hAnsi="Calibri"/>
                <w:sz w:val="18"/>
                <w:szCs w:val="18"/>
              </w:rPr>
            </w:pPr>
            <w:r>
              <w:rPr>
                <w:rFonts w:ascii="Calibri" w:hAnsi="Calibri"/>
                <w:sz w:val="18"/>
                <w:szCs w:val="18"/>
              </w:rPr>
              <w:t>42</w:t>
            </w:r>
          </w:p>
        </w:tc>
        <w:tc>
          <w:tcPr>
            <w:tcW w:w="992" w:type="dxa"/>
            <w:tcBorders>
              <w:left w:val="single" w:sz="4" w:space="0" w:color="FFFFFF" w:themeColor="background1"/>
              <w:right w:val="single" w:sz="4" w:space="0" w:color="FFFFFF" w:themeColor="background1"/>
            </w:tcBorders>
          </w:tcPr>
          <w:p w14:paraId="64EAB8CC" w14:textId="48FE7E8E" w:rsidR="0081624F" w:rsidRDefault="005514C1" w:rsidP="005514C1">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473EB4A8" w14:textId="55CFCD90"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Workplace smoking restrictions reduce smoking prevalence and cigarette consumption in worksites, but their effect on</w:t>
            </w:r>
            <w:r w:rsidR="00354C29">
              <w:rPr>
                <w:rFonts w:ascii="Calibri" w:hAnsi="Calibri"/>
                <w:sz w:val="18"/>
                <w:szCs w:val="18"/>
              </w:rPr>
              <w:t xml:space="preserve"> smoking</w:t>
            </w:r>
            <w:r w:rsidRPr="0097597C">
              <w:rPr>
                <w:rFonts w:ascii="Calibri" w:hAnsi="Calibri"/>
                <w:sz w:val="18"/>
                <w:szCs w:val="18"/>
              </w:rPr>
              <w:t xml:space="preserve"> cessation is less consistent</w:t>
            </w:r>
          </w:p>
          <w:p w14:paraId="4BA5621A" w14:textId="77777777"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These findings were supported by population-based studies of workplace smoking restrictions, with quantity consumed reduced by 10-15%, smoking prevalence reduced by 15-20%, and smoking cessation increased by 10-15%</w:t>
            </w:r>
          </w:p>
          <w:p w14:paraId="1BC0558F" w14:textId="22B16DD1"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Public clean air laws reduce smoking prevalence and cigarette consumption, and increase smoking cessation rates of the entire population</w:t>
            </w:r>
          </w:p>
        </w:tc>
        <w:tc>
          <w:tcPr>
            <w:tcW w:w="1333" w:type="dxa"/>
            <w:tcBorders>
              <w:left w:val="single" w:sz="4" w:space="0" w:color="FFFFFF" w:themeColor="background1"/>
              <w:right w:val="single" w:sz="4" w:space="0" w:color="FFFFFF" w:themeColor="background1"/>
            </w:tcBorders>
          </w:tcPr>
          <w:p w14:paraId="3DE481F9" w14:textId="76CAF92B" w:rsidR="0081624F" w:rsidRDefault="004C4F33" w:rsidP="005023B5">
            <w:pPr>
              <w:rPr>
                <w:rFonts w:ascii="Calibri" w:hAnsi="Calibri"/>
                <w:sz w:val="18"/>
                <w:szCs w:val="18"/>
              </w:rPr>
            </w:pPr>
            <w:r>
              <w:rPr>
                <w:rFonts w:ascii="Calibri" w:hAnsi="Calibri"/>
                <w:sz w:val="18"/>
                <w:szCs w:val="18"/>
              </w:rPr>
              <w:t>6/10 (HE)</w:t>
            </w:r>
          </w:p>
        </w:tc>
      </w:tr>
      <w:tr w:rsidR="0081624F" w:rsidRPr="005573A3" w14:paraId="3362FCAC"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3B798F0E"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171E03C" w14:textId="5C799CA6" w:rsidR="0081624F" w:rsidRPr="00075837" w:rsidRDefault="0081624F">
            <w:pPr>
              <w:rPr>
                <w:rFonts w:ascii="Calibri" w:hAnsi="Calibri"/>
                <w:sz w:val="18"/>
                <w:szCs w:val="18"/>
              </w:rPr>
            </w:pPr>
            <w:r>
              <w:rPr>
                <w:rFonts w:ascii="Calibri" w:hAnsi="Calibri"/>
                <w:sz w:val="18"/>
                <w:szCs w:val="18"/>
              </w:rPr>
              <w:t xml:space="preserve">Greaves </w:t>
            </w:r>
            <w:r>
              <w:rPr>
                <w:rFonts w:ascii="Calibri" w:hAnsi="Calibri"/>
                <w:i/>
                <w:sz w:val="18"/>
                <w:szCs w:val="18"/>
              </w:rPr>
              <w:t>et al.</w:t>
            </w:r>
            <w:r>
              <w:rPr>
                <w:rFonts w:ascii="Calibri" w:hAnsi="Calibri"/>
                <w:sz w:val="18"/>
                <w:szCs w:val="18"/>
              </w:rPr>
              <w:t xml:space="preserve"> 2006</w:t>
            </w:r>
          </w:p>
        </w:tc>
        <w:tc>
          <w:tcPr>
            <w:tcW w:w="992" w:type="dxa"/>
            <w:tcBorders>
              <w:left w:val="single" w:sz="4" w:space="0" w:color="FFFFFF" w:themeColor="background1"/>
              <w:right w:val="single" w:sz="4" w:space="0" w:color="FFFFFF" w:themeColor="background1"/>
            </w:tcBorders>
          </w:tcPr>
          <w:p w14:paraId="48B4279A" w14:textId="6FC83AE7" w:rsidR="0081624F" w:rsidRDefault="0081624F" w:rsidP="00D7547F">
            <w:pPr>
              <w:jc w:val="center"/>
              <w:rPr>
                <w:rFonts w:ascii="Calibri" w:hAnsi="Calibri"/>
                <w:sz w:val="18"/>
                <w:szCs w:val="18"/>
              </w:rPr>
            </w:pPr>
            <w:r>
              <w:rPr>
                <w:rFonts w:ascii="Calibri" w:hAnsi="Calibri"/>
                <w:sz w:val="18"/>
                <w:szCs w:val="18"/>
              </w:rPr>
              <w:t>30</w:t>
            </w:r>
          </w:p>
        </w:tc>
        <w:tc>
          <w:tcPr>
            <w:tcW w:w="992" w:type="dxa"/>
            <w:tcBorders>
              <w:left w:val="single" w:sz="4" w:space="0" w:color="FFFFFF" w:themeColor="background1"/>
              <w:right w:val="single" w:sz="4" w:space="0" w:color="FFFFFF" w:themeColor="background1"/>
            </w:tcBorders>
          </w:tcPr>
          <w:p w14:paraId="42601590" w14:textId="370AB96B" w:rsidR="0081624F" w:rsidRDefault="005514C1" w:rsidP="00D7547F">
            <w:pPr>
              <w:jc w:val="center"/>
              <w:rPr>
                <w:rFonts w:ascii="Calibri" w:hAnsi="Calibri"/>
                <w:sz w:val="18"/>
                <w:szCs w:val="18"/>
              </w:rPr>
            </w:pPr>
            <w:r>
              <w:rPr>
                <w:rFonts w:ascii="Calibri" w:hAnsi="Calibri"/>
                <w:sz w:val="18"/>
                <w:szCs w:val="18"/>
              </w:rPr>
              <w:t>2004</w:t>
            </w:r>
          </w:p>
        </w:tc>
        <w:tc>
          <w:tcPr>
            <w:tcW w:w="7796" w:type="dxa"/>
            <w:tcBorders>
              <w:left w:val="single" w:sz="4" w:space="0" w:color="FFFFFF" w:themeColor="background1"/>
              <w:right w:val="single" w:sz="4" w:space="0" w:color="FFFFFF" w:themeColor="background1"/>
            </w:tcBorders>
          </w:tcPr>
          <w:p w14:paraId="367AF4CA" w14:textId="776E0381" w:rsidR="0081624F" w:rsidRDefault="0081624F" w:rsidP="0097597C">
            <w:pPr>
              <w:pStyle w:val="ListParagraph"/>
              <w:numPr>
                <w:ilvl w:val="0"/>
                <w:numId w:val="9"/>
              </w:numPr>
              <w:ind w:left="170" w:hanging="170"/>
              <w:rPr>
                <w:rFonts w:ascii="Calibri" w:hAnsi="Calibri"/>
                <w:sz w:val="18"/>
                <w:szCs w:val="18"/>
              </w:rPr>
            </w:pPr>
            <w:r>
              <w:rPr>
                <w:rFonts w:ascii="Calibri" w:hAnsi="Calibri"/>
                <w:sz w:val="18"/>
                <w:szCs w:val="18"/>
              </w:rPr>
              <w:t>Workplace smoking bans may reduce smoking prevalence and initiation, with complete bans having a stronger effect than partial bans</w:t>
            </w:r>
          </w:p>
          <w:p w14:paraId="52895E0E" w14:textId="70597C7B" w:rsidR="0081624F" w:rsidRDefault="0081624F" w:rsidP="0097597C">
            <w:pPr>
              <w:pStyle w:val="ListParagraph"/>
              <w:numPr>
                <w:ilvl w:val="0"/>
                <w:numId w:val="9"/>
              </w:numPr>
              <w:ind w:left="170" w:hanging="170"/>
              <w:rPr>
                <w:rFonts w:ascii="Calibri" w:hAnsi="Calibri"/>
                <w:sz w:val="18"/>
                <w:szCs w:val="18"/>
              </w:rPr>
            </w:pPr>
            <w:r>
              <w:rPr>
                <w:rFonts w:ascii="Calibri" w:hAnsi="Calibri"/>
                <w:sz w:val="18"/>
                <w:szCs w:val="18"/>
              </w:rPr>
              <w:t>Self-imposed home smoking bans for adult smokers not only reduces cigarette consumption among adults, but also prevents smoking initiation in adolescents</w:t>
            </w:r>
          </w:p>
          <w:p w14:paraId="7B280E40" w14:textId="3CB75390" w:rsidR="0081624F" w:rsidRPr="0097597C" w:rsidRDefault="0081624F" w:rsidP="0097597C">
            <w:pPr>
              <w:pStyle w:val="ListParagraph"/>
              <w:numPr>
                <w:ilvl w:val="0"/>
                <w:numId w:val="9"/>
              </w:numPr>
              <w:ind w:left="170" w:hanging="170"/>
              <w:rPr>
                <w:rFonts w:ascii="Calibri" w:hAnsi="Calibri"/>
                <w:sz w:val="18"/>
                <w:szCs w:val="18"/>
              </w:rPr>
            </w:pPr>
            <w:r>
              <w:rPr>
                <w:rFonts w:ascii="Calibri" w:hAnsi="Calibri"/>
                <w:sz w:val="18"/>
                <w:szCs w:val="18"/>
              </w:rPr>
              <w:t>Inconsistent evidence was found for the effect of school smoking bans on smoking behaviour</w:t>
            </w:r>
          </w:p>
        </w:tc>
        <w:tc>
          <w:tcPr>
            <w:tcW w:w="1333" w:type="dxa"/>
            <w:tcBorders>
              <w:left w:val="single" w:sz="4" w:space="0" w:color="FFFFFF" w:themeColor="background1"/>
              <w:right w:val="single" w:sz="4" w:space="0" w:color="FFFFFF" w:themeColor="background1"/>
            </w:tcBorders>
          </w:tcPr>
          <w:p w14:paraId="014446F6" w14:textId="63C5EC24" w:rsidR="0081624F" w:rsidRDefault="004C4F33" w:rsidP="005023B5">
            <w:pPr>
              <w:rPr>
                <w:rFonts w:ascii="Calibri" w:hAnsi="Calibri"/>
                <w:sz w:val="18"/>
                <w:szCs w:val="18"/>
              </w:rPr>
            </w:pPr>
            <w:r>
              <w:rPr>
                <w:rFonts w:ascii="Calibri" w:hAnsi="Calibri"/>
                <w:sz w:val="18"/>
                <w:szCs w:val="18"/>
              </w:rPr>
              <w:t>3/10 (HE)</w:t>
            </w:r>
          </w:p>
        </w:tc>
      </w:tr>
      <w:tr w:rsidR="0081624F" w:rsidRPr="005573A3" w14:paraId="70D71D2B"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1DAB3B18" w14:textId="260DC77F"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D06BC18" w14:textId="407B7D72" w:rsidR="0081624F" w:rsidRPr="009C48CE" w:rsidRDefault="0081624F">
            <w:pPr>
              <w:rPr>
                <w:rFonts w:ascii="Calibri" w:hAnsi="Calibri"/>
                <w:sz w:val="18"/>
                <w:szCs w:val="18"/>
              </w:rPr>
            </w:pPr>
            <w:r w:rsidRPr="009C48CE">
              <w:rPr>
                <w:rFonts w:ascii="Calibri" w:hAnsi="Calibri"/>
                <w:sz w:val="18"/>
                <w:szCs w:val="18"/>
              </w:rPr>
              <w:t xml:space="preserve">Thomas </w:t>
            </w:r>
            <w:r w:rsidRPr="009C48CE">
              <w:rPr>
                <w:rFonts w:ascii="Calibri" w:hAnsi="Calibri"/>
                <w:i/>
                <w:sz w:val="18"/>
                <w:szCs w:val="18"/>
              </w:rPr>
              <w:t>et al</w:t>
            </w:r>
            <w:r>
              <w:rPr>
                <w:rFonts w:ascii="Calibri" w:hAnsi="Calibri"/>
                <w:i/>
                <w:sz w:val="18"/>
                <w:szCs w:val="18"/>
              </w:rPr>
              <w:t>.</w:t>
            </w:r>
            <w:r w:rsidRPr="009C48CE">
              <w:rPr>
                <w:rFonts w:ascii="Calibri" w:hAnsi="Calibri"/>
                <w:sz w:val="18"/>
                <w:szCs w:val="18"/>
              </w:rPr>
              <w:t xml:space="preserve"> 2008</w:t>
            </w:r>
          </w:p>
        </w:tc>
        <w:tc>
          <w:tcPr>
            <w:tcW w:w="992" w:type="dxa"/>
            <w:tcBorders>
              <w:left w:val="single" w:sz="4" w:space="0" w:color="FFFFFF" w:themeColor="background1"/>
              <w:right w:val="single" w:sz="4" w:space="0" w:color="FFFFFF" w:themeColor="background1"/>
            </w:tcBorders>
          </w:tcPr>
          <w:p w14:paraId="1EDF77E2" w14:textId="79C097EF" w:rsidR="0081624F" w:rsidRDefault="0081624F" w:rsidP="00D7547F">
            <w:pPr>
              <w:jc w:val="center"/>
              <w:rPr>
                <w:rFonts w:ascii="Calibri" w:hAnsi="Calibri"/>
                <w:sz w:val="18"/>
                <w:szCs w:val="18"/>
              </w:rPr>
            </w:pPr>
            <w:r>
              <w:rPr>
                <w:rFonts w:ascii="Calibri" w:hAnsi="Calibri"/>
                <w:sz w:val="18"/>
                <w:szCs w:val="18"/>
              </w:rPr>
              <w:t>17</w:t>
            </w:r>
          </w:p>
        </w:tc>
        <w:tc>
          <w:tcPr>
            <w:tcW w:w="992" w:type="dxa"/>
            <w:tcBorders>
              <w:left w:val="single" w:sz="4" w:space="0" w:color="FFFFFF" w:themeColor="background1"/>
              <w:right w:val="single" w:sz="4" w:space="0" w:color="FFFFFF" w:themeColor="background1"/>
            </w:tcBorders>
          </w:tcPr>
          <w:p w14:paraId="166ABD49" w14:textId="6E6E7731" w:rsidR="0081624F" w:rsidRDefault="0081624F" w:rsidP="00D7547F">
            <w:pPr>
              <w:jc w:val="center"/>
              <w:rPr>
                <w:rFonts w:ascii="Calibri" w:hAnsi="Calibri"/>
                <w:sz w:val="18"/>
                <w:szCs w:val="18"/>
              </w:rPr>
            </w:pPr>
            <w:r>
              <w:rPr>
                <w:rFonts w:ascii="Calibri" w:hAnsi="Calibri"/>
                <w:sz w:val="18"/>
                <w:szCs w:val="18"/>
              </w:rPr>
              <w:t>2006</w:t>
            </w:r>
          </w:p>
        </w:tc>
        <w:tc>
          <w:tcPr>
            <w:tcW w:w="7796" w:type="dxa"/>
            <w:tcBorders>
              <w:left w:val="single" w:sz="4" w:space="0" w:color="FFFFFF" w:themeColor="background1"/>
              <w:right w:val="single" w:sz="4" w:space="0" w:color="FFFFFF" w:themeColor="background1"/>
            </w:tcBorders>
          </w:tcPr>
          <w:p w14:paraId="30FD4668" w14:textId="77777777"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Workplace smoking bans may be more effective for staff in higher occupational grades</w:t>
            </w:r>
          </w:p>
          <w:p w14:paraId="7F82CEEE" w14:textId="77777777"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Insufficient evidence exists for the effect of workplace and public smoking bans on other social inequalities in smoking</w:t>
            </w:r>
          </w:p>
          <w:p w14:paraId="17EC67D3" w14:textId="207E2A15"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School bans may be more effective in girls, middle school students, and non-Hispanic students</w:t>
            </w:r>
          </w:p>
        </w:tc>
        <w:tc>
          <w:tcPr>
            <w:tcW w:w="1333" w:type="dxa"/>
            <w:tcBorders>
              <w:left w:val="single" w:sz="4" w:space="0" w:color="FFFFFF" w:themeColor="background1"/>
              <w:right w:val="single" w:sz="4" w:space="0" w:color="FFFFFF" w:themeColor="background1"/>
            </w:tcBorders>
          </w:tcPr>
          <w:p w14:paraId="36EE58F2" w14:textId="339AAD85" w:rsidR="0081624F" w:rsidRDefault="004C4F33" w:rsidP="005023B5">
            <w:pPr>
              <w:rPr>
                <w:rFonts w:ascii="Calibri" w:hAnsi="Calibri"/>
                <w:sz w:val="18"/>
                <w:szCs w:val="18"/>
              </w:rPr>
            </w:pPr>
            <w:r>
              <w:rPr>
                <w:rFonts w:ascii="Calibri" w:hAnsi="Calibri"/>
                <w:sz w:val="18"/>
                <w:szCs w:val="18"/>
              </w:rPr>
              <w:t>5/10 (HE)</w:t>
            </w:r>
          </w:p>
        </w:tc>
      </w:tr>
      <w:tr w:rsidR="0081624F" w:rsidRPr="005573A3" w14:paraId="44A22A5D"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3BF49E71"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326F3077" w14:textId="5C8862E4" w:rsidR="0081624F" w:rsidRDefault="0081624F">
            <w:pPr>
              <w:rPr>
                <w:rFonts w:ascii="Calibri" w:hAnsi="Calibri"/>
                <w:sz w:val="18"/>
                <w:szCs w:val="18"/>
              </w:rPr>
            </w:pPr>
            <w:r>
              <w:rPr>
                <w:rFonts w:ascii="Calibri" w:hAnsi="Calibri"/>
                <w:sz w:val="18"/>
                <w:szCs w:val="18"/>
              </w:rPr>
              <w:t xml:space="preserve">Hopkins </w:t>
            </w:r>
            <w:r>
              <w:rPr>
                <w:rFonts w:ascii="Calibri" w:hAnsi="Calibri"/>
                <w:i/>
                <w:sz w:val="18"/>
                <w:szCs w:val="18"/>
              </w:rPr>
              <w:t>et al.</w:t>
            </w:r>
            <w:r>
              <w:rPr>
                <w:rFonts w:ascii="Calibri" w:hAnsi="Calibri"/>
                <w:sz w:val="18"/>
                <w:szCs w:val="18"/>
              </w:rPr>
              <w:t xml:space="preserve"> 2010</w:t>
            </w:r>
          </w:p>
        </w:tc>
        <w:tc>
          <w:tcPr>
            <w:tcW w:w="992" w:type="dxa"/>
            <w:tcBorders>
              <w:left w:val="single" w:sz="4" w:space="0" w:color="FFFFFF" w:themeColor="background1"/>
              <w:right w:val="single" w:sz="4" w:space="0" w:color="FFFFFF" w:themeColor="background1"/>
            </w:tcBorders>
          </w:tcPr>
          <w:p w14:paraId="6616D91C" w14:textId="7113948A" w:rsidR="0081624F" w:rsidRDefault="0081624F" w:rsidP="00D7547F">
            <w:pPr>
              <w:jc w:val="center"/>
              <w:rPr>
                <w:rFonts w:ascii="Calibri" w:hAnsi="Calibri"/>
                <w:sz w:val="18"/>
                <w:szCs w:val="18"/>
              </w:rPr>
            </w:pPr>
            <w:r>
              <w:rPr>
                <w:rFonts w:ascii="Calibri" w:hAnsi="Calibri"/>
                <w:sz w:val="18"/>
                <w:szCs w:val="18"/>
              </w:rPr>
              <w:t>37</w:t>
            </w:r>
          </w:p>
        </w:tc>
        <w:tc>
          <w:tcPr>
            <w:tcW w:w="992" w:type="dxa"/>
            <w:tcBorders>
              <w:left w:val="single" w:sz="4" w:space="0" w:color="FFFFFF" w:themeColor="background1"/>
              <w:right w:val="single" w:sz="4" w:space="0" w:color="FFFFFF" w:themeColor="background1"/>
            </w:tcBorders>
          </w:tcPr>
          <w:p w14:paraId="6EA30FC8" w14:textId="7E06CDEC" w:rsidR="0081624F" w:rsidRDefault="0081624F" w:rsidP="00D7547F">
            <w:pPr>
              <w:jc w:val="center"/>
              <w:rPr>
                <w:rFonts w:ascii="Calibri" w:hAnsi="Calibri"/>
                <w:sz w:val="18"/>
                <w:szCs w:val="18"/>
              </w:rPr>
            </w:pPr>
            <w:r>
              <w:rPr>
                <w:rFonts w:ascii="Calibri" w:hAnsi="Calibri"/>
                <w:sz w:val="18"/>
                <w:szCs w:val="18"/>
              </w:rPr>
              <w:t>2005</w:t>
            </w:r>
          </w:p>
        </w:tc>
        <w:tc>
          <w:tcPr>
            <w:tcW w:w="7796" w:type="dxa"/>
            <w:tcBorders>
              <w:left w:val="single" w:sz="4" w:space="0" w:color="FFFFFF" w:themeColor="background1"/>
              <w:right w:val="single" w:sz="4" w:space="0" w:color="FFFFFF" w:themeColor="background1"/>
            </w:tcBorders>
          </w:tcPr>
          <w:p w14:paraId="16A00F1A" w14:textId="2581308C"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Workplace and community smoke-free policies reduce </w:t>
            </w:r>
            <w:r>
              <w:rPr>
                <w:rFonts w:ascii="Calibri" w:hAnsi="Calibri"/>
                <w:sz w:val="18"/>
                <w:szCs w:val="18"/>
              </w:rPr>
              <w:t xml:space="preserve">tobacco use in various </w:t>
            </w:r>
            <w:r w:rsidRPr="0097597C">
              <w:rPr>
                <w:rFonts w:ascii="Calibri" w:hAnsi="Calibri"/>
                <w:sz w:val="18"/>
                <w:szCs w:val="18"/>
              </w:rPr>
              <w:t>working settings</w:t>
            </w:r>
          </w:p>
          <w:p w14:paraId="00A16199" w14:textId="24C4FE71" w:rsidR="0081624F" w:rsidRPr="0097597C" w:rsidRDefault="0081624F" w:rsidP="00312134">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Policies were found to decrease </w:t>
            </w:r>
            <w:r w:rsidR="000D4FE4">
              <w:rPr>
                <w:rFonts w:ascii="Calibri" w:hAnsi="Calibri"/>
                <w:sz w:val="18"/>
                <w:szCs w:val="18"/>
              </w:rPr>
              <w:t>smoking</w:t>
            </w:r>
            <w:r w:rsidRPr="0097597C">
              <w:rPr>
                <w:rFonts w:ascii="Calibri" w:hAnsi="Calibri"/>
                <w:sz w:val="18"/>
                <w:szCs w:val="18"/>
              </w:rPr>
              <w:t xml:space="preserve"> prevalence (median = −3.4%, IQR = −6.3 to −1.4), increase successful cessation from tobacco use (median = 6.4%, IQR = 2.0 to 9.7), increase quit attempts (median = 4.1%, IQR = −0.7 to 6.8) and decrease quantity of tobacco consumption (median = –2.2 cigarettes/day, IQR = −</w:t>
            </w:r>
            <w:r w:rsidR="00312134">
              <w:rPr>
                <w:rFonts w:ascii="Calibri" w:hAnsi="Calibri"/>
                <w:sz w:val="18"/>
                <w:szCs w:val="18"/>
              </w:rPr>
              <w:t>3</w:t>
            </w:r>
            <w:r w:rsidRPr="0097597C">
              <w:rPr>
                <w:rFonts w:ascii="Calibri" w:hAnsi="Calibri"/>
                <w:sz w:val="18"/>
                <w:szCs w:val="18"/>
              </w:rPr>
              <w:t>.</w:t>
            </w:r>
            <w:r w:rsidR="00312134">
              <w:rPr>
                <w:rFonts w:ascii="Calibri" w:hAnsi="Calibri"/>
                <w:sz w:val="18"/>
                <w:szCs w:val="18"/>
              </w:rPr>
              <w:t>3</w:t>
            </w:r>
            <w:r w:rsidRPr="0097597C">
              <w:rPr>
                <w:rFonts w:ascii="Calibri" w:hAnsi="Calibri"/>
                <w:sz w:val="18"/>
                <w:szCs w:val="18"/>
              </w:rPr>
              <w:t xml:space="preserve"> to −</w:t>
            </w:r>
            <w:r w:rsidR="00312134">
              <w:rPr>
                <w:rFonts w:ascii="Calibri" w:hAnsi="Calibri"/>
                <w:sz w:val="18"/>
                <w:szCs w:val="18"/>
              </w:rPr>
              <w:t>1.7</w:t>
            </w:r>
            <w:r w:rsidRPr="0097597C">
              <w:rPr>
                <w:rFonts w:ascii="Calibri" w:hAnsi="Calibri"/>
                <w:sz w:val="18"/>
                <w:szCs w:val="18"/>
              </w:rPr>
              <w:t>)</w:t>
            </w:r>
          </w:p>
        </w:tc>
        <w:tc>
          <w:tcPr>
            <w:tcW w:w="1333" w:type="dxa"/>
            <w:tcBorders>
              <w:left w:val="single" w:sz="4" w:space="0" w:color="FFFFFF" w:themeColor="background1"/>
              <w:right w:val="single" w:sz="4" w:space="0" w:color="FFFFFF" w:themeColor="background1"/>
            </w:tcBorders>
          </w:tcPr>
          <w:p w14:paraId="42AEBD54" w14:textId="0DD0B2ED" w:rsidR="0081624F" w:rsidRDefault="004C4F33" w:rsidP="005023B5">
            <w:pPr>
              <w:rPr>
                <w:rFonts w:ascii="Calibri" w:hAnsi="Calibri"/>
                <w:sz w:val="18"/>
                <w:szCs w:val="18"/>
              </w:rPr>
            </w:pPr>
            <w:r>
              <w:rPr>
                <w:rFonts w:ascii="Calibri" w:hAnsi="Calibri"/>
                <w:sz w:val="18"/>
                <w:szCs w:val="18"/>
              </w:rPr>
              <w:t>9/10 (HE)</w:t>
            </w:r>
          </w:p>
        </w:tc>
      </w:tr>
      <w:tr w:rsidR="0081624F" w:rsidRPr="005573A3" w14:paraId="5189CF65"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5075AC6A" w14:textId="7191C8E0"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D6442C3" w14:textId="7746B4EB" w:rsidR="0081624F" w:rsidRDefault="0081624F">
            <w:pPr>
              <w:rPr>
                <w:rFonts w:ascii="Calibri" w:hAnsi="Calibri"/>
                <w:sz w:val="18"/>
                <w:szCs w:val="18"/>
              </w:rPr>
            </w:pPr>
            <w:r>
              <w:rPr>
                <w:rFonts w:ascii="Calibri" w:hAnsi="Calibri"/>
                <w:sz w:val="18"/>
                <w:szCs w:val="18"/>
              </w:rPr>
              <w:t xml:space="preserve">Callinan </w:t>
            </w:r>
            <w:r>
              <w:rPr>
                <w:rFonts w:ascii="Calibri" w:hAnsi="Calibri"/>
                <w:i/>
                <w:sz w:val="18"/>
                <w:szCs w:val="18"/>
              </w:rPr>
              <w:t>et al.</w:t>
            </w:r>
            <w:r>
              <w:rPr>
                <w:rFonts w:ascii="Calibri" w:hAnsi="Calibri"/>
                <w:sz w:val="18"/>
                <w:szCs w:val="18"/>
              </w:rPr>
              <w:t xml:space="preserve"> 2010</w:t>
            </w:r>
          </w:p>
        </w:tc>
        <w:tc>
          <w:tcPr>
            <w:tcW w:w="992" w:type="dxa"/>
            <w:tcBorders>
              <w:left w:val="single" w:sz="4" w:space="0" w:color="FFFFFF" w:themeColor="background1"/>
              <w:right w:val="single" w:sz="4" w:space="0" w:color="FFFFFF" w:themeColor="background1"/>
            </w:tcBorders>
          </w:tcPr>
          <w:p w14:paraId="657C7E23" w14:textId="17366767" w:rsidR="0081624F" w:rsidRDefault="0081624F" w:rsidP="00D7547F">
            <w:pPr>
              <w:jc w:val="center"/>
              <w:rPr>
                <w:rFonts w:ascii="Calibri" w:hAnsi="Calibri"/>
                <w:sz w:val="18"/>
                <w:szCs w:val="18"/>
              </w:rPr>
            </w:pPr>
            <w:r>
              <w:rPr>
                <w:rFonts w:ascii="Calibri" w:hAnsi="Calibri"/>
                <w:sz w:val="18"/>
                <w:szCs w:val="18"/>
              </w:rPr>
              <w:t>50</w:t>
            </w:r>
          </w:p>
        </w:tc>
        <w:tc>
          <w:tcPr>
            <w:tcW w:w="992" w:type="dxa"/>
            <w:tcBorders>
              <w:left w:val="single" w:sz="4" w:space="0" w:color="FFFFFF" w:themeColor="background1"/>
              <w:right w:val="single" w:sz="4" w:space="0" w:color="FFFFFF" w:themeColor="background1"/>
            </w:tcBorders>
          </w:tcPr>
          <w:p w14:paraId="1A620E08" w14:textId="1593E31D" w:rsidR="0081624F" w:rsidRDefault="0081624F" w:rsidP="00D7547F">
            <w:pPr>
              <w:jc w:val="center"/>
              <w:rPr>
                <w:rFonts w:ascii="Calibri" w:hAnsi="Calibri"/>
                <w:sz w:val="18"/>
                <w:szCs w:val="18"/>
              </w:rPr>
            </w:pPr>
            <w:r>
              <w:rPr>
                <w:rFonts w:ascii="Calibri" w:hAnsi="Calibri"/>
                <w:sz w:val="18"/>
                <w:szCs w:val="18"/>
              </w:rPr>
              <w:t>2009</w:t>
            </w:r>
          </w:p>
        </w:tc>
        <w:tc>
          <w:tcPr>
            <w:tcW w:w="7796" w:type="dxa"/>
            <w:tcBorders>
              <w:left w:val="single" w:sz="4" w:space="0" w:color="FFFFFF" w:themeColor="background1"/>
              <w:right w:val="single" w:sz="4" w:space="0" w:color="FFFFFF" w:themeColor="background1"/>
            </w:tcBorders>
          </w:tcPr>
          <w:p w14:paraId="4ACE5F16" w14:textId="40C31760"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31 studies on SHS, of which 19 were validated with biomarkers, reported reduced SHS exposure in workplaces, restaurants, bars and public places, and no change in exposure in cars or in the home following implementation of a legislative smoking ban</w:t>
            </w:r>
          </w:p>
          <w:p w14:paraId="49FB6C6C" w14:textId="1A6CF2A9"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23 studies on active smoking found limited evidence for legislative smoking bans in reducing smoking prevalence</w:t>
            </w:r>
            <w:r w:rsidR="000D4FE4">
              <w:rPr>
                <w:rFonts w:ascii="Calibri" w:hAnsi="Calibri"/>
                <w:sz w:val="18"/>
                <w:szCs w:val="18"/>
              </w:rPr>
              <w:t xml:space="preserve">; </w:t>
            </w:r>
            <w:r w:rsidRPr="0097597C">
              <w:rPr>
                <w:rFonts w:ascii="Calibri" w:hAnsi="Calibri"/>
                <w:sz w:val="18"/>
                <w:szCs w:val="18"/>
              </w:rPr>
              <w:t>measures of smoking</w:t>
            </w:r>
            <w:r w:rsidR="000D4FE4">
              <w:rPr>
                <w:rFonts w:ascii="Calibri" w:hAnsi="Calibri"/>
                <w:sz w:val="18"/>
                <w:szCs w:val="18"/>
              </w:rPr>
              <w:t xml:space="preserve"> were</w:t>
            </w:r>
            <w:r w:rsidRPr="0097597C">
              <w:rPr>
                <w:rFonts w:ascii="Calibri" w:hAnsi="Calibri"/>
                <w:sz w:val="18"/>
                <w:szCs w:val="18"/>
              </w:rPr>
              <w:t xml:space="preserve"> studied as co-variables rather than as end-points</w:t>
            </w:r>
          </w:p>
          <w:p w14:paraId="3EC0FE8E" w14:textId="60A5F896"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25 studies on health outcomes reported reduced respiratory symptoms, sensory symptoms (especially relating to eye, nose, throat) and hospital admissions for acute myocardial infarction </w:t>
            </w:r>
          </w:p>
        </w:tc>
        <w:tc>
          <w:tcPr>
            <w:tcW w:w="1333" w:type="dxa"/>
            <w:tcBorders>
              <w:left w:val="single" w:sz="4" w:space="0" w:color="FFFFFF" w:themeColor="background1"/>
              <w:right w:val="single" w:sz="4" w:space="0" w:color="FFFFFF" w:themeColor="background1"/>
            </w:tcBorders>
          </w:tcPr>
          <w:p w14:paraId="4AC70EA6" w14:textId="4CF10DEE" w:rsidR="0081624F" w:rsidRDefault="004C4F33" w:rsidP="00344E27">
            <w:pPr>
              <w:rPr>
                <w:rFonts w:ascii="Calibri" w:hAnsi="Calibri"/>
                <w:sz w:val="18"/>
                <w:szCs w:val="18"/>
              </w:rPr>
            </w:pPr>
            <w:r>
              <w:rPr>
                <w:rFonts w:ascii="Calibri" w:hAnsi="Calibri"/>
                <w:sz w:val="18"/>
                <w:szCs w:val="18"/>
              </w:rPr>
              <w:t>7/10 (HE), 10/10 (HSE)</w:t>
            </w:r>
          </w:p>
        </w:tc>
      </w:tr>
      <w:tr w:rsidR="0081624F" w:rsidRPr="005573A3" w14:paraId="50B6934B"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00EFA171" w14:textId="1AE0A1EF"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04112500" w14:textId="6E979161" w:rsidR="0081624F" w:rsidRPr="0078166C" w:rsidRDefault="0081624F">
            <w:pPr>
              <w:rPr>
                <w:rFonts w:ascii="Calibri" w:hAnsi="Calibri"/>
                <w:sz w:val="18"/>
                <w:szCs w:val="18"/>
              </w:rPr>
            </w:pPr>
            <w:r>
              <w:rPr>
                <w:rFonts w:ascii="Calibri" w:hAnsi="Calibri"/>
                <w:sz w:val="18"/>
                <w:szCs w:val="18"/>
              </w:rPr>
              <w:t xml:space="preserve">Mackay </w:t>
            </w:r>
            <w:r>
              <w:rPr>
                <w:rFonts w:ascii="Calibri" w:hAnsi="Calibri"/>
                <w:i/>
                <w:sz w:val="18"/>
                <w:szCs w:val="18"/>
              </w:rPr>
              <w:t>et al.</w:t>
            </w:r>
            <w:r>
              <w:rPr>
                <w:rFonts w:ascii="Calibri" w:hAnsi="Calibri"/>
                <w:sz w:val="18"/>
                <w:szCs w:val="18"/>
              </w:rPr>
              <w:t xml:space="preserve"> 2010</w:t>
            </w:r>
          </w:p>
        </w:tc>
        <w:tc>
          <w:tcPr>
            <w:tcW w:w="992" w:type="dxa"/>
            <w:tcBorders>
              <w:left w:val="single" w:sz="4" w:space="0" w:color="FFFFFF" w:themeColor="background1"/>
              <w:right w:val="single" w:sz="4" w:space="0" w:color="FFFFFF" w:themeColor="background1"/>
            </w:tcBorders>
          </w:tcPr>
          <w:p w14:paraId="20C52647" w14:textId="44B43C3F" w:rsidR="0081624F" w:rsidRDefault="0081624F" w:rsidP="00D7547F">
            <w:pPr>
              <w:jc w:val="center"/>
              <w:rPr>
                <w:rFonts w:ascii="Calibri" w:hAnsi="Calibri"/>
                <w:sz w:val="18"/>
                <w:szCs w:val="18"/>
              </w:rPr>
            </w:pPr>
            <w:r>
              <w:rPr>
                <w:rFonts w:ascii="Calibri" w:hAnsi="Calibri"/>
                <w:sz w:val="18"/>
                <w:szCs w:val="18"/>
              </w:rPr>
              <w:t>17</w:t>
            </w:r>
          </w:p>
        </w:tc>
        <w:tc>
          <w:tcPr>
            <w:tcW w:w="992" w:type="dxa"/>
            <w:tcBorders>
              <w:left w:val="single" w:sz="4" w:space="0" w:color="FFFFFF" w:themeColor="background1"/>
              <w:right w:val="single" w:sz="4" w:space="0" w:color="FFFFFF" w:themeColor="background1"/>
            </w:tcBorders>
          </w:tcPr>
          <w:p w14:paraId="465A3663" w14:textId="6649FAD4" w:rsidR="0081624F" w:rsidRDefault="005514C1"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76DCF56D" w14:textId="4ED73CCF"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Smoke-free legislation reduces acute coronary events (relative risk = 0.90, 95% CI = 0.86 to 0.94)</w:t>
            </w:r>
          </w:p>
          <w:p w14:paraId="0DE53E2F" w14:textId="77CC8B65"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Studies with longer periods of data collection following implementation of legislation had greater estimates of risk reduction, indicating the effect of smoke-free legislation increases over time</w:t>
            </w:r>
          </w:p>
        </w:tc>
        <w:tc>
          <w:tcPr>
            <w:tcW w:w="1333" w:type="dxa"/>
            <w:tcBorders>
              <w:left w:val="single" w:sz="4" w:space="0" w:color="FFFFFF" w:themeColor="background1"/>
              <w:right w:val="single" w:sz="4" w:space="0" w:color="FFFFFF" w:themeColor="background1"/>
            </w:tcBorders>
          </w:tcPr>
          <w:p w14:paraId="4BA9EB59" w14:textId="56B053C7" w:rsidR="0081624F" w:rsidRDefault="004C4F33" w:rsidP="009C03AB">
            <w:pPr>
              <w:rPr>
                <w:rFonts w:ascii="Calibri" w:hAnsi="Calibri"/>
                <w:sz w:val="18"/>
                <w:szCs w:val="18"/>
              </w:rPr>
            </w:pPr>
            <w:r>
              <w:rPr>
                <w:rFonts w:ascii="Calibri" w:hAnsi="Calibri"/>
                <w:sz w:val="18"/>
                <w:szCs w:val="18"/>
              </w:rPr>
              <w:t>6/10 (HE)</w:t>
            </w:r>
          </w:p>
        </w:tc>
      </w:tr>
      <w:tr w:rsidR="0081624F" w:rsidRPr="005573A3" w14:paraId="23FE68D3"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373F3521"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0EE5FD3F" w14:textId="007CD7CB" w:rsidR="0081624F" w:rsidRPr="00122D55" w:rsidRDefault="0081624F">
            <w:pPr>
              <w:rPr>
                <w:rFonts w:ascii="Calibri" w:hAnsi="Calibri"/>
                <w:sz w:val="18"/>
                <w:szCs w:val="18"/>
              </w:rPr>
            </w:pPr>
            <w:r>
              <w:rPr>
                <w:rFonts w:ascii="Calibri" w:hAnsi="Calibri"/>
                <w:sz w:val="18"/>
                <w:szCs w:val="18"/>
              </w:rPr>
              <w:t>Hahn 2010</w:t>
            </w:r>
          </w:p>
        </w:tc>
        <w:tc>
          <w:tcPr>
            <w:tcW w:w="992" w:type="dxa"/>
            <w:tcBorders>
              <w:left w:val="single" w:sz="4" w:space="0" w:color="FFFFFF" w:themeColor="background1"/>
              <w:right w:val="single" w:sz="4" w:space="0" w:color="FFFFFF" w:themeColor="background1"/>
            </w:tcBorders>
            <w:shd w:val="clear" w:color="auto" w:fill="FFFFFF" w:themeFill="background1"/>
          </w:tcPr>
          <w:p w14:paraId="28310D97" w14:textId="78845D0A" w:rsidR="0081624F" w:rsidRDefault="0081624F" w:rsidP="00D7547F">
            <w:pPr>
              <w:jc w:val="center"/>
              <w:rPr>
                <w:rFonts w:ascii="Calibri" w:hAnsi="Calibri"/>
                <w:sz w:val="18"/>
                <w:szCs w:val="18"/>
              </w:rPr>
            </w:pPr>
            <w:r>
              <w:rPr>
                <w:rFonts w:ascii="Calibri" w:hAnsi="Calibri"/>
                <w:sz w:val="18"/>
                <w:szCs w:val="18"/>
              </w:rPr>
              <w:t>30</w:t>
            </w:r>
          </w:p>
        </w:tc>
        <w:tc>
          <w:tcPr>
            <w:tcW w:w="992" w:type="dxa"/>
            <w:tcBorders>
              <w:left w:val="single" w:sz="4" w:space="0" w:color="FFFFFF" w:themeColor="background1"/>
              <w:right w:val="single" w:sz="4" w:space="0" w:color="FFFFFF" w:themeColor="background1"/>
            </w:tcBorders>
          </w:tcPr>
          <w:p w14:paraId="7CE31A11" w14:textId="506F35A7" w:rsidR="0081624F" w:rsidRDefault="0081624F" w:rsidP="00D7547F">
            <w:pPr>
              <w:jc w:val="center"/>
              <w:rPr>
                <w:rFonts w:ascii="Calibri" w:hAnsi="Calibri"/>
                <w:sz w:val="18"/>
                <w:szCs w:val="18"/>
              </w:rPr>
            </w:pPr>
            <w:r>
              <w:rPr>
                <w:rFonts w:ascii="Calibri" w:hAnsi="Calibri"/>
                <w:sz w:val="18"/>
                <w:szCs w:val="18"/>
              </w:rPr>
              <w:t>2010</w:t>
            </w:r>
          </w:p>
        </w:tc>
        <w:tc>
          <w:tcPr>
            <w:tcW w:w="7796" w:type="dxa"/>
            <w:tcBorders>
              <w:left w:val="single" w:sz="4" w:space="0" w:color="FFFFFF" w:themeColor="background1"/>
              <w:right w:val="single" w:sz="4" w:space="0" w:color="FFFFFF" w:themeColor="background1"/>
            </w:tcBorders>
          </w:tcPr>
          <w:p w14:paraId="556A1645" w14:textId="77777777" w:rsidR="0081624F" w:rsidRDefault="0081624F" w:rsidP="00332C30">
            <w:pPr>
              <w:pStyle w:val="ListParagraph"/>
              <w:numPr>
                <w:ilvl w:val="0"/>
                <w:numId w:val="9"/>
              </w:numPr>
              <w:ind w:left="170" w:hanging="170"/>
              <w:rPr>
                <w:rFonts w:ascii="Calibri" w:hAnsi="Calibri"/>
                <w:sz w:val="18"/>
                <w:szCs w:val="18"/>
              </w:rPr>
            </w:pPr>
            <w:r>
              <w:rPr>
                <w:rFonts w:ascii="Calibri" w:hAnsi="Calibri"/>
                <w:sz w:val="18"/>
                <w:szCs w:val="18"/>
              </w:rPr>
              <w:t>Of the 16 studies on smoking prevalence and/or cigarette consumption, 14 reported reductions with smoke-free policies; these decreases may not be sustained over time</w:t>
            </w:r>
          </w:p>
          <w:p w14:paraId="2F6BF191" w14:textId="61E528C2" w:rsidR="0081624F" w:rsidRPr="0097597C" w:rsidRDefault="0081624F" w:rsidP="0097597C">
            <w:pPr>
              <w:pStyle w:val="ListParagraph"/>
              <w:numPr>
                <w:ilvl w:val="0"/>
                <w:numId w:val="9"/>
              </w:numPr>
              <w:ind w:left="170" w:hanging="170"/>
              <w:rPr>
                <w:rFonts w:ascii="Calibri" w:hAnsi="Calibri"/>
                <w:sz w:val="18"/>
                <w:szCs w:val="18"/>
              </w:rPr>
            </w:pPr>
            <w:r>
              <w:rPr>
                <w:rFonts w:ascii="Calibri" w:hAnsi="Calibri"/>
                <w:sz w:val="18"/>
                <w:szCs w:val="18"/>
              </w:rPr>
              <w:t>Of the 14 studies on smoking cessation, seven reported increases in quit attempts and/or cessation</w:t>
            </w:r>
          </w:p>
        </w:tc>
        <w:tc>
          <w:tcPr>
            <w:tcW w:w="1333" w:type="dxa"/>
            <w:tcBorders>
              <w:left w:val="single" w:sz="4" w:space="0" w:color="FFFFFF" w:themeColor="background1"/>
              <w:right w:val="single" w:sz="4" w:space="0" w:color="FFFFFF" w:themeColor="background1"/>
            </w:tcBorders>
          </w:tcPr>
          <w:p w14:paraId="52C328BB" w14:textId="458ADDD9" w:rsidR="0081624F" w:rsidRDefault="004C4F33" w:rsidP="005023B5">
            <w:pPr>
              <w:rPr>
                <w:rFonts w:ascii="Calibri" w:hAnsi="Calibri"/>
                <w:sz w:val="18"/>
                <w:szCs w:val="18"/>
              </w:rPr>
            </w:pPr>
            <w:r>
              <w:rPr>
                <w:rFonts w:ascii="Calibri" w:hAnsi="Calibri"/>
                <w:sz w:val="18"/>
                <w:szCs w:val="18"/>
              </w:rPr>
              <w:t>2/10 (HE)</w:t>
            </w:r>
          </w:p>
        </w:tc>
      </w:tr>
      <w:tr w:rsidR="0081624F" w:rsidRPr="005573A3" w14:paraId="5676B266"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0EAD1A5A"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21D8A28D" w14:textId="47B139BD" w:rsidR="0081624F" w:rsidRDefault="0081624F">
            <w:pPr>
              <w:rPr>
                <w:rFonts w:ascii="Calibri" w:hAnsi="Calibri"/>
                <w:sz w:val="18"/>
                <w:szCs w:val="18"/>
              </w:rPr>
            </w:pPr>
            <w:r>
              <w:rPr>
                <w:rFonts w:ascii="Calibri" w:hAnsi="Calibri"/>
                <w:sz w:val="18"/>
                <w:szCs w:val="18"/>
              </w:rPr>
              <w:t xml:space="preserve">Kabir </w:t>
            </w:r>
            <w:r w:rsidRPr="0078166C">
              <w:rPr>
                <w:rFonts w:ascii="Calibri" w:hAnsi="Calibri"/>
                <w:i/>
                <w:sz w:val="18"/>
                <w:szCs w:val="18"/>
              </w:rPr>
              <w:t>et al</w:t>
            </w:r>
            <w:r>
              <w:rPr>
                <w:rFonts w:ascii="Calibri" w:hAnsi="Calibri"/>
                <w:i/>
                <w:sz w:val="18"/>
                <w:szCs w:val="18"/>
              </w:rPr>
              <w:t>.</w:t>
            </w:r>
            <w:r>
              <w:rPr>
                <w:rFonts w:ascii="Calibri" w:hAnsi="Calibri"/>
                <w:sz w:val="18"/>
                <w:szCs w:val="18"/>
              </w:rPr>
              <w:t xml:space="preserve"> 2010</w:t>
            </w:r>
          </w:p>
        </w:tc>
        <w:tc>
          <w:tcPr>
            <w:tcW w:w="992" w:type="dxa"/>
            <w:tcBorders>
              <w:left w:val="single" w:sz="4" w:space="0" w:color="FFFFFF" w:themeColor="background1"/>
              <w:right w:val="single" w:sz="4" w:space="0" w:color="FFFFFF" w:themeColor="background1"/>
            </w:tcBorders>
            <w:shd w:val="clear" w:color="auto" w:fill="auto"/>
          </w:tcPr>
          <w:p w14:paraId="0EE0AE84" w14:textId="2827651E" w:rsidR="0081624F" w:rsidRDefault="0081624F" w:rsidP="00D7547F">
            <w:pPr>
              <w:jc w:val="center"/>
              <w:rPr>
                <w:rFonts w:ascii="Calibri" w:hAnsi="Calibri"/>
                <w:sz w:val="18"/>
                <w:szCs w:val="18"/>
              </w:rPr>
            </w:pPr>
            <w:r>
              <w:rPr>
                <w:rFonts w:ascii="Calibri" w:hAnsi="Calibri"/>
                <w:sz w:val="18"/>
                <w:szCs w:val="18"/>
              </w:rPr>
              <w:t>19</w:t>
            </w:r>
          </w:p>
        </w:tc>
        <w:tc>
          <w:tcPr>
            <w:tcW w:w="992" w:type="dxa"/>
            <w:tcBorders>
              <w:left w:val="single" w:sz="4" w:space="0" w:color="FFFFFF" w:themeColor="background1"/>
              <w:right w:val="single" w:sz="4" w:space="0" w:color="FFFFFF" w:themeColor="background1"/>
            </w:tcBorders>
          </w:tcPr>
          <w:p w14:paraId="5C93AB05" w14:textId="0A5EE507" w:rsidR="0081624F" w:rsidRDefault="0081624F" w:rsidP="00D7547F">
            <w:pPr>
              <w:jc w:val="center"/>
              <w:rPr>
                <w:rFonts w:ascii="Calibri" w:hAnsi="Calibri"/>
                <w:sz w:val="18"/>
                <w:szCs w:val="18"/>
              </w:rPr>
            </w:pPr>
            <w:r>
              <w:rPr>
                <w:rFonts w:ascii="Calibri" w:hAnsi="Calibri"/>
                <w:sz w:val="18"/>
                <w:szCs w:val="18"/>
              </w:rPr>
              <w:t>2010</w:t>
            </w:r>
          </w:p>
        </w:tc>
        <w:tc>
          <w:tcPr>
            <w:tcW w:w="7796" w:type="dxa"/>
            <w:tcBorders>
              <w:left w:val="single" w:sz="4" w:space="0" w:color="FFFFFF" w:themeColor="background1"/>
              <w:right w:val="single" w:sz="4" w:space="0" w:color="FFFFFF" w:themeColor="background1"/>
            </w:tcBorders>
          </w:tcPr>
          <w:p w14:paraId="7584E8B3" w14:textId="376792EF" w:rsidR="0081624F" w:rsidRPr="0097597C" w:rsidRDefault="0081624F" w:rsidP="00332C30">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Comprehensive workplace and public smoke-free policies reduce </w:t>
            </w:r>
            <w:r>
              <w:rPr>
                <w:rFonts w:ascii="Calibri" w:hAnsi="Calibri"/>
                <w:sz w:val="18"/>
                <w:szCs w:val="18"/>
              </w:rPr>
              <w:t>SHS</w:t>
            </w:r>
            <w:r w:rsidRPr="0097597C">
              <w:rPr>
                <w:rFonts w:ascii="Calibri" w:hAnsi="Calibri"/>
                <w:sz w:val="18"/>
                <w:szCs w:val="18"/>
              </w:rPr>
              <w:t xml:space="preserve"> exposure in children 0 to 17 </w:t>
            </w:r>
            <w:r w:rsidR="004A0AB3">
              <w:rPr>
                <w:rFonts w:ascii="Calibri" w:hAnsi="Calibri"/>
                <w:sz w:val="18"/>
                <w:szCs w:val="18"/>
              </w:rPr>
              <w:t xml:space="preserve">years </w:t>
            </w:r>
            <w:r w:rsidRPr="0097597C">
              <w:rPr>
                <w:rFonts w:ascii="Calibri" w:hAnsi="Calibri"/>
                <w:sz w:val="18"/>
                <w:szCs w:val="18"/>
              </w:rPr>
              <w:t>and may reduce pediatric health events (i.e., preterm births, emergency asthma admissions)</w:t>
            </w:r>
          </w:p>
          <w:p w14:paraId="2814D5B1" w14:textId="1B7CB843" w:rsidR="0081624F" w:rsidRPr="0097597C" w:rsidRDefault="0081624F" w:rsidP="004A0AB3">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Home smoke-free policies reduce SHS exposure in children 0 to 17 years by 20-50% </w:t>
            </w:r>
          </w:p>
        </w:tc>
        <w:tc>
          <w:tcPr>
            <w:tcW w:w="1333" w:type="dxa"/>
            <w:tcBorders>
              <w:left w:val="single" w:sz="4" w:space="0" w:color="FFFFFF" w:themeColor="background1"/>
              <w:right w:val="single" w:sz="4" w:space="0" w:color="FFFFFF" w:themeColor="background1"/>
            </w:tcBorders>
          </w:tcPr>
          <w:p w14:paraId="135C495A" w14:textId="1AB5A93A" w:rsidR="0081624F" w:rsidRDefault="004C4F33" w:rsidP="005023B5">
            <w:pPr>
              <w:rPr>
                <w:rFonts w:ascii="Calibri" w:hAnsi="Calibri"/>
                <w:sz w:val="18"/>
                <w:szCs w:val="18"/>
              </w:rPr>
            </w:pPr>
            <w:r>
              <w:rPr>
                <w:rFonts w:ascii="Calibri" w:hAnsi="Calibri"/>
                <w:sz w:val="18"/>
                <w:szCs w:val="18"/>
              </w:rPr>
              <w:t>3/9 (Authors)</w:t>
            </w:r>
          </w:p>
        </w:tc>
      </w:tr>
      <w:tr w:rsidR="0081624F" w:rsidRPr="005573A3" w14:paraId="4C16CF94"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1E3ECC47"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6A2F8D44" w14:textId="7500D91B" w:rsidR="0081624F" w:rsidRPr="00075837" w:rsidRDefault="0081624F">
            <w:pPr>
              <w:rPr>
                <w:rFonts w:ascii="Calibri" w:hAnsi="Calibri"/>
                <w:sz w:val="18"/>
                <w:szCs w:val="18"/>
              </w:rPr>
            </w:pPr>
            <w:r>
              <w:rPr>
                <w:rFonts w:ascii="Calibri" w:hAnsi="Calibri"/>
                <w:sz w:val="18"/>
                <w:szCs w:val="18"/>
              </w:rPr>
              <w:t xml:space="preserve">Wilson </w:t>
            </w:r>
            <w:r>
              <w:rPr>
                <w:rFonts w:ascii="Calibri" w:hAnsi="Calibri"/>
                <w:i/>
                <w:sz w:val="18"/>
                <w:szCs w:val="18"/>
              </w:rPr>
              <w:t>et al.</w:t>
            </w:r>
            <w:r>
              <w:rPr>
                <w:rFonts w:ascii="Calibri" w:hAnsi="Calibri"/>
                <w:sz w:val="18"/>
                <w:szCs w:val="18"/>
              </w:rPr>
              <w:t xml:space="preserve"> 2012</w:t>
            </w:r>
          </w:p>
        </w:tc>
        <w:tc>
          <w:tcPr>
            <w:tcW w:w="992" w:type="dxa"/>
            <w:tcBorders>
              <w:left w:val="single" w:sz="4" w:space="0" w:color="FFFFFF" w:themeColor="background1"/>
              <w:right w:val="single" w:sz="4" w:space="0" w:color="FFFFFF" w:themeColor="background1"/>
            </w:tcBorders>
            <w:shd w:val="clear" w:color="auto" w:fill="FFFFFF" w:themeFill="background1"/>
          </w:tcPr>
          <w:p w14:paraId="3D4B62DD" w14:textId="02FEF996" w:rsidR="0081624F" w:rsidRDefault="0081624F" w:rsidP="00D7547F">
            <w:pPr>
              <w:jc w:val="center"/>
              <w:rPr>
                <w:rFonts w:ascii="Calibri" w:hAnsi="Calibri"/>
                <w:sz w:val="18"/>
                <w:szCs w:val="18"/>
              </w:rPr>
            </w:pPr>
            <w:r>
              <w:rPr>
                <w:rFonts w:ascii="Calibri" w:hAnsi="Calibri"/>
                <w:sz w:val="18"/>
                <w:szCs w:val="18"/>
              </w:rPr>
              <w:t>29</w:t>
            </w:r>
          </w:p>
        </w:tc>
        <w:tc>
          <w:tcPr>
            <w:tcW w:w="992" w:type="dxa"/>
            <w:tcBorders>
              <w:left w:val="single" w:sz="4" w:space="0" w:color="FFFFFF" w:themeColor="background1"/>
              <w:right w:val="single" w:sz="4" w:space="0" w:color="FFFFFF" w:themeColor="background1"/>
            </w:tcBorders>
          </w:tcPr>
          <w:p w14:paraId="101C871D" w14:textId="163CFEBB" w:rsidR="0081624F" w:rsidRDefault="0081624F" w:rsidP="00D7547F">
            <w:pPr>
              <w:jc w:val="center"/>
              <w:rPr>
                <w:rFonts w:ascii="Calibri" w:hAnsi="Calibri"/>
                <w:sz w:val="18"/>
                <w:szCs w:val="18"/>
              </w:rPr>
            </w:pPr>
            <w:r>
              <w:rPr>
                <w:rFonts w:ascii="Calibri" w:hAnsi="Calibri"/>
                <w:sz w:val="18"/>
                <w:szCs w:val="18"/>
              </w:rPr>
              <w:t>2009, 2012</w:t>
            </w:r>
          </w:p>
        </w:tc>
        <w:tc>
          <w:tcPr>
            <w:tcW w:w="7796" w:type="dxa"/>
            <w:tcBorders>
              <w:left w:val="single" w:sz="4" w:space="0" w:color="FFFFFF" w:themeColor="background1"/>
              <w:right w:val="single" w:sz="4" w:space="0" w:color="FFFFFF" w:themeColor="background1"/>
            </w:tcBorders>
          </w:tcPr>
          <w:p w14:paraId="0F190C20" w14:textId="4629C31A" w:rsidR="0081624F" w:rsidRDefault="0081624F" w:rsidP="00075837">
            <w:pPr>
              <w:pStyle w:val="ListParagraph"/>
              <w:numPr>
                <w:ilvl w:val="0"/>
                <w:numId w:val="9"/>
              </w:numPr>
              <w:ind w:left="170" w:hanging="170"/>
              <w:rPr>
                <w:rFonts w:ascii="Calibri" w:hAnsi="Calibri"/>
                <w:sz w:val="18"/>
                <w:szCs w:val="18"/>
              </w:rPr>
            </w:pPr>
            <w:r>
              <w:rPr>
                <w:rFonts w:ascii="Calibri" w:hAnsi="Calibri"/>
                <w:sz w:val="18"/>
                <w:szCs w:val="18"/>
              </w:rPr>
              <w:t xml:space="preserve">Smoking bans in public </w:t>
            </w:r>
            <w:r w:rsidR="004A0AB3">
              <w:rPr>
                <w:rFonts w:ascii="Calibri" w:hAnsi="Calibri"/>
                <w:sz w:val="18"/>
                <w:szCs w:val="18"/>
              </w:rPr>
              <w:t xml:space="preserve">spaces </w:t>
            </w:r>
            <w:r>
              <w:rPr>
                <w:rFonts w:ascii="Calibri" w:hAnsi="Calibri"/>
                <w:sz w:val="18"/>
                <w:szCs w:val="18"/>
              </w:rPr>
              <w:t>reduce smoking prevalence, with the change in prevalence ranging from -7.4% to -31.9% compared with control groups after 1 to 3.5 years</w:t>
            </w:r>
          </w:p>
          <w:p w14:paraId="31781A4F" w14:textId="318705B0" w:rsidR="0081624F" w:rsidRDefault="0081624F" w:rsidP="00075837">
            <w:pPr>
              <w:pStyle w:val="ListParagraph"/>
              <w:numPr>
                <w:ilvl w:val="0"/>
                <w:numId w:val="9"/>
              </w:numPr>
              <w:ind w:left="170" w:hanging="170"/>
              <w:rPr>
                <w:rFonts w:ascii="Calibri" w:hAnsi="Calibri"/>
                <w:sz w:val="18"/>
                <w:szCs w:val="18"/>
              </w:rPr>
            </w:pPr>
            <w:r>
              <w:rPr>
                <w:rFonts w:ascii="Calibri" w:hAnsi="Calibri"/>
                <w:sz w:val="18"/>
                <w:szCs w:val="18"/>
              </w:rPr>
              <w:t xml:space="preserve">Inconsistent or insignificant results were found for their effect on smoking initiation and cessation </w:t>
            </w:r>
          </w:p>
        </w:tc>
        <w:tc>
          <w:tcPr>
            <w:tcW w:w="1333" w:type="dxa"/>
            <w:tcBorders>
              <w:left w:val="single" w:sz="4" w:space="0" w:color="FFFFFF" w:themeColor="background1"/>
              <w:right w:val="single" w:sz="4" w:space="0" w:color="FFFFFF" w:themeColor="background1"/>
            </w:tcBorders>
          </w:tcPr>
          <w:p w14:paraId="0473086C" w14:textId="4B2E9CA7" w:rsidR="0081624F" w:rsidRDefault="004C4F33" w:rsidP="005023B5">
            <w:pPr>
              <w:rPr>
                <w:rFonts w:ascii="Calibri" w:hAnsi="Calibri"/>
                <w:sz w:val="18"/>
                <w:szCs w:val="18"/>
              </w:rPr>
            </w:pPr>
            <w:r>
              <w:rPr>
                <w:rFonts w:ascii="Calibri" w:hAnsi="Calibri"/>
                <w:sz w:val="18"/>
                <w:szCs w:val="18"/>
              </w:rPr>
              <w:t>4/10 (HE)</w:t>
            </w:r>
          </w:p>
        </w:tc>
      </w:tr>
      <w:tr w:rsidR="0081624F" w:rsidRPr="005573A3" w14:paraId="29FB714D"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717778A2" w14:textId="1494C87F"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0F5BE1AE" w14:textId="3C95CBA8" w:rsidR="0081624F" w:rsidRPr="00122D55" w:rsidRDefault="0081624F">
            <w:pPr>
              <w:rPr>
                <w:rFonts w:ascii="Calibri" w:hAnsi="Calibri"/>
                <w:sz w:val="18"/>
                <w:szCs w:val="18"/>
              </w:rPr>
            </w:pPr>
            <w:r w:rsidRPr="00122D55">
              <w:rPr>
                <w:rFonts w:ascii="Calibri" w:hAnsi="Calibri"/>
                <w:sz w:val="18"/>
                <w:szCs w:val="18"/>
              </w:rPr>
              <w:t xml:space="preserve">Mozaffarian </w:t>
            </w:r>
            <w:r w:rsidRPr="00122D55">
              <w:rPr>
                <w:rFonts w:ascii="Calibri" w:hAnsi="Calibri"/>
                <w:i/>
                <w:sz w:val="18"/>
                <w:szCs w:val="18"/>
              </w:rPr>
              <w:t>et al</w:t>
            </w:r>
            <w:r>
              <w:rPr>
                <w:rFonts w:ascii="Calibri" w:hAnsi="Calibri"/>
                <w:i/>
                <w:sz w:val="18"/>
                <w:szCs w:val="18"/>
              </w:rPr>
              <w:t>.</w:t>
            </w:r>
            <w:r w:rsidRPr="00122D55">
              <w:rPr>
                <w:rFonts w:ascii="Calibri" w:hAnsi="Calibri"/>
                <w:i/>
                <w:sz w:val="18"/>
                <w:szCs w:val="18"/>
              </w:rPr>
              <w:t xml:space="preserve"> </w:t>
            </w:r>
            <w:r w:rsidRPr="00122D55">
              <w:rPr>
                <w:rFonts w:ascii="Calibri" w:hAnsi="Calibri"/>
                <w:sz w:val="18"/>
                <w:szCs w:val="18"/>
              </w:rPr>
              <w:t>2012</w:t>
            </w:r>
          </w:p>
        </w:tc>
        <w:tc>
          <w:tcPr>
            <w:tcW w:w="992" w:type="dxa"/>
            <w:tcBorders>
              <w:left w:val="single" w:sz="4" w:space="0" w:color="FFFFFF" w:themeColor="background1"/>
              <w:right w:val="single" w:sz="4" w:space="0" w:color="FFFFFF" w:themeColor="background1"/>
            </w:tcBorders>
          </w:tcPr>
          <w:p w14:paraId="3FACBE56" w14:textId="62A2D3F2" w:rsidR="0081624F" w:rsidRDefault="0081624F" w:rsidP="00D7547F">
            <w:pPr>
              <w:jc w:val="center"/>
              <w:rPr>
                <w:rFonts w:ascii="Calibri" w:hAnsi="Calibri"/>
                <w:sz w:val="18"/>
                <w:szCs w:val="18"/>
              </w:rPr>
            </w:pPr>
            <w:r>
              <w:rPr>
                <w:rFonts w:ascii="Calibri" w:hAnsi="Calibri"/>
                <w:sz w:val="18"/>
                <w:szCs w:val="18"/>
              </w:rPr>
              <w:t>52</w:t>
            </w:r>
          </w:p>
        </w:tc>
        <w:tc>
          <w:tcPr>
            <w:tcW w:w="992" w:type="dxa"/>
            <w:tcBorders>
              <w:left w:val="single" w:sz="4" w:space="0" w:color="FFFFFF" w:themeColor="background1"/>
              <w:right w:val="single" w:sz="4" w:space="0" w:color="FFFFFF" w:themeColor="background1"/>
            </w:tcBorders>
          </w:tcPr>
          <w:p w14:paraId="52ED8961" w14:textId="7400042A" w:rsidR="0081624F" w:rsidRDefault="0081624F"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right w:val="single" w:sz="4" w:space="0" w:color="FFFFFF" w:themeColor="background1"/>
            </w:tcBorders>
          </w:tcPr>
          <w:p w14:paraId="34D9F15C" w14:textId="5E25AD28"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Six studies on community smoking bans reported reduced cardiovascular and respiratory events</w:t>
            </w:r>
          </w:p>
          <w:p w14:paraId="64C0BAF2" w14:textId="6FD4EE91"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15 studies on workplace smoke-free policies reported increased smoking cessation, reduced cigarette consumption and decreased SHS exposure with both full and partial policies</w:t>
            </w:r>
          </w:p>
          <w:p w14:paraId="6A2BCABA" w14:textId="39519335"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18 studies on school-based smoking restrictions reported mixed evidence on smoking behaviour</w:t>
            </w:r>
          </w:p>
          <w:p w14:paraId="7DBC3EC7" w14:textId="563C9533" w:rsidR="0081624F" w:rsidRPr="0097597C" w:rsidRDefault="0081624F" w:rsidP="007815AD">
            <w:pPr>
              <w:pStyle w:val="ListParagraph"/>
              <w:numPr>
                <w:ilvl w:val="0"/>
                <w:numId w:val="9"/>
              </w:numPr>
              <w:ind w:left="170" w:hanging="170"/>
              <w:rPr>
                <w:rFonts w:ascii="Calibri" w:hAnsi="Calibri"/>
                <w:sz w:val="18"/>
                <w:szCs w:val="18"/>
              </w:rPr>
            </w:pPr>
            <w:r w:rsidRPr="0097597C">
              <w:rPr>
                <w:rFonts w:ascii="Calibri" w:hAnsi="Calibri"/>
                <w:sz w:val="18"/>
                <w:szCs w:val="18"/>
              </w:rPr>
              <w:t>13 studies on residence-based smoking restrictions reported reduced smoking prevalence, reduced cigarette consumption, increased rate of cessation attempts, reduced rate of relapse, reduced experimentation in children and decreased SHS exposure in children</w:t>
            </w:r>
          </w:p>
        </w:tc>
        <w:tc>
          <w:tcPr>
            <w:tcW w:w="1333" w:type="dxa"/>
            <w:tcBorders>
              <w:left w:val="single" w:sz="4" w:space="0" w:color="FFFFFF" w:themeColor="background1"/>
              <w:right w:val="single" w:sz="4" w:space="0" w:color="FFFFFF" w:themeColor="background1"/>
            </w:tcBorders>
          </w:tcPr>
          <w:p w14:paraId="486A1D86" w14:textId="6D3499E5" w:rsidR="0081624F" w:rsidRDefault="004C4F33" w:rsidP="005023B5">
            <w:pPr>
              <w:rPr>
                <w:rFonts w:ascii="Calibri" w:hAnsi="Calibri"/>
                <w:sz w:val="18"/>
                <w:szCs w:val="18"/>
              </w:rPr>
            </w:pPr>
            <w:r>
              <w:rPr>
                <w:rFonts w:ascii="Calibri" w:hAnsi="Calibri"/>
                <w:sz w:val="18"/>
                <w:szCs w:val="18"/>
              </w:rPr>
              <w:t>6/10 (HE)</w:t>
            </w:r>
          </w:p>
        </w:tc>
      </w:tr>
      <w:tr w:rsidR="0081624F" w:rsidRPr="005573A3" w14:paraId="54903D87"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79ECA12D" w14:textId="6441AFB1"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05F04418" w14:textId="1600D444" w:rsidR="0081624F" w:rsidRPr="00122D55" w:rsidRDefault="0081624F" w:rsidP="004C4F33">
            <w:pPr>
              <w:rPr>
                <w:rFonts w:ascii="Calibri" w:hAnsi="Calibri"/>
                <w:sz w:val="18"/>
                <w:szCs w:val="18"/>
              </w:rPr>
            </w:pPr>
            <w:r>
              <w:rPr>
                <w:rFonts w:ascii="Calibri" w:hAnsi="Calibri"/>
                <w:sz w:val="18"/>
                <w:szCs w:val="18"/>
              </w:rPr>
              <w:t xml:space="preserve">Tan </w:t>
            </w:r>
            <w:r w:rsidR="004C4F33">
              <w:rPr>
                <w:rFonts w:ascii="Calibri" w:hAnsi="Calibri"/>
                <w:sz w:val="18"/>
                <w:szCs w:val="18"/>
              </w:rPr>
              <w:t xml:space="preserve">&amp; </w:t>
            </w:r>
            <w:r>
              <w:rPr>
                <w:rFonts w:ascii="Calibri" w:hAnsi="Calibri"/>
                <w:sz w:val="18"/>
                <w:szCs w:val="18"/>
              </w:rPr>
              <w:t>Glantz 2012</w:t>
            </w:r>
          </w:p>
        </w:tc>
        <w:tc>
          <w:tcPr>
            <w:tcW w:w="992" w:type="dxa"/>
            <w:tcBorders>
              <w:left w:val="single" w:sz="4" w:space="0" w:color="FFFFFF" w:themeColor="background1"/>
              <w:right w:val="single" w:sz="4" w:space="0" w:color="FFFFFF" w:themeColor="background1"/>
            </w:tcBorders>
          </w:tcPr>
          <w:p w14:paraId="6D711339" w14:textId="79A5A3DF" w:rsidR="0081624F" w:rsidRDefault="0081624F" w:rsidP="00D7547F">
            <w:pPr>
              <w:jc w:val="center"/>
              <w:rPr>
                <w:rFonts w:ascii="Calibri" w:hAnsi="Calibri"/>
                <w:sz w:val="18"/>
                <w:szCs w:val="18"/>
              </w:rPr>
            </w:pPr>
            <w:r>
              <w:rPr>
                <w:rFonts w:ascii="Calibri" w:hAnsi="Calibri"/>
                <w:sz w:val="18"/>
                <w:szCs w:val="18"/>
              </w:rPr>
              <w:t>43</w:t>
            </w:r>
          </w:p>
        </w:tc>
        <w:tc>
          <w:tcPr>
            <w:tcW w:w="992" w:type="dxa"/>
            <w:tcBorders>
              <w:left w:val="single" w:sz="4" w:space="0" w:color="FFFFFF" w:themeColor="background1"/>
              <w:right w:val="single" w:sz="4" w:space="0" w:color="FFFFFF" w:themeColor="background1"/>
            </w:tcBorders>
          </w:tcPr>
          <w:p w14:paraId="25FB6EFD" w14:textId="43CE24E8" w:rsidR="0081624F" w:rsidRDefault="0081624F"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right w:val="single" w:sz="4" w:space="0" w:color="FFFFFF" w:themeColor="background1"/>
            </w:tcBorders>
          </w:tcPr>
          <w:p w14:paraId="055D48EA" w14:textId="38FF0485"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Comprehensive smoke-free legislation (workplaces, restaurants, bars) reduces risk of hospital admissions for coronary events (</w:t>
            </w:r>
            <w:r w:rsidR="004A0AB3">
              <w:rPr>
                <w:rFonts w:ascii="Calibri" w:hAnsi="Calibri"/>
                <w:sz w:val="18"/>
                <w:szCs w:val="18"/>
              </w:rPr>
              <w:t>RR</w:t>
            </w:r>
            <w:r w:rsidRPr="0097597C">
              <w:rPr>
                <w:rFonts w:ascii="Calibri" w:hAnsi="Calibri"/>
                <w:sz w:val="18"/>
                <w:szCs w:val="18"/>
              </w:rPr>
              <w:t xml:space="preserve"> = 0.85, 95% CI = 0.82 to 0.88), other heart diseases (</w:t>
            </w:r>
            <w:r w:rsidR="004A0AB3">
              <w:rPr>
                <w:rFonts w:ascii="Calibri" w:hAnsi="Calibri"/>
                <w:sz w:val="18"/>
                <w:szCs w:val="18"/>
              </w:rPr>
              <w:t>RR</w:t>
            </w:r>
            <w:r w:rsidRPr="0097597C">
              <w:rPr>
                <w:rFonts w:ascii="Calibri" w:hAnsi="Calibri"/>
                <w:sz w:val="18"/>
                <w:szCs w:val="18"/>
              </w:rPr>
              <w:t xml:space="preserve"> = 0.61, 95% CI = 0.44 to 0.85), cerebrovascular accidents (</w:t>
            </w:r>
            <w:r w:rsidR="004A0AB3">
              <w:rPr>
                <w:rFonts w:ascii="Calibri" w:hAnsi="Calibri"/>
                <w:sz w:val="18"/>
                <w:szCs w:val="18"/>
              </w:rPr>
              <w:t>RR</w:t>
            </w:r>
            <w:r>
              <w:rPr>
                <w:rFonts w:ascii="Calibri" w:hAnsi="Calibri"/>
                <w:sz w:val="18"/>
                <w:szCs w:val="18"/>
              </w:rPr>
              <w:t xml:space="preserve"> = 0.81, 95% CI = 0.70 to 0.94)</w:t>
            </w:r>
            <w:r w:rsidRPr="0097597C">
              <w:rPr>
                <w:rFonts w:ascii="Calibri" w:hAnsi="Calibri"/>
                <w:sz w:val="18"/>
                <w:szCs w:val="18"/>
              </w:rPr>
              <w:t xml:space="preserve"> and respiratory disease</w:t>
            </w:r>
            <w:r>
              <w:rPr>
                <w:rFonts w:ascii="Calibri" w:hAnsi="Calibri"/>
                <w:sz w:val="18"/>
                <w:szCs w:val="18"/>
              </w:rPr>
              <w:t>s</w:t>
            </w:r>
            <w:r w:rsidRPr="0097597C">
              <w:rPr>
                <w:rFonts w:ascii="Calibri" w:hAnsi="Calibri"/>
                <w:sz w:val="18"/>
                <w:szCs w:val="18"/>
              </w:rPr>
              <w:t xml:space="preserve"> (</w:t>
            </w:r>
            <w:r w:rsidR="004A0AB3">
              <w:rPr>
                <w:rFonts w:ascii="Calibri" w:hAnsi="Calibri"/>
                <w:sz w:val="18"/>
                <w:szCs w:val="18"/>
              </w:rPr>
              <w:t>RR</w:t>
            </w:r>
            <w:r w:rsidRPr="0097597C">
              <w:rPr>
                <w:rFonts w:ascii="Calibri" w:hAnsi="Calibri"/>
                <w:sz w:val="18"/>
                <w:szCs w:val="18"/>
              </w:rPr>
              <w:t xml:space="preserve"> = 0.76, 95% CI = 0.68 to 0.85)</w:t>
            </w:r>
          </w:p>
          <w:p w14:paraId="39DDAE5C" w14:textId="5FCF5F6D"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More comprehensive laws are associated with larger reductions in hospital admission risk</w:t>
            </w:r>
          </w:p>
        </w:tc>
        <w:tc>
          <w:tcPr>
            <w:tcW w:w="1333" w:type="dxa"/>
            <w:tcBorders>
              <w:left w:val="single" w:sz="4" w:space="0" w:color="FFFFFF" w:themeColor="background1"/>
              <w:right w:val="single" w:sz="4" w:space="0" w:color="FFFFFF" w:themeColor="background1"/>
            </w:tcBorders>
          </w:tcPr>
          <w:p w14:paraId="537F453E" w14:textId="2A5D35A3" w:rsidR="0081624F" w:rsidRDefault="004C4F33" w:rsidP="00B75BA1">
            <w:pPr>
              <w:rPr>
                <w:rFonts w:ascii="Calibri" w:hAnsi="Calibri"/>
                <w:sz w:val="18"/>
                <w:szCs w:val="18"/>
              </w:rPr>
            </w:pPr>
            <w:r>
              <w:rPr>
                <w:rFonts w:ascii="Calibri" w:hAnsi="Calibri"/>
                <w:sz w:val="18"/>
                <w:szCs w:val="18"/>
              </w:rPr>
              <w:t>5/11 (Authors)</w:t>
            </w:r>
          </w:p>
        </w:tc>
      </w:tr>
      <w:tr w:rsidR="00900790" w:rsidRPr="005573A3" w14:paraId="177EC4EE"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762E4368" w14:textId="77777777" w:rsidR="00900790" w:rsidRPr="00F0774B" w:rsidRDefault="00900790">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67DCE078" w14:textId="7995B292" w:rsidR="00900790" w:rsidRDefault="00900790" w:rsidP="004C4F33">
            <w:pPr>
              <w:rPr>
                <w:rFonts w:ascii="Calibri" w:hAnsi="Calibri"/>
                <w:sz w:val="18"/>
                <w:szCs w:val="18"/>
              </w:rPr>
            </w:pPr>
            <w:r>
              <w:rPr>
                <w:rFonts w:ascii="Calibri" w:hAnsi="Calibri"/>
                <w:sz w:val="18"/>
                <w:szCs w:val="18"/>
              </w:rPr>
              <w:t>CPSTF 2012c</w:t>
            </w:r>
          </w:p>
        </w:tc>
        <w:tc>
          <w:tcPr>
            <w:tcW w:w="992" w:type="dxa"/>
            <w:tcBorders>
              <w:left w:val="single" w:sz="4" w:space="0" w:color="FFFFFF" w:themeColor="background1"/>
              <w:right w:val="single" w:sz="4" w:space="0" w:color="FFFFFF" w:themeColor="background1"/>
            </w:tcBorders>
          </w:tcPr>
          <w:p w14:paraId="1F9C46D2" w14:textId="7EF07236" w:rsidR="00900790" w:rsidRDefault="00900790" w:rsidP="00D7547F">
            <w:pPr>
              <w:jc w:val="center"/>
              <w:rPr>
                <w:rFonts w:ascii="Calibri" w:hAnsi="Calibri"/>
                <w:sz w:val="18"/>
                <w:szCs w:val="18"/>
              </w:rPr>
            </w:pPr>
            <w:r>
              <w:rPr>
                <w:rFonts w:ascii="Calibri" w:hAnsi="Calibri"/>
                <w:sz w:val="18"/>
                <w:szCs w:val="18"/>
              </w:rPr>
              <w:t>82</w:t>
            </w:r>
          </w:p>
        </w:tc>
        <w:tc>
          <w:tcPr>
            <w:tcW w:w="992" w:type="dxa"/>
            <w:tcBorders>
              <w:left w:val="single" w:sz="4" w:space="0" w:color="FFFFFF" w:themeColor="background1"/>
              <w:right w:val="single" w:sz="4" w:space="0" w:color="FFFFFF" w:themeColor="background1"/>
            </w:tcBorders>
          </w:tcPr>
          <w:p w14:paraId="495596FE" w14:textId="695A8676" w:rsidR="00900790" w:rsidRDefault="00900790"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right w:val="single" w:sz="4" w:space="0" w:color="FFFFFF" w:themeColor="background1"/>
            </w:tcBorders>
          </w:tcPr>
          <w:p w14:paraId="205022F8" w14:textId="77777777" w:rsidR="00900790" w:rsidRDefault="00900790" w:rsidP="0097597C">
            <w:pPr>
              <w:pStyle w:val="ListParagraph"/>
              <w:numPr>
                <w:ilvl w:val="0"/>
                <w:numId w:val="9"/>
              </w:numPr>
              <w:ind w:left="170" w:hanging="170"/>
              <w:rPr>
                <w:rFonts w:ascii="Calibri" w:hAnsi="Calibri"/>
                <w:sz w:val="18"/>
                <w:szCs w:val="18"/>
              </w:rPr>
            </w:pPr>
            <w:r>
              <w:rPr>
                <w:rFonts w:ascii="Calibri" w:hAnsi="Calibri"/>
                <w:sz w:val="18"/>
                <w:szCs w:val="18"/>
              </w:rPr>
              <w:t xml:space="preserve">This update to Callinan </w:t>
            </w:r>
            <w:r>
              <w:rPr>
                <w:rFonts w:ascii="Calibri" w:hAnsi="Calibri"/>
                <w:i/>
                <w:sz w:val="18"/>
                <w:szCs w:val="18"/>
              </w:rPr>
              <w:t>et al</w:t>
            </w:r>
            <w:r>
              <w:rPr>
                <w:rFonts w:ascii="Calibri" w:hAnsi="Calibri"/>
                <w:sz w:val="18"/>
                <w:szCs w:val="18"/>
              </w:rPr>
              <w:t>.</w:t>
            </w:r>
            <w:r>
              <w:rPr>
                <w:rFonts w:ascii="Calibri" w:hAnsi="Calibri"/>
                <w:i/>
                <w:sz w:val="18"/>
                <w:szCs w:val="18"/>
              </w:rPr>
              <w:t xml:space="preserve"> </w:t>
            </w:r>
            <w:r>
              <w:rPr>
                <w:rFonts w:ascii="Calibri" w:hAnsi="Calibri"/>
                <w:sz w:val="18"/>
                <w:szCs w:val="18"/>
              </w:rPr>
              <w:t>2010 found that smoke-free policies:</w:t>
            </w:r>
          </w:p>
          <w:p w14:paraId="49158D95" w14:textId="5DCB753D" w:rsidR="00900790" w:rsidRDefault="00900790" w:rsidP="00E64DAC">
            <w:pPr>
              <w:pStyle w:val="ListParagraph"/>
              <w:numPr>
                <w:ilvl w:val="0"/>
                <w:numId w:val="16"/>
              </w:numPr>
              <w:ind w:left="340" w:hanging="170"/>
              <w:rPr>
                <w:rFonts w:ascii="Calibri" w:hAnsi="Calibri"/>
                <w:sz w:val="18"/>
                <w:szCs w:val="18"/>
              </w:rPr>
            </w:pPr>
            <w:r>
              <w:rPr>
                <w:rFonts w:ascii="Calibri" w:hAnsi="Calibri"/>
                <w:sz w:val="18"/>
                <w:szCs w:val="18"/>
              </w:rPr>
              <w:t xml:space="preserve">Reduce self-reported SHS exposure by 50% </w:t>
            </w:r>
            <w:r w:rsidR="00312134">
              <w:rPr>
                <w:rFonts w:ascii="Calibri" w:hAnsi="Calibri"/>
                <w:sz w:val="18"/>
                <w:szCs w:val="18"/>
              </w:rPr>
              <w:t>(IQR = -60 to -43) and</w:t>
            </w:r>
            <w:r>
              <w:rPr>
                <w:rFonts w:ascii="Calibri" w:hAnsi="Calibri"/>
                <w:sz w:val="18"/>
                <w:szCs w:val="18"/>
              </w:rPr>
              <w:t xml:space="preserve"> biomarker-validated SHS exposure by 50% (IQR = </w:t>
            </w:r>
            <w:r w:rsidR="006812F1">
              <w:rPr>
                <w:rFonts w:ascii="Calibri" w:hAnsi="Calibri"/>
                <w:sz w:val="18"/>
                <w:szCs w:val="18"/>
              </w:rPr>
              <w:t>-79 to -12)</w:t>
            </w:r>
          </w:p>
          <w:p w14:paraId="59F69F46" w14:textId="04973E48" w:rsidR="006812F1" w:rsidRDefault="006812F1" w:rsidP="00E64DAC">
            <w:pPr>
              <w:pStyle w:val="ListParagraph"/>
              <w:numPr>
                <w:ilvl w:val="0"/>
                <w:numId w:val="16"/>
              </w:numPr>
              <w:ind w:left="340" w:hanging="170"/>
              <w:rPr>
                <w:rFonts w:ascii="Calibri" w:hAnsi="Calibri"/>
                <w:sz w:val="18"/>
                <w:szCs w:val="18"/>
              </w:rPr>
            </w:pPr>
            <w:r>
              <w:rPr>
                <w:rFonts w:ascii="Calibri" w:hAnsi="Calibri"/>
                <w:sz w:val="18"/>
                <w:szCs w:val="18"/>
              </w:rPr>
              <w:t>Reduce prevalence of tobacco use by 2.7%</w:t>
            </w:r>
            <w:r w:rsidR="00AC5ABA">
              <w:rPr>
                <w:rFonts w:ascii="Calibri" w:hAnsi="Calibri"/>
                <w:sz w:val="18"/>
                <w:szCs w:val="18"/>
              </w:rPr>
              <w:t xml:space="preserve"> in adults</w:t>
            </w:r>
            <w:r>
              <w:rPr>
                <w:rFonts w:ascii="Calibri" w:hAnsi="Calibri"/>
                <w:sz w:val="18"/>
                <w:szCs w:val="18"/>
              </w:rPr>
              <w:t xml:space="preserve"> (IQR = -4.7 to -1.5)</w:t>
            </w:r>
          </w:p>
          <w:p w14:paraId="615D8B49" w14:textId="3F7EE661" w:rsidR="006812F1" w:rsidRDefault="006812F1" w:rsidP="00E64DAC">
            <w:pPr>
              <w:pStyle w:val="ListParagraph"/>
              <w:numPr>
                <w:ilvl w:val="0"/>
                <w:numId w:val="16"/>
              </w:numPr>
              <w:ind w:left="340" w:hanging="170"/>
              <w:rPr>
                <w:rFonts w:ascii="Calibri" w:hAnsi="Calibri"/>
                <w:sz w:val="18"/>
                <w:szCs w:val="18"/>
              </w:rPr>
            </w:pPr>
            <w:r>
              <w:rPr>
                <w:rFonts w:ascii="Calibri" w:hAnsi="Calibri"/>
                <w:sz w:val="18"/>
                <w:szCs w:val="18"/>
              </w:rPr>
              <w:t>Reduce prevalence of tobacco use in young people (median OR = 0.85, IQR = 0.68 to 0.93)</w:t>
            </w:r>
          </w:p>
          <w:p w14:paraId="46D75FCB" w14:textId="32D4F63E" w:rsidR="006812F1" w:rsidRDefault="006812F1" w:rsidP="00E64DAC">
            <w:pPr>
              <w:pStyle w:val="ListParagraph"/>
              <w:numPr>
                <w:ilvl w:val="0"/>
                <w:numId w:val="16"/>
              </w:numPr>
              <w:ind w:left="340" w:hanging="170"/>
              <w:rPr>
                <w:rFonts w:ascii="Calibri" w:hAnsi="Calibri"/>
                <w:sz w:val="18"/>
                <w:szCs w:val="18"/>
              </w:rPr>
            </w:pPr>
            <w:r>
              <w:rPr>
                <w:rFonts w:ascii="Calibri" w:hAnsi="Calibri"/>
                <w:sz w:val="18"/>
                <w:szCs w:val="18"/>
              </w:rPr>
              <w:t>Increase cessation by 3.8% (IQR = 2 to 17.4)</w:t>
            </w:r>
          </w:p>
          <w:p w14:paraId="0258E3E5" w14:textId="554E9361" w:rsidR="006812F1" w:rsidRDefault="006812F1" w:rsidP="00E64DAC">
            <w:pPr>
              <w:pStyle w:val="ListParagraph"/>
              <w:numPr>
                <w:ilvl w:val="0"/>
                <w:numId w:val="16"/>
              </w:numPr>
              <w:ind w:left="340" w:hanging="170"/>
              <w:rPr>
                <w:rFonts w:ascii="Calibri" w:hAnsi="Calibri"/>
                <w:sz w:val="18"/>
                <w:szCs w:val="18"/>
              </w:rPr>
            </w:pPr>
            <w:r>
              <w:rPr>
                <w:rFonts w:ascii="Calibri" w:hAnsi="Calibri"/>
                <w:sz w:val="18"/>
                <w:szCs w:val="18"/>
              </w:rPr>
              <w:t>Reduce tobacco consumption by 1.2 cigarettes/day (range = -3.6 to 0)</w:t>
            </w:r>
          </w:p>
          <w:p w14:paraId="738E6AA8" w14:textId="26EA4D37" w:rsidR="00900790" w:rsidRPr="00E64DAC" w:rsidRDefault="006812F1" w:rsidP="00E64DAC">
            <w:pPr>
              <w:pStyle w:val="ListParagraph"/>
              <w:numPr>
                <w:ilvl w:val="0"/>
                <w:numId w:val="16"/>
              </w:numPr>
              <w:ind w:left="340" w:hanging="170"/>
              <w:rPr>
                <w:rFonts w:ascii="Calibri" w:hAnsi="Calibri"/>
                <w:sz w:val="18"/>
                <w:szCs w:val="18"/>
              </w:rPr>
            </w:pPr>
            <w:r>
              <w:rPr>
                <w:rFonts w:ascii="Calibri" w:hAnsi="Calibri"/>
                <w:sz w:val="18"/>
                <w:szCs w:val="18"/>
              </w:rPr>
              <w:t>Reduce hospital admissions for cardiovascular events (median relative reduction = 5.1%, IQR = -11.6 to -2.2) and asthma (median relative reduction = 20.1%, IQR = -22.0 to -1.3)</w:t>
            </w:r>
          </w:p>
        </w:tc>
        <w:tc>
          <w:tcPr>
            <w:tcW w:w="1333" w:type="dxa"/>
            <w:tcBorders>
              <w:left w:val="single" w:sz="4" w:space="0" w:color="FFFFFF" w:themeColor="background1"/>
              <w:right w:val="single" w:sz="4" w:space="0" w:color="FFFFFF" w:themeColor="background1"/>
            </w:tcBorders>
          </w:tcPr>
          <w:p w14:paraId="399EADD0" w14:textId="5766372B" w:rsidR="00900790" w:rsidRDefault="00AC5ABA" w:rsidP="00B75BA1">
            <w:pPr>
              <w:rPr>
                <w:rFonts w:ascii="Calibri" w:hAnsi="Calibri"/>
                <w:sz w:val="18"/>
                <w:szCs w:val="18"/>
              </w:rPr>
            </w:pPr>
            <w:r>
              <w:rPr>
                <w:rFonts w:ascii="Calibri" w:hAnsi="Calibri"/>
                <w:sz w:val="18"/>
                <w:szCs w:val="18"/>
              </w:rPr>
              <w:t>2/10 (Authors)</w:t>
            </w:r>
          </w:p>
        </w:tc>
      </w:tr>
      <w:tr w:rsidR="0081624F" w:rsidRPr="005573A3" w14:paraId="1D15137E"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2EA3E55B" w14:textId="4F82DA44"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60A29146" w14:textId="59B2C6C5" w:rsidR="0081624F" w:rsidRPr="00FD05FA" w:rsidRDefault="0081624F">
            <w:pPr>
              <w:rPr>
                <w:rFonts w:ascii="Calibri" w:hAnsi="Calibri"/>
                <w:sz w:val="18"/>
                <w:szCs w:val="18"/>
              </w:rPr>
            </w:pPr>
            <w:r>
              <w:rPr>
                <w:rFonts w:ascii="Calibri" w:hAnsi="Calibri"/>
                <w:sz w:val="18"/>
                <w:szCs w:val="18"/>
              </w:rPr>
              <w:t xml:space="preserve">Lin </w:t>
            </w:r>
            <w:r>
              <w:rPr>
                <w:rFonts w:ascii="Calibri" w:hAnsi="Calibri"/>
                <w:i/>
                <w:sz w:val="18"/>
                <w:szCs w:val="18"/>
              </w:rPr>
              <w:t>et al.</w:t>
            </w:r>
            <w:r>
              <w:rPr>
                <w:rFonts w:ascii="Calibri" w:hAnsi="Calibri"/>
                <w:sz w:val="18"/>
                <w:szCs w:val="18"/>
              </w:rPr>
              <w:t xml:space="preserve"> 2013</w:t>
            </w:r>
          </w:p>
        </w:tc>
        <w:tc>
          <w:tcPr>
            <w:tcW w:w="992" w:type="dxa"/>
            <w:tcBorders>
              <w:left w:val="single" w:sz="4" w:space="0" w:color="FFFFFF" w:themeColor="background1"/>
              <w:right w:val="single" w:sz="4" w:space="0" w:color="FFFFFF" w:themeColor="background1"/>
            </w:tcBorders>
          </w:tcPr>
          <w:p w14:paraId="57AC13A1" w14:textId="708617FE" w:rsidR="0081624F" w:rsidRDefault="0081624F" w:rsidP="00D7547F">
            <w:pPr>
              <w:jc w:val="center"/>
              <w:rPr>
                <w:rFonts w:ascii="Calibri" w:hAnsi="Calibri"/>
                <w:sz w:val="18"/>
                <w:szCs w:val="18"/>
              </w:rPr>
            </w:pPr>
            <w:r>
              <w:rPr>
                <w:rFonts w:ascii="Calibri" w:hAnsi="Calibri"/>
                <w:sz w:val="18"/>
                <w:szCs w:val="18"/>
              </w:rPr>
              <w:t>18</w:t>
            </w:r>
          </w:p>
        </w:tc>
        <w:tc>
          <w:tcPr>
            <w:tcW w:w="992" w:type="dxa"/>
            <w:tcBorders>
              <w:left w:val="single" w:sz="4" w:space="0" w:color="FFFFFF" w:themeColor="background1"/>
              <w:right w:val="single" w:sz="4" w:space="0" w:color="FFFFFF" w:themeColor="background1"/>
            </w:tcBorders>
          </w:tcPr>
          <w:p w14:paraId="7F79E239" w14:textId="383BC2A1" w:rsidR="0081624F" w:rsidRDefault="0081624F"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right w:val="single" w:sz="4" w:space="0" w:color="FFFFFF" w:themeColor="background1"/>
            </w:tcBorders>
          </w:tcPr>
          <w:p w14:paraId="55B0DB62" w14:textId="1E5C53CB"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Smoke-free legislation reduces </w:t>
            </w:r>
            <w:r w:rsidR="004A0AB3">
              <w:rPr>
                <w:rFonts w:ascii="Calibri" w:hAnsi="Calibri"/>
                <w:sz w:val="18"/>
                <w:szCs w:val="18"/>
              </w:rPr>
              <w:t xml:space="preserve">occurrence of </w:t>
            </w:r>
            <w:r w:rsidRPr="0097597C">
              <w:rPr>
                <w:rFonts w:ascii="Calibri" w:hAnsi="Calibri"/>
                <w:sz w:val="18"/>
                <w:szCs w:val="18"/>
              </w:rPr>
              <w:t>acute myocardial infarction (</w:t>
            </w:r>
            <w:r w:rsidR="004A0AB3">
              <w:rPr>
                <w:rFonts w:ascii="Calibri" w:hAnsi="Calibri"/>
                <w:sz w:val="18"/>
                <w:szCs w:val="18"/>
              </w:rPr>
              <w:t>RR</w:t>
            </w:r>
            <w:r w:rsidRPr="0097597C">
              <w:rPr>
                <w:rFonts w:ascii="Calibri" w:hAnsi="Calibri"/>
                <w:sz w:val="18"/>
                <w:szCs w:val="18"/>
              </w:rPr>
              <w:t xml:space="preserve"> = 0.87, 95% CI = 0.84 to 0.91), with greater reductions in populations with larger decreases in smoking prevalence</w:t>
            </w:r>
          </w:p>
          <w:p w14:paraId="01E8A3A4" w14:textId="47FA1C1C"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Indicates that protective effect of legislation may be caused by decrease in smoking behaviour</w:t>
            </w:r>
          </w:p>
        </w:tc>
        <w:tc>
          <w:tcPr>
            <w:tcW w:w="1333" w:type="dxa"/>
            <w:tcBorders>
              <w:left w:val="single" w:sz="4" w:space="0" w:color="FFFFFF" w:themeColor="background1"/>
              <w:right w:val="single" w:sz="4" w:space="0" w:color="FFFFFF" w:themeColor="background1"/>
            </w:tcBorders>
          </w:tcPr>
          <w:p w14:paraId="5B6DC46B" w14:textId="570766BD" w:rsidR="0081624F" w:rsidRDefault="004C4F33" w:rsidP="005023B5">
            <w:pPr>
              <w:rPr>
                <w:rFonts w:ascii="Calibri" w:hAnsi="Calibri"/>
                <w:sz w:val="18"/>
                <w:szCs w:val="18"/>
              </w:rPr>
            </w:pPr>
            <w:r>
              <w:rPr>
                <w:rFonts w:ascii="Calibri" w:hAnsi="Calibri"/>
                <w:sz w:val="18"/>
                <w:szCs w:val="18"/>
              </w:rPr>
              <w:t>5/10 (HE)</w:t>
            </w:r>
          </w:p>
        </w:tc>
      </w:tr>
      <w:tr w:rsidR="0081624F" w:rsidRPr="005573A3" w14:paraId="52B5AD27"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771904AE"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15D58B9D" w14:textId="51FD5240" w:rsidR="0081624F" w:rsidRDefault="0081624F" w:rsidP="004C4F33">
            <w:pPr>
              <w:rPr>
                <w:rFonts w:ascii="Calibri" w:hAnsi="Calibri"/>
                <w:sz w:val="18"/>
                <w:szCs w:val="18"/>
              </w:rPr>
            </w:pPr>
            <w:r>
              <w:rPr>
                <w:rFonts w:ascii="Calibri" w:hAnsi="Calibri"/>
                <w:sz w:val="18"/>
                <w:szCs w:val="18"/>
              </w:rPr>
              <w:t xml:space="preserve">Kohler </w:t>
            </w:r>
            <w:r w:rsidR="004C4F33">
              <w:rPr>
                <w:rFonts w:ascii="Calibri" w:hAnsi="Calibri"/>
                <w:sz w:val="18"/>
                <w:szCs w:val="18"/>
              </w:rPr>
              <w:t xml:space="preserve">&amp; </w:t>
            </w:r>
            <w:r>
              <w:rPr>
                <w:rFonts w:ascii="Calibri" w:hAnsi="Calibri"/>
                <w:sz w:val="18"/>
                <w:szCs w:val="18"/>
              </w:rPr>
              <w:t>Minkner 2014</w:t>
            </w:r>
          </w:p>
        </w:tc>
        <w:tc>
          <w:tcPr>
            <w:tcW w:w="992" w:type="dxa"/>
            <w:tcBorders>
              <w:left w:val="single" w:sz="4" w:space="0" w:color="FFFFFF" w:themeColor="background1"/>
              <w:right w:val="single" w:sz="4" w:space="0" w:color="FFFFFF" w:themeColor="background1"/>
            </w:tcBorders>
          </w:tcPr>
          <w:p w14:paraId="3C59B803" w14:textId="3F2890C6" w:rsidR="0081624F" w:rsidRDefault="005514C1" w:rsidP="00D7547F">
            <w:pPr>
              <w:jc w:val="center"/>
              <w:rPr>
                <w:rFonts w:ascii="Calibri" w:hAnsi="Calibri"/>
                <w:sz w:val="18"/>
                <w:szCs w:val="18"/>
              </w:rPr>
            </w:pPr>
            <w:r>
              <w:rPr>
                <w:rFonts w:ascii="Calibri" w:hAnsi="Calibri"/>
                <w:sz w:val="18"/>
                <w:szCs w:val="18"/>
              </w:rPr>
              <w:t>71</w:t>
            </w:r>
          </w:p>
        </w:tc>
        <w:tc>
          <w:tcPr>
            <w:tcW w:w="992" w:type="dxa"/>
            <w:tcBorders>
              <w:left w:val="single" w:sz="4" w:space="0" w:color="FFFFFF" w:themeColor="background1"/>
              <w:right w:val="single" w:sz="4" w:space="0" w:color="FFFFFF" w:themeColor="background1"/>
            </w:tcBorders>
          </w:tcPr>
          <w:p w14:paraId="58F52AD9" w14:textId="0AEBB906" w:rsidR="0081624F" w:rsidRDefault="0081624F" w:rsidP="00D7547F">
            <w:pPr>
              <w:jc w:val="center"/>
              <w:rPr>
                <w:rFonts w:ascii="Calibri" w:hAnsi="Calibri"/>
                <w:sz w:val="18"/>
                <w:szCs w:val="18"/>
              </w:rPr>
            </w:pPr>
            <w:r>
              <w:rPr>
                <w:rFonts w:ascii="Calibri" w:hAnsi="Calibri"/>
                <w:sz w:val="18"/>
                <w:szCs w:val="18"/>
              </w:rPr>
              <w:t>2013</w:t>
            </w:r>
          </w:p>
        </w:tc>
        <w:tc>
          <w:tcPr>
            <w:tcW w:w="7796" w:type="dxa"/>
            <w:tcBorders>
              <w:left w:val="single" w:sz="4" w:space="0" w:color="FFFFFF" w:themeColor="background1"/>
              <w:right w:val="single" w:sz="4" w:space="0" w:color="FFFFFF" w:themeColor="background1"/>
            </w:tcBorders>
          </w:tcPr>
          <w:p w14:paraId="066BFF45" w14:textId="77777777"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In a study of state smoke-free policies in Germany, there was no correlation between smoking prevalence and either the maximum fine for violating a smoking ban (Spearman’s ρ = -0.01, p = 0.99) or the maximum fine for failing to enforce a smoking ban (Spearman’s ρ = -0.14, p = 0.61)</w:t>
            </w:r>
          </w:p>
          <w:p w14:paraId="5079A5EA" w14:textId="3D3AB118"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Earlier ratification of a smoking ban was correlated with greater reduction in smoking prevalence (Spearman’s ρ = 0.51, p = 0.04)</w:t>
            </w:r>
          </w:p>
        </w:tc>
        <w:tc>
          <w:tcPr>
            <w:tcW w:w="1333" w:type="dxa"/>
            <w:tcBorders>
              <w:left w:val="single" w:sz="4" w:space="0" w:color="FFFFFF" w:themeColor="background1"/>
              <w:right w:val="single" w:sz="4" w:space="0" w:color="FFFFFF" w:themeColor="background1"/>
            </w:tcBorders>
          </w:tcPr>
          <w:p w14:paraId="3487A445" w14:textId="7E49492C" w:rsidR="0081624F" w:rsidRDefault="004C4F33" w:rsidP="005023B5">
            <w:pPr>
              <w:rPr>
                <w:rFonts w:ascii="Calibri" w:hAnsi="Calibri"/>
                <w:sz w:val="18"/>
                <w:szCs w:val="18"/>
              </w:rPr>
            </w:pPr>
            <w:r>
              <w:rPr>
                <w:rFonts w:ascii="Calibri" w:hAnsi="Calibri"/>
                <w:sz w:val="18"/>
                <w:szCs w:val="18"/>
              </w:rPr>
              <w:t>5/10 (HE)</w:t>
            </w:r>
          </w:p>
        </w:tc>
      </w:tr>
      <w:tr w:rsidR="0081624F" w:rsidRPr="005573A3" w14:paraId="1E4657CC" w14:textId="77777777" w:rsidTr="00A923F0">
        <w:trPr>
          <w:cantSplit/>
          <w:trHeight w:val="302"/>
          <w:jc w:val="center"/>
        </w:trPr>
        <w:tc>
          <w:tcPr>
            <w:tcW w:w="1172" w:type="dxa"/>
            <w:vMerge/>
            <w:tcBorders>
              <w:left w:val="single" w:sz="4" w:space="0" w:color="FFFFFF" w:themeColor="background1"/>
              <w:bottom w:val="single" w:sz="12" w:space="0" w:color="auto"/>
              <w:right w:val="single" w:sz="4" w:space="0" w:color="FFFFFF" w:themeColor="background1"/>
            </w:tcBorders>
          </w:tcPr>
          <w:p w14:paraId="50F83314" w14:textId="77777777" w:rsidR="0081624F" w:rsidRPr="00F0774B" w:rsidRDefault="0081624F">
            <w:pPr>
              <w:rPr>
                <w:rFonts w:ascii="Calibri" w:hAnsi="Calibri"/>
                <w:b/>
                <w:sz w:val="18"/>
                <w:szCs w:val="18"/>
              </w:rPr>
            </w:pPr>
          </w:p>
        </w:tc>
        <w:tc>
          <w:tcPr>
            <w:tcW w:w="1235" w:type="dxa"/>
            <w:tcBorders>
              <w:left w:val="single" w:sz="4" w:space="0" w:color="FFFFFF" w:themeColor="background1"/>
              <w:bottom w:val="single" w:sz="12" w:space="0" w:color="auto"/>
              <w:right w:val="single" w:sz="4" w:space="0" w:color="FFFFFF" w:themeColor="background1"/>
            </w:tcBorders>
          </w:tcPr>
          <w:p w14:paraId="5CCC5E9B" w14:textId="3A804C22" w:rsidR="0081624F" w:rsidRDefault="0081624F">
            <w:pPr>
              <w:rPr>
                <w:rFonts w:ascii="Calibri" w:hAnsi="Calibri"/>
                <w:sz w:val="18"/>
                <w:szCs w:val="18"/>
              </w:rPr>
            </w:pPr>
            <w:r>
              <w:rPr>
                <w:rFonts w:ascii="Calibri" w:hAnsi="Calibri"/>
                <w:sz w:val="18"/>
                <w:szCs w:val="18"/>
              </w:rPr>
              <w:t xml:space="preserve">Been </w:t>
            </w:r>
            <w:r w:rsidRPr="00A2260E">
              <w:rPr>
                <w:rFonts w:ascii="Calibri" w:hAnsi="Calibri"/>
                <w:i/>
                <w:sz w:val="18"/>
                <w:szCs w:val="18"/>
              </w:rPr>
              <w:t>et al</w:t>
            </w:r>
            <w:r>
              <w:rPr>
                <w:rFonts w:ascii="Calibri" w:hAnsi="Calibri"/>
                <w:i/>
                <w:sz w:val="18"/>
                <w:szCs w:val="18"/>
              </w:rPr>
              <w:t>.</w:t>
            </w:r>
            <w:r>
              <w:rPr>
                <w:rFonts w:ascii="Calibri" w:hAnsi="Calibri"/>
                <w:sz w:val="18"/>
                <w:szCs w:val="18"/>
              </w:rPr>
              <w:t xml:space="preserve"> 2014</w:t>
            </w:r>
          </w:p>
        </w:tc>
        <w:tc>
          <w:tcPr>
            <w:tcW w:w="992" w:type="dxa"/>
            <w:tcBorders>
              <w:left w:val="single" w:sz="4" w:space="0" w:color="FFFFFF" w:themeColor="background1"/>
              <w:bottom w:val="single" w:sz="12" w:space="0" w:color="auto"/>
              <w:right w:val="single" w:sz="4" w:space="0" w:color="FFFFFF" w:themeColor="background1"/>
            </w:tcBorders>
          </w:tcPr>
          <w:p w14:paraId="27564012" w14:textId="32479693" w:rsidR="0081624F" w:rsidRDefault="0081624F" w:rsidP="00D7547F">
            <w:pPr>
              <w:jc w:val="center"/>
              <w:rPr>
                <w:rFonts w:ascii="Calibri" w:hAnsi="Calibri"/>
                <w:sz w:val="18"/>
                <w:szCs w:val="18"/>
              </w:rPr>
            </w:pPr>
            <w:r>
              <w:rPr>
                <w:rFonts w:ascii="Calibri" w:hAnsi="Calibri"/>
                <w:sz w:val="18"/>
                <w:szCs w:val="18"/>
              </w:rPr>
              <w:t>11</w:t>
            </w:r>
          </w:p>
        </w:tc>
        <w:tc>
          <w:tcPr>
            <w:tcW w:w="992" w:type="dxa"/>
            <w:tcBorders>
              <w:left w:val="single" w:sz="4" w:space="0" w:color="FFFFFF" w:themeColor="background1"/>
              <w:bottom w:val="single" w:sz="12" w:space="0" w:color="auto"/>
              <w:right w:val="single" w:sz="4" w:space="0" w:color="FFFFFF" w:themeColor="background1"/>
            </w:tcBorders>
          </w:tcPr>
          <w:p w14:paraId="32E4AB43" w14:textId="7F68416B" w:rsidR="0081624F" w:rsidRDefault="0081624F" w:rsidP="00D7547F">
            <w:pPr>
              <w:jc w:val="center"/>
              <w:rPr>
                <w:rFonts w:ascii="Calibri" w:hAnsi="Calibri"/>
                <w:sz w:val="18"/>
                <w:szCs w:val="18"/>
              </w:rPr>
            </w:pPr>
            <w:r>
              <w:rPr>
                <w:rFonts w:ascii="Calibri" w:hAnsi="Calibri"/>
                <w:sz w:val="18"/>
                <w:szCs w:val="18"/>
              </w:rPr>
              <w:t>2013</w:t>
            </w:r>
          </w:p>
        </w:tc>
        <w:tc>
          <w:tcPr>
            <w:tcW w:w="7796" w:type="dxa"/>
            <w:tcBorders>
              <w:left w:val="single" w:sz="4" w:space="0" w:color="FFFFFF" w:themeColor="background1"/>
              <w:bottom w:val="single" w:sz="12" w:space="0" w:color="auto"/>
              <w:right w:val="single" w:sz="4" w:space="0" w:color="FFFFFF" w:themeColor="background1"/>
            </w:tcBorders>
          </w:tcPr>
          <w:p w14:paraId="16EAADB0" w14:textId="5385D391"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Smoke-free legislation is associated with reductions in preterm birth</w:t>
            </w:r>
            <w:r>
              <w:rPr>
                <w:rFonts w:ascii="Calibri" w:hAnsi="Calibri"/>
                <w:sz w:val="18"/>
                <w:szCs w:val="18"/>
              </w:rPr>
              <w:t>s</w:t>
            </w:r>
            <w:r w:rsidRPr="0097597C">
              <w:rPr>
                <w:rFonts w:ascii="Calibri" w:hAnsi="Calibri"/>
                <w:sz w:val="18"/>
                <w:szCs w:val="18"/>
              </w:rPr>
              <w:t xml:space="preserve"> (-10.4%, 95% CI = -18.8 to -2.0) and hospital admissions for asthma (-10.1%, 95% CI = -15.2 to -5.0)</w:t>
            </w:r>
          </w:p>
          <w:p w14:paraId="098AF013" w14:textId="1EA5290C"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No association was found with low birth weight (-1.7%, 95% CI = -5.1 to 1.6) </w:t>
            </w:r>
          </w:p>
        </w:tc>
        <w:tc>
          <w:tcPr>
            <w:tcW w:w="1333" w:type="dxa"/>
            <w:tcBorders>
              <w:left w:val="single" w:sz="4" w:space="0" w:color="FFFFFF" w:themeColor="background1"/>
              <w:bottom w:val="single" w:sz="12" w:space="0" w:color="auto"/>
              <w:right w:val="single" w:sz="4" w:space="0" w:color="FFFFFF" w:themeColor="background1"/>
            </w:tcBorders>
          </w:tcPr>
          <w:p w14:paraId="628187DF" w14:textId="12D2B088" w:rsidR="0081624F" w:rsidRDefault="004C4F33" w:rsidP="005023B5">
            <w:pPr>
              <w:rPr>
                <w:rFonts w:ascii="Calibri" w:hAnsi="Calibri"/>
                <w:sz w:val="18"/>
                <w:szCs w:val="18"/>
              </w:rPr>
            </w:pPr>
            <w:r>
              <w:rPr>
                <w:rFonts w:ascii="Calibri" w:hAnsi="Calibri"/>
                <w:sz w:val="18"/>
                <w:szCs w:val="18"/>
              </w:rPr>
              <w:t>11/11 (Authors)</w:t>
            </w:r>
          </w:p>
        </w:tc>
      </w:tr>
      <w:tr w:rsidR="0081624F" w:rsidRPr="005573A3" w14:paraId="403AE361" w14:textId="77777777" w:rsidTr="00A923F0">
        <w:trPr>
          <w:cantSplit/>
          <w:trHeight w:val="302"/>
          <w:jc w:val="center"/>
        </w:trPr>
        <w:tc>
          <w:tcPr>
            <w:tcW w:w="1172" w:type="dxa"/>
            <w:vMerge w:val="restart"/>
            <w:tcBorders>
              <w:top w:val="single" w:sz="12" w:space="0" w:color="auto"/>
              <w:left w:val="single" w:sz="4" w:space="0" w:color="FFFFFF" w:themeColor="background1"/>
              <w:right w:val="single" w:sz="4" w:space="0" w:color="FFFFFF" w:themeColor="background1"/>
            </w:tcBorders>
          </w:tcPr>
          <w:p w14:paraId="54295F37" w14:textId="208C1108" w:rsidR="0081624F" w:rsidRPr="00F0774B" w:rsidRDefault="0081624F">
            <w:pPr>
              <w:rPr>
                <w:rFonts w:ascii="Calibri" w:hAnsi="Calibri"/>
                <w:b/>
                <w:sz w:val="18"/>
                <w:szCs w:val="18"/>
              </w:rPr>
            </w:pPr>
            <w:r w:rsidRPr="00F0774B">
              <w:rPr>
                <w:rFonts w:ascii="Calibri" w:hAnsi="Calibri"/>
                <w:b/>
                <w:sz w:val="18"/>
                <w:szCs w:val="18"/>
              </w:rPr>
              <w:t>Offer help to quit tobacco use</w:t>
            </w:r>
          </w:p>
        </w:tc>
        <w:tc>
          <w:tcPr>
            <w:tcW w:w="1235" w:type="dxa"/>
            <w:tcBorders>
              <w:top w:val="single" w:sz="12" w:space="0" w:color="auto"/>
              <w:left w:val="single" w:sz="4" w:space="0" w:color="FFFFFF" w:themeColor="background1"/>
              <w:right w:val="single" w:sz="4" w:space="0" w:color="FFFFFF" w:themeColor="background1"/>
            </w:tcBorders>
          </w:tcPr>
          <w:p w14:paraId="5236A8D5" w14:textId="66F582A6" w:rsidR="0081624F" w:rsidRPr="0025010C" w:rsidRDefault="0081624F">
            <w:pPr>
              <w:rPr>
                <w:rFonts w:ascii="Calibri" w:hAnsi="Calibri"/>
                <w:sz w:val="18"/>
                <w:szCs w:val="18"/>
              </w:rPr>
            </w:pPr>
            <w:r w:rsidRPr="0025010C">
              <w:rPr>
                <w:rFonts w:ascii="Calibri" w:hAnsi="Calibri"/>
                <w:sz w:val="18"/>
                <w:szCs w:val="18"/>
              </w:rPr>
              <w:t xml:space="preserve">Hopkins </w:t>
            </w:r>
            <w:r w:rsidRPr="0025010C">
              <w:rPr>
                <w:rFonts w:ascii="Calibri" w:hAnsi="Calibri"/>
                <w:i/>
                <w:sz w:val="18"/>
                <w:szCs w:val="18"/>
              </w:rPr>
              <w:t>et al</w:t>
            </w:r>
            <w:r>
              <w:rPr>
                <w:rFonts w:ascii="Calibri" w:hAnsi="Calibri"/>
                <w:i/>
                <w:sz w:val="18"/>
                <w:szCs w:val="18"/>
              </w:rPr>
              <w:t>.</w:t>
            </w:r>
            <w:r w:rsidRPr="0025010C">
              <w:rPr>
                <w:rFonts w:ascii="Calibri" w:hAnsi="Calibri"/>
                <w:sz w:val="18"/>
                <w:szCs w:val="18"/>
              </w:rPr>
              <w:t xml:space="preserve"> 2001</w:t>
            </w:r>
          </w:p>
        </w:tc>
        <w:tc>
          <w:tcPr>
            <w:tcW w:w="992" w:type="dxa"/>
            <w:tcBorders>
              <w:top w:val="single" w:sz="12" w:space="0" w:color="auto"/>
              <w:left w:val="single" w:sz="4" w:space="0" w:color="FFFFFF" w:themeColor="background1"/>
              <w:right w:val="single" w:sz="4" w:space="0" w:color="FFFFFF" w:themeColor="background1"/>
            </w:tcBorders>
          </w:tcPr>
          <w:p w14:paraId="0EBACA2A" w14:textId="7FD42BAB" w:rsidR="0081624F" w:rsidRDefault="0081624F" w:rsidP="00D7547F">
            <w:pPr>
              <w:jc w:val="center"/>
              <w:rPr>
                <w:rFonts w:ascii="Calibri" w:hAnsi="Calibri"/>
                <w:sz w:val="18"/>
                <w:szCs w:val="18"/>
              </w:rPr>
            </w:pPr>
            <w:r>
              <w:rPr>
                <w:rFonts w:ascii="Calibri" w:hAnsi="Calibri"/>
                <w:sz w:val="18"/>
                <w:szCs w:val="18"/>
              </w:rPr>
              <w:t>5</w:t>
            </w:r>
          </w:p>
        </w:tc>
        <w:tc>
          <w:tcPr>
            <w:tcW w:w="992" w:type="dxa"/>
            <w:tcBorders>
              <w:top w:val="single" w:sz="12" w:space="0" w:color="auto"/>
              <w:left w:val="single" w:sz="4" w:space="0" w:color="FFFFFF" w:themeColor="background1"/>
              <w:right w:val="single" w:sz="4" w:space="0" w:color="FFFFFF" w:themeColor="background1"/>
            </w:tcBorders>
          </w:tcPr>
          <w:p w14:paraId="15F7C3C8" w14:textId="610EC57A" w:rsidR="0081624F" w:rsidRDefault="0081624F" w:rsidP="00D7547F">
            <w:pPr>
              <w:jc w:val="center"/>
              <w:rPr>
                <w:rFonts w:ascii="Calibri" w:hAnsi="Calibri"/>
                <w:sz w:val="18"/>
                <w:szCs w:val="18"/>
              </w:rPr>
            </w:pPr>
            <w:r>
              <w:rPr>
                <w:rFonts w:ascii="Calibri" w:hAnsi="Calibri"/>
                <w:sz w:val="18"/>
                <w:szCs w:val="18"/>
              </w:rPr>
              <w:t>2000</w:t>
            </w:r>
          </w:p>
        </w:tc>
        <w:tc>
          <w:tcPr>
            <w:tcW w:w="7796" w:type="dxa"/>
            <w:tcBorders>
              <w:top w:val="single" w:sz="12" w:space="0" w:color="auto"/>
              <w:left w:val="single" w:sz="4" w:space="0" w:color="FFFFFF" w:themeColor="background1"/>
              <w:right w:val="single" w:sz="4" w:space="0" w:color="FFFFFF" w:themeColor="background1"/>
            </w:tcBorders>
          </w:tcPr>
          <w:p w14:paraId="5D1E7F4F" w14:textId="27811E7C"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Programs to reduce out-of-pocket expenses for smoking cessation therapies increase use of the therapies and levels of smoking cessation</w:t>
            </w:r>
          </w:p>
        </w:tc>
        <w:tc>
          <w:tcPr>
            <w:tcW w:w="1333" w:type="dxa"/>
            <w:tcBorders>
              <w:top w:val="single" w:sz="12" w:space="0" w:color="auto"/>
              <w:left w:val="single" w:sz="4" w:space="0" w:color="FFFFFF" w:themeColor="background1"/>
              <w:right w:val="single" w:sz="4" w:space="0" w:color="FFFFFF" w:themeColor="background1"/>
            </w:tcBorders>
          </w:tcPr>
          <w:p w14:paraId="030A6114" w14:textId="01EECAA2" w:rsidR="0081624F" w:rsidRDefault="004C4F33" w:rsidP="00344E27">
            <w:pPr>
              <w:rPr>
                <w:rFonts w:ascii="Calibri" w:hAnsi="Calibri"/>
                <w:sz w:val="18"/>
                <w:szCs w:val="18"/>
              </w:rPr>
            </w:pPr>
            <w:r>
              <w:rPr>
                <w:rFonts w:ascii="Calibri" w:hAnsi="Calibri"/>
                <w:sz w:val="18"/>
                <w:szCs w:val="18"/>
              </w:rPr>
              <w:t>10/10 (HE)</w:t>
            </w:r>
          </w:p>
        </w:tc>
      </w:tr>
      <w:tr w:rsidR="0081624F" w:rsidRPr="005573A3" w14:paraId="1AA04B9A"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30FC3E3E"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7EC9335" w14:textId="40E0501D" w:rsidR="0081624F" w:rsidRPr="0025010C" w:rsidRDefault="0081624F" w:rsidP="004C4F33">
            <w:pPr>
              <w:rPr>
                <w:rFonts w:ascii="Calibri" w:hAnsi="Calibri"/>
                <w:sz w:val="18"/>
                <w:szCs w:val="18"/>
              </w:rPr>
            </w:pPr>
            <w:r>
              <w:rPr>
                <w:rFonts w:ascii="Calibri" w:hAnsi="Calibri"/>
                <w:sz w:val="18"/>
                <w:szCs w:val="18"/>
              </w:rPr>
              <w:t xml:space="preserve">Cahill </w:t>
            </w:r>
            <w:r w:rsidR="004C4F33">
              <w:rPr>
                <w:rFonts w:ascii="Calibri" w:hAnsi="Calibri"/>
                <w:sz w:val="18"/>
                <w:szCs w:val="18"/>
              </w:rPr>
              <w:t xml:space="preserve">&amp; </w:t>
            </w:r>
            <w:r>
              <w:rPr>
                <w:rFonts w:ascii="Calibri" w:hAnsi="Calibri"/>
                <w:sz w:val="18"/>
                <w:szCs w:val="18"/>
              </w:rPr>
              <w:t>Perera 2008</w:t>
            </w:r>
          </w:p>
        </w:tc>
        <w:tc>
          <w:tcPr>
            <w:tcW w:w="992" w:type="dxa"/>
            <w:tcBorders>
              <w:left w:val="single" w:sz="4" w:space="0" w:color="FFFFFF" w:themeColor="background1"/>
              <w:right w:val="single" w:sz="4" w:space="0" w:color="FFFFFF" w:themeColor="background1"/>
            </w:tcBorders>
          </w:tcPr>
          <w:p w14:paraId="29D84B6C" w14:textId="7594EF5C" w:rsidR="0081624F" w:rsidRDefault="0081624F" w:rsidP="00D7547F">
            <w:pPr>
              <w:jc w:val="center"/>
              <w:rPr>
                <w:rFonts w:ascii="Calibri" w:hAnsi="Calibri"/>
                <w:sz w:val="18"/>
                <w:szCs w:val="18"/>
              </w:rPr>
            </w:pPr>
            <w:r>
              <w:rPr>
                <w:rFonts w:ascii="Calibri" w:hAnsi="Calibri"/>
                <w:sz w:val="18"/>
                <w:szCs w:val="18"/>
              </w:rPr>
              <w:t>5</w:t>
            </w:r>
          </w:p>
        </w:tc>
        <w:tc>
          <w:tcPr>
            <w:tcW w:w="992" w:type="dxa"/>
            <w:tcBorders>
              <w:left w:val="single" w:sz="4" w:space="0" w:color="FFFFFF" w:themeColor="background1"/>
              <w:right w:val="single" w:sz="4" w:space="0" w:color="FFFFFF" w:themeColor="background1"/>
            </w:tcBorders>
          </w:tcPr>
          <w:p w14:paraId="69D228AD" w14:textId="3FE35EDB" w:rsidR="0081624F" w:rsidRDefault="0081624F" w:rsidP="00D7547F">
            <w:pPr>
              <w:jc w:val="center"/>
              <w:rPr>
                <w:rFonts w:ascii="Calibri" w:hAnsi="Calibri"/>
                <w:sz w:val="18"/>
                <w:szCs w:val="18"/>
              </w:rPr>
            </w:pPr>
            <w:r>
              <w:rPr>
                <w:rFonts w:ascii="Calibri" w:hAnsi="Calibri"/>
                <w:sz w:val="18"/>
                <w:szCs w:val="18"/>
              </w:rPr>
              <w:t>2007</w:t>
            </w:r>
          </w:p>
        </w:tc>
        <w:tc>
          <w:tcPr>
            <w:tcW w:w="7796" w:type="dxa"/>
            <w:tcBorders>
              <w:left w:val="single" w:sz="4" w:space="0" w:color="FFFFFF" w:themeColor="background1"/>
              <w:right w:val="single" w:sz="4" w:space="0" w:color="FFFFFF" w:themeColor="background1"/>
            </w:tcBorders>
          </w:tcPr>
          <w:p w14:paraId="71F9130F" w14:textId="786E4944" w:rsidR="0081624F" w:rsidRDefault="0081624F" w:rsidP="0097597C">
            <w:pPr>
              <w:pStyle w:val="ListParagraph"/>
              <w:numPr>
                <w:ilvl w:val="0"/>
                <w:numId w:val="9"/>
              </w:numPr>
              <w:ind w:left="170" w:hanging="170"/>
              <w:rPr>
                <w:rFonts w:ascii="Calibri" w:hAnsi="Calibri"/>
                <w:sz w:val="18"/>
                <w:szCs w:val="18"/>
              </w:rPr>
            </w:pPr>
            <w:r>
              <w:rPr>
                <w:rFonts w:ascii="Calibri" w:hAnsi="Calibri"/>
                <w:sz w:val="18"/>
                <w:szCs w:val="18"/>
              </w:rPr>
              <w:t>Three studies on quit and win contests to promote smoking cessation reported 8 to 20% higher quit rates for the quit and win group than for the control group after 12 months</w:t>
            </w:r>
          </w:p>
          <w:p w14:paraId="3E6F68C3" w14:textId="39FDB9A7" w:rsidR="0081624F" w:rsidRPr="0097597C" w:rsidRDefault="0081624F" w:rsidP="00AC4E67">
            <w:pPr>
              <w:pStyle w:val="ListParagraph"/>
              <w:numPr>
                <w:ilvl w:val="0"/>
                <w:numId w:val="9"/>
              </w:numPr>
              <w:ind w:left="170" w:hanging="170"/>
              <w:rPr>
                <w:rFonts w:ascii="Calibri" w:hAnsi="Calibri"/>
                <w:sz w:val="18"/>
                <w:szCs w:val="18"/>
              </w:rPr>
            </w:pPr>
            <w:r>
              <w:rPr>
                <w:rFonts w:ascii="Calibri" w:hAnsi="Calibri"/>
                <w:sz w:val="18"/>
                <w:szCs w:val="18"/>
              </w:rPr>
              <w:t xml:space="preserve">However, the estimated effect of quit and win contests on community-level smoking rates is low, with fewer than one in 500 smokers quitting due to such contests </w:t>
            </w:r>
          </w:p>
        </w:tc>
        <w:tc>
          <w:tcPr>
            <w:tcW w:w="1333" w:type="dxa"/>
            <w:tcBorders>
              <w:left w:val="single" w:sz="4" w:space="0" w:color="FFFFFF" w:themeColor="background1"/>
              <w:right w:val="single" w:sz="4" w:space="0" w:color="FFFFFF" w:themeColor="background1"/>
            </w:tcBorders>
          </w:tcPr>
          <w:p w14:paraId="15593704" w14:textId="0FA51D2A" w:rsidR="0081624F" w:rsidRDefault="004C4F33" w:rsidP="00F935F9">
            <w:pPr>
              <w:rPr>
                <w:rFonts w:ascii="Calibri" w:hAnsi="Calibri"/>
                <w:sz w:val="18"/>
                <w:szCs w:val="18"/>
              </w:rPr>
            </w:pPr>
            <w:r>
              <w:rPr>
                <w:rFonts w:ascii="Calibri" w:hAnsi="Calibri"/>
                <w:sz w:val="18"/>
                <w:szCs w:val="18"/>
              </w:rPr>
              <w:t>10/10 (HE), 9/10 (HSE)</w:t>
            </w:r>
          </w:p>
        </w:tc>
      </w:tr>
      <w:tr w:rsidR="0081624F" w:rsidRPr="005573A3" w14:paraId="3F13C44C"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37477F02" w14:textId="7A6B8E66"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CE052C8" w14:textId="73A21363" w:rsidR="0081624F" w:rsidRPr="00E335ED" w:rsidRDefault="0081624F">
            <w:pPr>
              <w:rPr>
                <w:rFonts w:ascii="Calibri" w:hAnsi="Calibri"/>
                <w:sz w:val="18"/>
                <w:szCs w:val="18"/>
              </w:rPr>
            </w:pPr>
            <w:r>
              <w:rPr>
                <w:rFonts w:ascii="Calibri" w:hAnsi="Calibri"/>
                <w:sz w:val="18"/>
                <w:szCs w:val="18"/>
              </w:rPr>
              <w:t xml:space="preserve">Leeks </w:t>
            </w:r>
            <w:r>
              <w:rPr>
                <w:rFonts w:ascii="Calibri" w:hAnsi="Calibri"/>
                <w:i/>
                <w:sz w:val="18"/>
                <w:szCs w:val="18"/>
              </w:rPr>
              <w:t>et al.</w:t>
            </w:r>
            <w:r>
              <w:rPr>
                <w:rFonts w:ascii="Calibri" w:hAnsi="Calibri"/>
                <w:sz w:val="18"/>
                <w:szCs w:val="18"/>
              </w:rPr>
              <w:t xml:space="preserve"> 2010</w:t>
            </w:r>
          </w:p>
        </w:tc>
        <w:tc>
          <w:tcPr>
            <w:tcW w:w="992" w:type="dxa"/>
            <w:tcBorders>
              <w:left w:val="single" w:sz="4" w:space="0" w:color="FFFFFF" w:themeColor="background1"/>
              <w:right w:val="single" w:sz="4" w:space="0" w:color="FFFFFF" w:themeColor="background1"/>
            </w:tcBorders>
          </w:tcPr>
          <w:p w14:paraId="54D4A171" w14:textId="70517E16" w:rsidR="0081624F" w:rsidRDefault="0081624F" w:rsidP="00D7547F">
            <w:pPr>
              <w:jc w:val="center"/>
              <w:rPr>
                <w:rFonts w:ascii="Calibri" w:hAnsi="Calibri"/>
                <w:sz w:val="18"/>
                <w:szCs w:val="18"/>
              </w:rPr>
            </w:pPr>
            <w:r>
              <w:rPr>
                <w:rFonts w:ascii="Calibri" w:hAnsi="Calibri"/>
                <w:sz w:val="18"/>
                <w:szCs w:val="18"/>
              </w:rPr>
              <w:t>14</w:t>
            </w:r>
          </w:p>
        </w:tc>
        <w:tc>
          <w:tcPr>
            <w:tcW w:w="992" w:type="dxa"/>
            <w:tcBorders>
              <w:left w:val="single" w:sz="4" w:space="0" w:color="FFFFFF" w:themeColor="background1"/>
              <w:right w:val="single" w:sz="4" w:space="0" w:color="FFFFFF" w:themeColor="background1"/>
            </w:tcBorders>
          </w:tcPr>
          <w:p w14:paraId="7C423D45" w14:textId="015F1126" w:rsidR="0081624F" w:rsidRDefault="0081624F" w:rsidP="00D7547F">
            <w:pPr>
              <w:jc w:val="center"/>
              <w:rPr>
                <w:rFonts w:ascii="Calibri" w:hAnsi="Calibri"/>
                <w:sz w:val="18"/>
                <w:szCs w:val="18"/>
              </w:rPr>
            </w:pPr>
            <w:r>
              <w:rPr>
                <w:rFonts w:ascii="Calibri" w:hAnsi="Calibri"/>
                <w:sz w:val="18"/>
                <w:szCs w:val="18"/>
              </w:rPr>
              <w:t>2009</w:t>
            </w:r>
          </w:p>
        </w:tc>
        <w:tc>
          <w:tcPr>
            <w:tcW w:w="7796" w:type="dxa"/>
            <w:tcBorders>
              <w:left w:val="single" w:sz="4" w:space="0" w:color="FFFFFF" w:themeColor="background1"/>
              <w:right w:val="single" w:sz="4" w:space="0" w:color="FFFFFF" w:themeColor="background1"/>
            </w:tcBorders>
          </w:tcPr>
          <w:p w14:paraId="7C02DFC0" w14:textId="2FB16036" w:rsidR="0081624F" w:rsidRDefault="0081624F" w:rsidP="0097597C">
            <w:pPr>
              <w:pStyle w:val="ListParagraph"/>
              <w:numPr>
                <w:ilvl w:val="0"/>
                <w:numId w:val="9"/>
              </w:numPr>
              <w:ind w:left="170" w:hanging="170"/>
              <w:rPr>
                <w:rFonts w:ascii="Calibri" w:hAnsi="Calibri"/>
                <w:sz w:val="18"/>
                <w:szCs w:val="18"/>
              </w:rPr>
            </w:pPr>
            <w:r>
              <w:rPr>
                <w:rFonts w:ascii="Calibri" w:hAnsi="Calibri"/>
                <w:sz w:val="18"/>
                <w:szCs w:val="18"/>
              </w:rPr>
              <w:t>Workplace financial incentives and competitions implemented with additional interventions (e.g., counseling groups, telephone counseling, smoke-free policies) increase self-reported smoking cessation (median = 4.4%, IQR = 2.7 to 9.4)</w:t>
            </w:r>
          </w:p>
          <w:p w14:paraId="14357C60" w14:textId="6724CB8D" w:rsidR="0081624F" w:rsidRPr="0097597C" w:rsidRDefault="0081624F" w:rsidP="00E335ED">
            <w:pPr>
              <w:pStyle w:val="ListParagraph"/>
              <w:numPr>
                <w:ilvl w:val="0"/>
                <w:numId w:val="9"/>
              </w:numPr>
              <w:ind w:left="170" w:hanging="170"/>
              <w:rPr>
                <w:rFonts w:ascii="Calibri" w:hAnsi="Calibri"/>
                <w:sz w:val="18"/>
                <w:szCs w:val="18"/>
              </w:rPr>
            </w:pPr>
            <w:r>
              <w:rPr>
                <w:rFonts w:ascii="Calibri" w:hAnsi="Calibri"/>
                <w:sz w:val="18"/>
                <w:szCs w:val="18"/>
              </w:rPr>
              <w:t>Insufficient evidence exists for workplace financial incentives and competitions, when implemented alone, in reducing smoking behaviour</w:t>
            </w:r>
          </w:p>
        </w:tc>
        <w:tc>
          <w:tcPr>
            <w:tcW w:w="1333" w:type="dxa"/>
            <w:tcBorders>
              <w:left w:val="single" w:sz="4" w:space="0" w:color="FFFFFF" w:themeColor="background1"/>
              <w:right w:val="single" w:sz="4" w:space="0" w:color="FFFFFF" w:themeColor="background1"/>
            </w:tcBorders>
          </w:tcPr>
          <w:p w14:paraId="59B9919B" w14:textId="4C5C89D5" w:rsidR="0081624F" w:rsidRDefault="004C4F33" w:rsidP="005023B5">
            <w:pPr>
              <w:rPr>
                <w:rFonts w:ascii="Calibri" w:hAnsi="Calibri"/>
                <w:sz w:val="18"/>
                <w:szCs w:val="18"/>
              </w:rPr>
            </w:pPr>
            <w:r>
              <w:rPr>
                <w:rFonts w:ascii="Calibri" w:hAnsi="Calibri"/>
                <w:sz w:val="18"/>
                <w:szCs w:val="18"/>
              </w:rPr>
              <w:t>6/10 (HE)</w:t>
            </w:r>
          </w:p>
        </w:tc>
      </w:tr>
      <w:tr w:rsidR="0081624F" w:rsidRPr="005573A3" w14:paraId="581013BA"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0D1E3C1E"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BF4F89A" w14:textId="2BCEAB30" w:rsidR="0081624F" w:rsidRPr="00347DCD" w:rsidRDefault="0081624F">
            <w:pPr>
              <w:rPr>
                <w:rFonts w:ascii="Calibri" w:hAnsi="Calibri"/>
                <w:sz w:val="18"/>
                <w:szCs w:val="18"/>
              </w:rPr>
            </w:pPr>
            <w:r>
              <w:rPr>
                <w:rFonts w:ascii="Calibri" w:hAnsi="Calibri"/>
                <w:sz w:val="18"/>
                <w:szCs w:val="18"/>
              </w:rPr>
              <w:t xml:space="preserve">Papadakis </w:t>
            </w:r>
            <w:r>
              <w:rPr>
                <w:rFonts w:ascii="Calibri" w:hAnsi="Calibri"/>
                <w:i/>
                <w:sz w:val="18"/>
                <w:szCs w:val="18"/>
              </w:rPr>
              <w:t>et al.</w:t>
            </w:r>
            <w:r>
              <w:rPr>
                <w:rFonts w:ascii="Calibri" w:hAnsi="Calibri"/>
                <w:sz w:val="18"/>
                <w:szCs w:val="18"/>
              </w:rPr>
              <w:t xml:space="preserve"> 2010</w:t>
            </w:r>
          </w:p>
        </w:tc>
        <w:tc>
          <w:tcPr>
            <w:tcW w:w="992" w:type="dxa"/>
            <w:tcBorders>
              <w:left w:val="single" w:sz="4" w:space="0" w:color="FFFFFF" w:themeColor="background1"/>
              <w:right w:val="single" w:sz="4" w:space="0" w:color="FFFFFF" w:themeColor="background1"/>
            </w:tcBorders>
          </w:tcPr>
          <w:p w14:paraId="5FF22481" w14:textId="0028BA7C" w:rsidR="0081624F" w:rsidRDefault="0081624F" w:rsidP="00D7547F">
            <w:pPr>
              <w:jc w:val="center"/>
              <w:rPr>
                <w:rFonts w:ascii="Calibri" w:hAnsi="Calibri"/>
                <w:sz w:val="18"/>
                <w:szCs w:val="18"/>
              </w:rPr>
            </w:pPr>
            <w:r>
              <w:rPr>
                <w:rFonts w:ascii="Calibri" w:hAnsi="Calibri"/>
                <w:sz w:val="18"/>
                <w:szCs w:val="18"/>
              </w:rPr>
              <w:t>1</w:t>
            </w:r>
          </w:p>
        </w:tc>
        <w:tc>
          <w:tcPr>
            <w:tcW w:w="992" w:type="dxa"/>
            <w:tcBorders>
              <w:left w:val="single" w:sz="4" w:space="0" w:color="FFFFFF" w:themeColor="background1"/>
              <w:right w:val="single" w:sz="4" w:space="0" w:color="FFFFFF" w:themeColor="background1"/>
            </w:tcBorders>
          </w:tcPr>
          <w:p w14:paraId="676F4CAA" w14:textId="3586D594" w:rsidR="0081624F" w:rsidRDefault="0081624F" w:rsidP="00D7547F">
            <w:pPr>
              <w:jc w:val="center"/>
              <w:rPr>
                <w:rFonts w:ascii="Calibri" w:hAnsi="Calibri"/>
                <w:sz w:val="18"/>
                <w:szCs w:val="18"/>
              </w:rPr>
            </w:pPr>
            <w:r>
              <w:rPr>
                <w:rFonts w:ascii="Calibri" w:hAnsi="Calibri"/>
                <w:sz w:val="18"/>
                <w:szCs w:val="18"/>
              </w:rPr>
              <w:t>2009</w:t>
            </w:r>
          </w:p>
        </w:tc>
        <w:tc>
          <w:tcPr>
            <w:tcW w:w="7796" w:type="dxa"/>
            <w:tcBorders>
              <w:left w:val="single" w:sz="4" w:space="0" w:color="FFFFFF" w:themeColor="background1"/>
              <w:right w:val="single" w:sz="4" w:space="0" w:color="FFFFFF" w:themeColor="background1"/>
            </w:tcBorders>
          </w:tcPr>
          <w:p w14:paraId="33DD13DD" w14:textId="1520855A" w:rsidR="0081624F" w:rsidRPr="0097597C" w:rsidRDefault="0081624F" w:rsidP="007D35C3">
            <w:pPr>
              <w:pStyle w:val="ListParagraph"/>
              <w:numPr>
                <w:ilvl w:val="0"/>
                <w:numId w:val="9"/>
              </w:numPr>
              <w:ind w:left="170" w:hanging="170"/>
              <w:rPr>
                <w:rFonts w:ascii="Calibri" w:hAnsi="Calibri"/>
                <w:sz w:val="18"/>
                <w:szCs w:val="18"/>
              </w:rPr>
            </w:pPr>
            <w:r w:rsidRPr="0097597C">
              <w:rPr>
                <w:rFonts w:ascii="Calibri" w:hAnsi="Calibri"/>
                <w:sz w:val="18"/>
                <w:szCs w:val="18"/>
              </w:rPr>
              <w:t>Provider incentives (i.e., financial incentives for providers of smoking cessation interventions) did not promote smoking abstinence (</w:t>
            </w:r>
            <w:r w:rsidR="007D35C3">
              <w:rPr>
                <w:rFonts w:ascii="Calibri" w:hAnsi="Calibri"/>
                <w:sz w:val="18"/>
                <w:szCs w:val="18"/>
              </w:rPr>
              <w:t>OR</w:t>
            </w:r>
            <w:r w:rsidRPr="0097597C">
              <w:rPr>
                <w:rFonts w:ascii="Calibri" w:hAnsi="Calibri"/>
                <w:sz w:val="18"/>
                <w:szCs w:val="18"/>
              </w:rPr>
              <w:t xml:space="preserve"> = 1.21, 95% CI = 0.98 to 1.5)</w:t>
            </w:r>
          </w:p>
        </w:tc>
        <w:tc>
          <w:tcPr>
            <w:tcW w:w="1333" w:type="dxa"/>
            <w:tcBorders>
              <w:left w:val="single" w:sz="4" w:space="0" w:color="FFFFFF" w:themeColor="background1"/>
              <w:right w:val="single" w:sz="4" w:space="0" w:color="FFFFFF" w:themeColor="background1"/>
            </w:tcBorders>
          </w:tcPr>
          <w:p w14:paraId="6877D415" w14:textId="2A5387F3" w:rsidR="0081624F" w:rsidRDefault="004C4F33" w:rsidP="005023B5">
            <w:pPr>
              <w:rPr>
                <w:rFonts w:ascii="Calibri" w:hAnsi="Calibri"/>
                <w:sz w:val="18"/>
                <w:szCs w:val="18"/>
              </w:rPr>
            </w:pPr>
            <w:r>
              <w:rPr>
                <w:rFonts w:ascii="Calibri" w:hAnsi="Calibri"/>
                <w:sz w:val="18"/>
                <w:szCs w:val="18"/>
              </w:rPr>
              <w:t>7/10 (HE)</w:t>
            </w:r>
          </w:p>
        </w:tc>
      </w:tr>
      <w:tr w:rsidR="0081624F" w:rsidRPr="005573A3" w14:paraId="3083565E"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05CB792C"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69F4513E" w14:textId="61935183" w:rsidR="0081624F" w:rsidRDefault="0081624F" w:rsidP="004C4F33">
            <w:pPr>
              <w:rPr>
                <w:rFonts w:ascii="Calibri" w:hAnsi="Calibri"/>
                <w:sz w:val="18"/>
                <w:szCs w:val="18"/>
              </w:rPr>
            </w:pPr>
            <w:r w:rsidRPr="00AF12D0">
              <w:rPr>
                <w:rFonts w:ascii="Calibri" w:hAnsi="Calibri"/>
                <w:sz w:val="18"/>
                <w:szCs w:val="18"/>
              </w:rPr>
              <w:t xml:space="preserve">Cahill </w:t>
            </w:r>
            <w:r w:rsidR="004C4F33">
              <w:rPr>
                <w:rFonts w:ascii="Calibri" w:hAnsi="Calibri"/>
                <w:sz w:val="18"/>
                <w:szCs w:val="18"/>
              </w:rPr>
              <w:t>&amp;</w:t>
            </w:r>
            <w:r w:rsidR="004C4F33" w:rsidRPr="00AF12D0">
              <w:rPr>
                <w:rFonts w:ascii="Calibri" w:hAnsi="Calibri"/>
                <w:sz w:val="18"/>
                <w:szCs w:val="18"/>
              </w:rPr>
              <w:t xml:space="preserve"> </w:t>
            </w:r>
            <w:r w:rsidRPr="00AF12D0">
              <w:rPr>
                <w:rFonts w:ascii="Calibri" w:hAnsi="Calibri"/>
                <w:sz w:val="18"/>
                <w:szCs w:val="18"/>
              </w:rPr>
              <w:t>Perera 2011</w:t>
            </w:r>
          </w:p>
        </w:tc>
        <w:tc>
          <w:tcPr>
            <w:tcW w:w="992" w:type="dxa"/>
            <w:tcBorders>
              <w:left w:val="single" w:sz="4" w:space="0" w:color="FFFFFF" w:themeColor="background1"/>
              <w:right w:val="single" w:sz="4" w:space="0" w:color="FFFFFF" w:themeColor="background1"/>
            </w:tcBorders>
          </w:tcPr>
          <w:p w14:paraId="5CDDA392" w14:textId="1B4BEED1" w:rsidR="0081624F" w:rsidRDefault="0081624F" w:rsidP="00D7547F">
            <w:pPr>
              <w:jc w:val="center"/>
              <w:rPr>
                <w:rFonts w:ascii="Calibri" w:hAnsi="Calibri"/>
                <w:sz w:val="18"/>
                <w:szCs w:val="18"/>
              </w:rPr>
            </w:pPr>
            <w:r>
              <w:rPr>
                <w:rFonts w:ascii="Calibri" w:hAnsi="Calibri"/>
                <w:sz w:val="18"/>
                <w:szCs w:val="18"/>
              </w:rPr>
              <w:t>19</w:t>
            </w:r>
          </w:p>
        </w:tc>
        <w:tc>
          <w:tcPr>
            <w:tcW w:w="992" w:type="dxa"/>
            <w:tcBorders>
              <w:left w:val="single" w:sz="4" w:space="0" w:color="FFFFFF" w:themeColor="background1"/>
              <w:right w:val="single" w:sz="4" w:space="0" w:color="FFFFFF" w:themeColor="background1"/>
            </w:tcBorders>
          </w:tcPr>
          <w:p w14:paraId="3DD8EF08" w14:textId="22D332AD" w:rsidR="0081624F" w:rsidRDefault="0081624F" w:rsidP="00D7547F">
            <w:pPr>
              <w:jc w:val="center"/>
              <w:rPr>
                <w:rFonts w:ascii="Calibri" w:hAnsi="Calibri"/>
                <w:sz w:val="18"/>
                <w:szCs w:val="18"/>
              </w:rPr>
            </w:pPr>
            <w:r>
              <w:rPr>
                <w:rFonts w:ascii="Calibri" w:hAnsi="Calibri"/>
                <w:sz w:val="18"/>
                <w:szCs w:val="18"/>
              </w:rPr>
              <w:t>2010</w:t>
            </w:r>
          </w:p>
        </w:tc>
        <w:tc>
          <w:tcPr>
            <w:tcW w:w="7796" w:type="dxa"/>
            <w:tcBorders>
              <w:left w:val="single" w:sz="4" w:space="0" w:color="FFFFFF" w:themeColor="background1"/>
              <w:right w:val="single" w:sz="4" w:space="0" w:color="FFFFFF" w:themeColor="background1"/>
            </w:tcBorders>
          </w:tcPr>
          <w:p w14:paraId="100B72B6" w14:textId="4F4362B4"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Financial interventions to reward smokers for cessation and continued abstinence, including contests, competitions and fixed payments, do not </w:t>
            </w:r>
            <w:r>
              <w:rPr>
                <w:rFonts w:ascii="Calibri" w:hAnsi="Calibri"/>
                <w:sz w:val="18"/>
                <w:szCs w:val="18"/>
              </w:rPr>
              <w:t>increase</w:t>
            </w:r>
            <w:r w:rsidRPr="0097597C">
              <w:rPr>
                <w:rFonts w:ascii="Calibri" w:hAnsi="Calibri"/>
                <w:sz w:val="18"/>
                <w:szCs w:val="18"/>
              </w:rPr>
              <w:t xml:space="preserve"> long-term quit rates</w:t>
            </w:r>
          </w:p>
          <w:p w14:paraId="4656DB53" w14:textId="6B286429"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The one study that reported improved cessation rates involved significant financial payments for successful abstinence, an approach that is likely only feasible with independently-funded programs</w:t>
            </w:r>
          </w:p>
        </w:tc>
        <w:tc>
          <w:tcPr>
            <w:tcW w:w="1333" w:type="dxa"/>
            <w:tcBorders>
              <w:left w:val="single" w:sz="4" w:space="0" w:color="FFFFFF" w:themeColor="background1"/>
              <w:right w:val="single" w:sz="4" w:space="0" w:color="FFFFFF" w:themeColor="background1"/>
            </w:tcBorders>
          </w:tcPr>
          <w:p w14:paraId="7380D549" w14:textId="5B213DC0" w:rsidR="0081624F" w:rsidRDefault="004C4F33" w:rsidP="00FB0234">
            <w:pPr>
              <w:rPr>
                <w:rFonts w:ascii="Calibri" w:hAnsi="Calibri"/>
                <w:sz w:val="18"/>
                <w:szCs w:val="18"/>
              </w:rPr>
            </w:pPr>
            <w:r>
              <w:rPr>
                <w:rFonts w:ascii="Calibri" w:hAnsi="Calibri"/>
                <w:sz w:val="18"/>
                <w:szCs w:val="18"/>
              </w:rPr>
              <w:t>8/10 (HE), 9/11 (HSE)</w:t>
            </w:r>
          </w:p>
        </w:tc>
      </w:tr>
      <w:tr w:rsidR="0081624F" w:rsidRPr="005573A3" w14:paraId="12D27EAA"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0710DC8C" w14:textId="223C6731"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2CE99C49" w14:textId="328A0B68" w:rsidR="0081624F" w:rsidRDefault="0081624F">
            <w:pPr>
              <w:rPr>
                <w:rFonts w:ascii="Calibri" w:hAnsi="Calibri"/>
                <w:sz w:val="18"/>
                <w:szCs w:val="18"/>
              </w:rPr>
            </w:pPr>
            <w:r>
              <w:rPr>
                <w:rFonts w:ascii="Calibri" w:hAnsi="Calibri"/>
                <w:sz w:val="18"/>
                <w:szCs w:val="18"/>
              </w:rPr>
              <w:t xml:space="preserve">Reda </w:t>
            </w:r>
            <w:r>
              <w:rPr>
                <w:rFonts w:ascii="Calibri" w:hAnsi="Calibri"/>
                <w:i/>
                <w:sz w:val="18"/>
                <w:szCs w:val="18"/>
              </w:rPr>
              <w:t>et al.</w:t>
            </w:r>
            <w:r>
              <w:rPr>
                <w:rFonts w:ascii="Calibri" w:hAnsi="Calibri"/>
                <w:sz w:val="18"/>
                <w:szCs w:val="18"/>
              </w:rPr>
              <w:t xml:space="preserve"> 2012</w:t>
            </w:r>
          </w:p>
        </w:tc>
        <w:tc>
          <w:tcPr>
            <w:tcW w:w="992" w:type="dxa"/>
            <w:tcBorders>
              <w:left w:val="single" w:sz="4" w:space="0" w:color="FFFFFF" w:themeColor="background1"/>
              <w:right w:val="single" w:sz="4" w:space="0" w:color="FFFFFF" w:themeColor="background1"/>
            </w:tcBorders>
          </w:tcPr>
          <w:p w14:paraId="73B8797F" w14:textId="1D2988CD" w:rsidR="0081624F" w:rsidRDefault="0081624F" w:rsidP="00D7547F">
            <w:pPr>
              <w:jc w:val="center"/>
              <w:rPr>
                <w:rFonts w:ascii="Calibri" w:hAnsi="Calibri"/>
                <w:sz w:val="18"/>
                <w:szCs w:val="18"/>
              </w:rPr>
            </w:pPr>
            <w:r>
              <w:rPr>
                <w:rFonts w:ascii="Calibri" w:hAnsi="Calibri"/>
                <w:sz w:val="18"/>
                <w:szCs w:val="18"/>
              </w:rPr>
              <w:t>11</w:t>
            </w:r>
          </w:p>
        </w:tc>
        <w:tc>
          <w:tcPr>
            <w:tcW w:w="992" w:type="dxa"/>
            <w:tcBorders>
              <w:left w:val="single" w:sz="4" w:space="0" w:color="FFFFFF" w:themeColor="background1"/>
              <w:right w:val="single" w:sz="4" w:space="0" w:color="FFFFFF" w:themeColor="background1"/>
            </w:tcBorders>
          </w:tcPr>
          <w:p w14:paraId="191D638E" w14:textId="2EEA75DD" w:rsidR="0081624F" w:rsidRDefault="0081624F" w:rsidP="00D7547F">
            <w:pPr>
              <w:jc w:val="center"/>
              <w:rPr>
                <w:rFonts w:ascii="Calibri" w:hAnsi="Calibri"/>
                <w:sz w:val="18"/>
                <w:szCs w:val="18"/>
              </w:rPr>
            </w:pPr>
            <w:r>
              <w:rPr>
                <w:rFonts w:ascii="Calibri" w:hAnsi="Calibri"/>
                <w:sz w:val="18"/>
                <w:szCs w:val="18"/>
              </w:rPr>
              <w:t>2012</w:t>
            </w:r>
          </w:p>
        </w:tc>
        <w:tc>
          <w:tcPr>
            <w:tcW w:w="7796" w:type="dxa"/>
            <w:tcBorders>
              <w:left w:val="single" w:sz="4" w:space="0" w:color="FFFFFF" w:themeColor="background1"/>
              <w:right w:val="single" w:sz="4" w:space="0" w:color="FFFFFF" w:themeColor="background1"/>
            </w:tcBorders>
          </w:tcPr>
          <w:p w14:paraId="4DA70C66" w14:textId="404902AD"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 xml:space="preserve">Patient-directed financial interventions that fully pay for smoking cessation treatments have positive effects on abstinence, number of patients making quit attempts, and use of the </w:t>
            </w:r>
            <w:r w:rsidR="00500993">
              <w:rPr>
                <w:rFonts w:ascii="Calibri" w:hAnsi="Calibri"/>
                <w:sz w:val="18"/>
                <w:szCs w:val="18"/>
              </w:rPr>
              <w:t>cessation treatments</w:t>
            </w:r>
          </w:p>
          <w:p w14:paraId="1780F98F" w14:textId="1C9374B5" w:rsidR="0081624F" w:rsidRPr="0097597C" w:rsidRDefault="0081624F" w:rsidP="0097597C">
            <w:pPr>
              <w:pStyle w:val="ListParagraph"/>
              <w:numPr>
                <w:ilvl w:val="0"/>
                <w:numId w:val="9"/>
              </w:numPr>
              <w:ind w:left="170" w:hanging="170"/>
              <w:rPr>
                <w:rFonts w:ascii="Calibri" w:hAnsi="Calibri"/>
                <w:sz w:val="18"/>
                <w:szCs w:val="18"/>
              </w:rPr>
            </w:pPr>
            <w:r w:rsidRPr="0097597C">
              <w:rPr>
                <w:rFonts w:ascii="Calibri" w:hAnsi="Calibri"/>
                <w:sz w:val="18"/>
                <w:szCs w:val="18"/>
              </w:rPr>
              <w:t>Financial assistance directed at healthcare providers had no effect on smoking abstinence</w:t>
            </w:r>
          </w:p>
        </w:tc>
        <w:tc>
          <w:tcPr>
            <w:tcW w:w="1333" w:type="dxa"/>
            <w:tcBorders>
              <w:left w:val="single" w:sz="4" w:space="0" w:color="FFFFFF" w:themeColor="background1"/>
              <w:right w:val="single" w:sz="4" w:space="0" w:color="FFFFFF" w:themeColor="background1"/>
            </w:tcBorders>
          </w:tcPr>
          <w:p w14:paraId="15CDCA31" w14:textId="160661C7" w:rsidR="0081624F" w:rsidRDefault="004C4F33">
            <w:pPr>
              <w:rPr>
                <w:rFonts w:ascii="Calibri" w:hAnsi="Calibri"/>
                <w:sz w:val="18"/>
                <w:szCs w:val="18"/>
              </w:rPr>
            </w:pPr>
            <w:r>
              <w:rPr>
                <w:rFonts w:ascii="Calibri" w:hAnsi="Calibri"/>
                <w:sz w:val="18"/>
                <w:szCs w:val="18"/>
              </w:rPr>
              <w:t>9/10 (HE), 9/11 (HSE), 9/11 (RC)</w:t>
            </w:r>
          </w:p>
        </w:tc>
      </w:tr>
      <w:tr w:rsidR="00044318" w:rsidRPr="005573A3" w14:paraId="37EB22A8"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0A30B663" w14:textId="77777777" w:rsidR="00044318" w:rsidRPr="00F0774B" w:rsidRDefault="00044318">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09D1B5D5" w14:textId="609DEBEE" w:rsidR="00044318" w:rsidRDefault="00044318">
            <w:pPr>
              <w:rPr>
                <w:rFonts w:ascii="Calibri" w:hAnsi="Calibri"/>
                <w:sz w:val="18"/>
                <w:szCs w:val="18"/>
              </w:rPr>
            </w:pPr>
            <w:r>
              <w:rPr>
                <w:rFonts w:ascii="Calibri" w:hAnsi="Calibri"/>
                <w:sz w:val="18"/>
                <w:szCs w:val="18"/>
              </w:rPr>
              <w:t>CPSTF 2012</w:t>
            </w:r>
            <w:r w:rsidR="00900790">
              <w:rPr>
                <w:rFonts w:ascii="Calibri" w:hAnsi="Calibri"/>
                <w:sz w:val="18"/>
                <w:szCs w:val="18"/>
              </w:rPr>
              <w:t>a</w:t>
            </w:r>
          </w:p>
        </w:tc>
        <w:tc>
          <w:tcPr>
            <w:tcW w:w="992" w:type="dxa"/>
            <w:tcBorders>
              <w:left w:val="single" w:sz="4" w:space="0" w:color="FFFFFF" w:themeColor="background1"/>
              <w:right w:val="single" w:sz="4" w:space="0" w:color="FFFFFF" w:themeColor="background1"/>
            </w:tcBorders>
          </w:tcPr>
          <w:p w14:paraId="4D3952E4" w14:textId="781079E8" w:rsidR="00044318" w:rsidRDefault="00044318" w:rsidP="00D7547F">
            <w:pPr>
              <w:jc w:val="center"/>
              <w:rPr>
                <w:rFonts w:ascii="Calibri" w:hAnsi="Calibri"/>
                <w:sz w:val="18"/>
                <w:szCs w:val="18"/>
              </w:rPr>
            </w:pPr>
            <w:r>
              <w:rPr>
                <w:rFonts w:ascii="Calibri" w:hAnsi="Calibri"/>
                <w:sz w:val="18"/>
                <w:szCs w:val="18"/>
              </w:rPr>
              <w:t>18</w:t>
            </w:r>
          </w:p>
        </w:tc>
        <w:tc>
          <w:tcPr>
            <w:tcW w:w="992" w:type="dxa"/>
            <w:tcBorders>
              <w:left w:val="single" w:sz="4" w:space="0" w:color="FFFFFF" w:themeColor="background1"/>
              <w:right w:val="single" w:sz="4" w:space="0" w:color="FFFFFF" w:themeColor="background1"/>
            </w:tcBorders>
          </w:tcPr>
          <w:p w14:paraId="2B2DDC9B" w14:textId="2B21C3AD" w:rsidR="00044318" w:rsidRDefault="00044318" w:rsidP="00D7547F">
            <w:pPr>
              <w:jc w:val="center"/>
              <w:rPr>
                <w:rFonts w:ascii="Calibri" w:hAnsi="Calibri"/>
                <w:sz w:val="18"/>
                <w:szCs w:val="18"/>
              </w:rPr>
            </w:pPr>
            <w:r>
              <w:rPr>
                <w:rFonts w:ascii="Calibri" w:hAnsi="Calibri"/>
                <w:sz w:val="18"/>
                <w:szCs w:val="18"/>
              </w:rPr>
              <w:t>2012</w:t>
            </w:r>
          </w:p>
        </w:tc>
        <w:tc>
          <w:tcPr>
            <w:tcW w:w="7796" w:type="dxa"/>
            <w:tcBorders>
              <w:left w:val="single" w:sz="4" w:space="0" w:color="FFFFFF" w:themeColor="background1"/>
              <w:right w:val="single" w:sz="4" w:space="0" w:color="FFFFFF" w:themeColor="background1"/>
            </w:tcBorders>
          </w:tcPr>
          <w:p w14:paraId="4BAF3848" w14:textId="32EA20A2" w:rsidR="00044318" w:rsidRDefault="00044318" w:rsidP="00E64DAC">
            <w:pPr>
              <w:pStyle w:val="ListParagraph"/>
              <w:numPr>
                <w:ilvl w:val="0"/>
                <w:numId w:val="9"/>
              </w:numPr>
              <w:ind w:left="170" w:hanging="170"/>
              <w:rPr>
                <w:rFonts w:ascii="Calibri" w:hAnsi="Calibri"/>
                <w:sz w:val="18"/>
                <w:szCs w:val="18"/>
              </w:rPr>
            </w:pPr>
            <w:r>
              <w:rPr>
                <w:rFonts w:ascii="Calibri" w:hAnsi="Calibri"/>
                <w:sz w:val="18"/>
                <w:szCs w:val="18"/>
              </w:rPr>
              <w:t xml:space="preserve">This update to Hopkins </w:t>
            </w:r>
            <w:r>
              <w:rPr>
                <w:rFonts w:ascii="Calibri" w:hAnsi="Calibri"/>
                <w:i/>
                <w:sz w:val="18"/>
                <w:szCs w:val="18"/>
              </w:rPr>
              <w:t>et al.</w:t>
            </w:r>
            <w:r>
              <w:rPr>
                <w:rFonts w:ascii="Calibri" w:hAnsi="Calibri"/>
                <w:sz w:val="18"/>
                <w:szCs w:val="18"/>
              </w:rPr>
              <w:t xml:space="preserve"> 2001 found policies and programs to reduce the financial cost of smoking cessation interventions for smokers:</w:t>
            </w:r>
          </w:p>
          <w:p w14:paraId="4F0B1727" w14:textId="393D0FEC" w:rsidR="00044318" w:rsidRDefault="00044318" w:rsidP="00E64DAC">
            <w:pPr>
              <w:pStyle w:val="ListParagraph"/>
              <w:numPr>
                <w:ilvl w:val="0"/>
                <w:numId w:val="14"/>
              </w:numPr>
              <w:ind w:left="340" w:hanging="170"/>
              <w:rPr>
                <w:rFonts w:ascii="Calibri" w:hAnsi="Calibri"/>
                <w:sz w:val="18"/>
                <w:szCs w:val="18"/>
              </w:rPr>
            </w:pPr>
            <w:r>
              <w:rPr>
                <w:rFonts w:ascii="Calibri" w:hAnsi="Calibri"/>
                <w:sz w:val="18"/>
                <w:szCs w:val="18"/>
              </w:rPr>
              <w:t>Increase quit rates by</w:t>
            </w:r>
            <w:r w:rsidR="00312134">
              <w:rPr>
                <w:rFonts w:ascii="Calibri" w:hAnsi="Calibri"/>
                <w:sz w:val="18"/>
                <w:szCs w:val="18"/>
              </w:rPr>
              <w:t xml:space="preserve"> 4.3% (IQR = 0.2 to 6.0</w:t>
            </w:r>
            <w:r>
              <w:rPr>
                <w:rFonts w:ascii="Calibri" w:hAnsi="Calibri"/>
                <w:sz w:val="18"/>
                <w:szCs w:val="18"/>
              </w:rPr>
              <w:t>)</w:t>
            </w:r>
          </w:p>
          <w:p w14:paraId="00C45412" w14:textId="1E402A9E" w:rsidR="00044318" w:rsidRDefault="00044318" w:rsidP="00E64DAC">
            <w:pPr>
              <w:pStyle w:val="ListParagraph"/>
              <w:numPr>
                <w:ilvl w:val="0"/>
                <w:numId w:val="14"/>
              </w:numPr>
              <w:ind w:left="340" w:hanging="170"/>
              <w:rPr>
                <w:rFonts w:ascii="Calibri" w:hAnsi="Calibri"/>
                <w:sz w:val="18"/>
                <w:szCs w:val="18"/>
              </w:rPr>
            </w:pPr>
            <w:r>
              <w:rPr>
                <w:rFonts w:ascii="Calibri" w:hAnsi="Calibri"/>
                <w:sz w:val="18"/>
                <w:szCs w:val="18"/>
              </w:rPr>
              <w:t>Increase quite at</w:t>
            </w:r>
            <w:r w:rsidR="00312134">
              <w:rPr>
                <w:rFonts w:ascii="Calibri" w:hAnsi="Calibri"/>
                <w:sz w:val="18"/>
                <w:szCs w:val="18"/>
              </w:rPr>
              <w:t>tempt rates by 2.8% (IQR = -0.6 to 9.1</w:t>
            </w:r>
            <w:r>
              <w:rPr>
                <w:rFonts w:ascii="Calibri" w:hAnsi="Calibri"/>
                <w:sz w:val="18"/>
                <w:szCs w:val="18"/>
              </w:rPr>
              <w:t>)</w:t>
            </w:r>
          </w:p>
          <w:p w14:paraId="1974EFBE" w14:textId="1BE74C58" w:rsidR="00044318" w:rsidRPr="0097597C" w:rsidRDefault="00044318" w:rsidP="00E64DAC">
            <w:pPr>
              <w:pStyle w:val="ListParagraph"/>
              <w:numPr>
                <w:ilvl w:val="0"/>
                <w:numId w:val="15"/>
              </w:numPr>
              <w:ind w:left="170" w:hanging="170"/>
              <w:rPr>
                <w:rFonts w:ascii="Calibri" w:hAnsi="Calibri"/>
                <w:sz w:val="18"/>
                <w:szCs w:val="18"/>
              </w:rPr>
            </w:pPr>
            <w:r>
              <w:rPr>
                <w:rFonts w:ascii="Calibri" w:hAnsi="Calibri"/>
                <w:sz w:val="18"/>
                <w:szCs w:val="18"/>
              </w:rPr>
              <w:t xml:space="preserve">Two studies </w:t>
            </w:r>
            <w:r w:rsidR="00AC5ABA">
              <w:rPr>
                <w:rFonts w:ascii="Calibri" w:hAnsi="Calibri"/>
                <w:sz w:val="18"/>
                <w:szCs w:val="18"/>
              </w:rPr>
              <w:t>found financial assistance interventions</w:t>
            </w:r>
            <w:r>
              <w:rPr>
                <w:rFonts w:ascii="Calibri" w:hAnsi="Calibri"/>
                <w:sz w:val="18"/>
                <w:szCs w:val="18"/>
              </w:rPr>
              <w:t xml:space="preserve"> </w:t>
            </w:r>
            <w:r w:rsidR="00AC5ABA">
              <w:rPr>
                <w:rFonts w:ascii="Calibri" w:hAnsi="Calibri"/>
                <w:sz w:val="18"/>
                <w:szCs w:val="18"/>
              </w:rPr>
              <w:t>reduce</w:t>
            </w:r>
            <w:r>
              <w:rPr>
                <w:rFonts w:ascii="Calibri" w:hAnsi="Calibri"/>
                <w:sz w:val="18"/>
                <w:szCs w:val="18"/>
              </w:rPr>
              <w:t xml:space="preserve"> prevalence of tobacco use</w:t>
            </w:r>
          </w:p>
        </w:tc>
        <w:tc>
          <w:tcPr>
            <w:tcW w:w="1333" w:type="dxa"/>
            <w:tcBorders>
              <w:left w:val="single" w:sz="4" w:space="0" w:color="FFFFFF" w:themeColor="background1"/>
              <w:right w:val="single" w:sz="4" w:space="0" w:color="FFFFFF" w:themeColor="background1"/>
            </w:tcBorders>
          </w:tcPr>
          <w:p w14:paraId="361DFFCD" w14:textId="4BEC2F8B" w:rsidR="00044318" w:rsidRDefault="00044318">
            <w:pPr>
              <w:rPr>
                <w:rFonts w:ascii="Calibri" w:hAnsi="Calibri"/>
                <w:sz w:val="18"/>
                <w:szCs w:val="18"/>
              </w:rPr>
            </w:pPr>
            <w:r>
              <w:rPr>
                <w:rFonts w:ascii="Calibri" w:hAnsi="Calibri"/>
                <w:sz w:val="18"/>
                <w:szCs w:val="18"/>
              </w:rPr>
              <w:t>2/10 (Authors)</w:t>
            </w:r>
          </w:p>
        </w:tc>
      </w:tr>
      <w:tr w:rsidR="0081624F" w:rsidRPr="005573A3" w14:paraId="7C3A37A1"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0CBC30BA" w14:textId="1C0EF6D4"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2AA61422" w14:textId="74E46CBF" w:rsidR="0081624F" w:rsidRPr="00707B0F" w:rsidRDefault="0081624F">
            <w:pPr>
              <w:rPr>
                <w:rFonts w:ascii="Calibri" w:hAnsi="Calibri"/>
                <w:sz w:val="18"/>
                <w:szCs w:val="18"/>
              </w:rPr>
            </w:pPr>
            <w:r>
              <w:rPr>
                <w:rFonts w:ascii="Calibri" w:hAnsi="Calibri"/>
                <w:sz w:val="18"/>
                <w:szCs w:val="18"/>
              </w:rPr>
              <w:t xml:space="preserve">Johnston </w:t>
            </w:r>
            <w:r>
              <w:rPr>
                <w:rFonts w:ascii="Calibri" w:hAnsi="Calibri"/>
                <w:i/>
                <w:sz w:val="18"/>
                <w:szCs w:val="18"/>
              </w:rPr>
              <w:t>et al.</w:t>
            </w:r>
            <w:r>
              <w:rPr>
                <w:rFonts w:ascii="Calibri" w:hAnsi="Calibri"/>
                <w:sz w:val="18"/>
                <w:szCs w:val="18"/>
              </w:rPr>
              <w:t xml:space="preserve"> 2012</w:t>
            </w:r>
          </w:p>
        </w:tc>
        <w:tc>
          <w:tcPr>
            <w:tcW w:w="992" w:type="dxa"/>
            <w:tcBorders>
              <w:left w:val="single" w:sz="4" w:space="0" w:color="FFFFFF" w:themeColor="background1"/>
              <w:right w:val="single" w:sz="4" w:space="0" w:color="FFFFFF" w:themeColor="background1"/>
            </w:tcBorders>
          </w:tcPr>
          <w:p w14:paraId="405F178C" w14:textId="260D2002" w:rsidR="0081624F" w:rsidRDefault="0081624F" w:rsidP="00D7547F">
            <w:pPr>
              <w:jc w:val="center"/>
              <w:rPr>
                <w:rFonts w:ascii="Calibri" w:hAnsi="Calibri"/>
                <w:sz w:val="18"/>
                <w:szCs w:val="18"/>
              </w:rPr>
            </w:pPr>
            <w:r>
              <w:rPr>
                <w:rFonts w:ascii="Calibri" w:hAnsi="Calibri"/>
                <w:sz w:val="18"/>
                <w:szCs w:val="18"/>
              </w:rPr>
              <w:t>7</w:t>
            </w:r>
          </w:p>
        </w:tc>
        <w:tc>
          <w:tcPr>
            <w:tcW w:w="992" w:type="dxa"/>
            <w:tcBorders>
              <w:left w:val="single" w:sz="4" w:space="0" w:color="FFFFFF" w:themeColor="background1"/>
              <w:right w:val="single" w:sz="4" w:space="0" w:color="FFFFFF" w:themeColor="background1"/>
            </w:tcBorders>
          </w:tcPr>
          <w:p w14:paraId="1B171C5F" w14:textId="4A652A1B" w:rsidR="0081624F" w:rsidRDefault="0081624F" w:rsidP="00D7547F">
            <w:pPr>
              <w:jc w:val="center"/>
              <w:rPr>
                <w:rFonts w:ascii="Calibri" w:hAnsi="Calibri"/>
                <w:sz w:val="18"/>
                <w:szCs w:val="18"/>
              </w:rPr>
            </w:pPr>
            <w:r>
              <w:rPr>
                <w:rFonts w:ascii="Calibri" w:hAnsi="Calibri"/>
                <w:sz w:val="18"/>
                <w:szCs w:val="18"/>
              </w:rPr>
              <w:t>2012</w:t>
            </w:r>
          </w:p>
        </w:tc>
        <w:tc>
          <w:tcPr>
            <w:tcW w:w="7796" w:type="dxa"/>
            <w:tcBorders>
              <w:left w:val="single" w:sz="4" w:space="0" w:color="FFFFFF" w:themeColor="background1"/>
              <w:right w:val="single" w:sz="4" w:space="0" w:color="FFFFFF" w:themeColor="background1"/>
            </w:tcBorders>
          </w:tcPr>
          <w:p w14:paraId="5F23D3B1" w14:textId="77777777"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All five studies included in the meta-analysis are trials of the Smokefree Class Competition, implemented widely across Europe, in which school classes where 90% or more of students refrained from smoking for six months are entered into a competition</w:t>
            </w:r>
          </w:p>
          <w:p w14:paraId="60A81910" w14:textId="0DE1D2BB" w:rsidR="0081624F" w:rsidRPr="0097597C"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 xml:space="preserve">Incentives did not prevent smoking initiation in children and adolescents: the pooled relative risk for </w:t>
            </w:r>
            <w:r w:rsidR="00500993">
              <w:rPr>
                <w:rFonts w:ascii="Calibri" w:hAnsi="Calibri"/>
                <w:sz w:val="18"/>
                <w:szCs w:val="18"/>
              </w:rPr>
              <w:t xml:space="preserve">smoking in </w:t>
            </w:r>
            <w:r>
              <w:rPr>
                <w:rFonts w:ascii="Calibri" w:hAnsi="Calibri"/>
                <w:sz w:val="18"/>
                <w:szCs w:val="18"/>
              </w:rPr>
              <w:t xml:space="preserve">the three RCTs was 1.00 (95% CI = 0.84 to 1.19) and the pooled relative risk </w:t>
            </w:r>
            <w:r w:rsidR="00500993">
              <w:rPr>
                <w:rFonts w:ascii="Calibri" w:hAnsi="Calibri"/>
                <w:sz w:val="18"/>
                <w:szCs w:val="18"/>
              </w:rPr>
              <w:t xml:space="preserve">in </w:t>
            </w:r>
            <w:r>
              <w:rPr>
                <w:rFonts w:ascii="Calibri" w:hAnsi="Calibri"/>
                <w:sz w:val="18"/>
                <w:szCs w:val="18"/>
              </w:rPr>
              <w:t>the two non-randomized trials was 0.81 (95% CI = 0.61 to 1.08)</w:t>
            </w:r>
          </w:p>
        </w:tc>
        <w:tc>
          <w:tcPr>
            <w:tcW w:w="1333" w:type="dxa"/>
            <w:tcBorders>
              <w:left w:val="single" w:sz="4" w:space="0" w:color="FFFFFF" w:themeColor="background1"/>
              <w:right w:val="single" w:sz="4" w:space="0" w:color="FFFFFF" w:themeColor="background1"/>
            </w:tcBorders>
          </w:tcPr>
          <w:p w14:paraId="5C852DC8" w14:textId="7E9DACA2" w:rsidR="0081624F" w:rsidRDefault="004C4F33" w:rsidP="00FB0234">
            <w:pPr>
              <w:rPr>
                <w:rFonts w:ascii="Calibri" w:hAnsi="Calibri"/>
                <w:sz w:val="18"/>
                <w:szCs w:val="18"/>
              </w:rPr>
            </w:pPr>
            <w:r>
              <w:rPr>
                <w:rFonts w:ascii="Calibri" w:hAnsi="Calibri"/>
                <w:sz w:val="18"/>
                <w:szCs w:val="18"/>
              </w:rPr>
              <w:t>10/10 (HE), 11/11 (HSE)</w:t>
            </w:r>
          </w:p>
        </w:tc>
      </w:tr>
      <w:tr w:rsidR="0081624F" w:rsidRPr="005573A3" w14:paraId="3E979C86"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007E1491"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7FE79D9E" w14:textId="01F4C621" w:rsidR="0081624F" w:rsidRDefault="0081624F" w:rsidP="004C4F33">
            <w:pPr>
              <w:rPr>
                <w:rFonts w:ascii="Calibri" w:hAnsi="Calibri"/>
                <w:sz w:val="18"/>
                <w:szCs w:val="18"/>
              </w:rPr>
            </w:pPr>
            <w:r>
              <w:rPr>
                <w:rFonts w:ascii="Calibri" w:hAnsi="Calibri"/>
                <w:sz w:val="18"/>
                <w:szCs w:val="18"/>
              </w:rPr>
              <w:t xml:space="preserve">Isensee </w:t>
            </w:r>
            <w:r w:rsidR="004C4F33">
              <w:rPr>
                <w:rFonts w:ascii="Calibri" w:hAnsi="Calibri"/>
                <w:sz w:val="18"/>
                <w:szCs w:val="18"/>
              </w:rPr>
              <w:t xml:space="preserve">&amp; </w:t>
            </w:r>
            <w:r>
              <w:rPr>
                <w:rFonts w:ascii="Calibri" w:hAnsi="Calibri"/>
                <w:sz w:val="18"/>
                <w:szCs w:val="18"/>
              </w:rPr>
              <w:t>Hanewinkel 2012</w:t>
            </w:r>
          </w:p>
        </w:tc>
        <w:tc>
          <w:tcPr>
            <w:tcW w:w="992" w:type="dxa"/>
            <w:tcBorders>
              <w:left w:val="single" w:sz="4" w:space="0" w:color="FFFFFF" w:themeColor="background1"/>
              <w:right w:val="single" w:sz="4" w:space="0" w:color="FFFFFF" w:themeColor="background1"/>
            </w:tcBorders>
          </w:tcPr>
          <w:p w14:paraId="7396B746" w14:textId="27C0D325" w:rsidR="0081624F" w:rsidRDefault="0081624F" w:rsidP="00D7547F">
            <w:pPr>
              <w:jc w:val="center"/>
              <w:rPr>
                <w:rFonts w:ascii="Calibri" w:hAnsi="Calibri"/>
                <w:sz w:val="18"/>
                <w:szCs w:val="18"/>
              </w:rPr>
            </w:pPr>
            <w:r>
              <w:rPr>
                <w:rFonts w:ascii="Calibri" w:hAnsi="Calibri"/>
                <w:sz w:val="18"/>
                <w:szCs w:val="18"/>
              </w:rPr>
              <w:t>5</w:t>
            </w:r>
          </w:p>
        </w:tc>
        <w:tc>
          <w:tcPr>
            <w:tcW w:w="992" w:type="dxa"/>
            <w:tcBorders>
              <w:left w:val="single" w:sz="4" w:space="0" w:color="FFFFFF" w:themeColor="background1"/>
              <w:right w:val="single" w:sz="4" w:space="0" w:color="FFFFFF" w:themeColor="background1"/>
            </w:tcBorders>
          </w:tcPr>
          <w:p w14:paraId="7801EDFD" w14:textId="2B710B9C" w:rsidR="0081624F" w:rsidRDefault="0081624F"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right w:val="single" w:sz="4" w:space="0" w:color="FFFFFF" w:themeColor="background1"/>
            </w:tcBorders>
          </w:tcPr>
          <w:p w14:paraId="7D1402F6" w14:textId="26619C75" w:rsidR="0081624F" w:rsidRPr="00720588"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The Smokefree Class Competition appears to be effective in preventing smoking, as students participating in the competition were less likely to be smoking at follow-up compared to non-participants (</w:t>
            </w:r>
            <w:r w:rsidR="00500993">
              <w:rPr>
                <w:rFonts w:ascii="Calibri" w:hAnsi="Calibri"/>
                <w:sz w:val="18"/>
                <w:szCs w:val="18"/>
              </w:rPr>
              <w:t>OR</w:t>
            </w:r>
            <w:r>
              <w:rPr>
                <w:rFonts w:ascii="Calibri" w:hAnsi="Calibri"/>
                <w:sz w:val="18"/>
                <w:szCs w:val="18"/>
              </w:rPr>
              <w:t xml:space="preserve"> = 0.86, 95% CI = 0.79 to 0.94)</w:t>
            </w:r>
          </w:p>
        </w:tc>
        <w:tc>
          <w:tcPr>
            <w:tcW w:w="1333" w:type="dxa"/>
            <w:tcBorders>
              <w:left w:val="single" w:sz="4" w:space="0" w:color="FFFFFF" w:themeColor="background1"/>
              <w:right w:val="single" w:sz="4" w:space="0" w:color="FFFFFF" w:themeColor="background1"/>
            </w:tcBorders>
          </w:tcPr>
          <w:p w14:paraId="57F073CE" w14:textId="0C1AEA32" w:rsidR="0081624F" w:rsidRDefault="004C4F33" w:rsidP="005023B5">
            <w:pPr>
              <w:rPr>
                <w:rFonts w:ascii="Calibri" w:hAnsi="Calibri"/>
                <w:sz w:val="18"/>
                <w:szCs w:val="18"/>
              </w:rPr>
            </w:pPr>
            <w:r>
              <w:rPr>
                <w:rFonts w:ascii="Calibri" w:hAnsi="Calibri"/>
                <w:sz w:val="18"/>
                <w:szCs w:val="18"/>
              </w:rPr>
              <w:t>7/10 (HE)</w:t>
            </w:r>
          </w:p>
        </w:tc>
      </w:tr>
      <w:tr w:rsidR="0081624F" w:rsidRPr="005573A3" w14:paraId="6F263912"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7EC0F75F" w14:textId="62A3E72E"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BDEFE02" w14:textId="7A2CBEAA" w:rsidR="0081624F" w:rsidRDefault="0081624F">
            <w:pPr>
              <w:rPr>
                <w:rFonts w:ascii="Calibri" w:hAnsi="Calibri"/>
                <w:sz w:val="18"/>
                <w:szCs w:val="18"/>
              </w:rPr>
            </w:pPr>
            <w:r>
              <w:rPr>
                <w:rFonts w:ascii="Calibri" w:hAnsi="Calibri"/>
                <w:sz w:val="18"/>
                <w:szCs w:val="18"/>
              </w:rPr>
              <w:t xml:space="preserve">Hamilton </w:t>
            </w:r>
            <w:r>
              <w:rPr>
                <w:rFonts w:ascii="Calibri" w:hAnsi="Calibri"/>
                <w:i/>
                <w:sz w:val="18"/>
                <w:szCs w:val="18"/>
              </w:rPr>
              <w:t>et al.</w:t>
            </w:r>
            <w:r>
              <w:rPr>
                <w:rFonts w:ascii="Calibri" w:hAnsi="Calibri"/>
                <w:sz w:val="18"/>
                <w:szCs w:val="18"/>
              </w:rPr>
              <w:t xml:space="preserve"> 2013</w:t>
            </w:r>
          </w:p>
        </w:tc>
        <w:tc>
          <w:tcPr>
            <w:tcW w:w="992" w:type="dxa"/>
            <w:tcBorders>
              <w:left w:val="single" w:sz="4" w:space="0" w:color="FFFFFF" w:themeColor="background1"/>
              <w:right w:val="single" w:sz="4" w:space="0" w:color="FFFFFF" w:themeColor="background1"/>
            </w:tcBorders>
          </w:tcPr>
          <w:p w14:paraId="09585888" w14:textId="5D71E4A8" w:rsidR="0081624F" w:rsidRDefault="0081624F" w:rsidP="00D7547F">
            <w:pPr>
              <w:jc w:val="center"/>
              <w:rPr>
                <w:rFonts w:ascii="Calibri" w:hAnsi="Calibri"/>
                <w:sz w:val="18"/>
                <w:szCs w:val="18"/>
              </w:rPr>
            </w:pPr>
            <w:r>
              <w:rPr>
                <w:rFonts w:ascii="Calibri" w:hAnsi="Calibri"/>
                <w:sz w:val="18"/>
                <w:szCs w:val="18"/>
              </w:rPr>
              <w:t>18</w:t>
            </w:r>
          </w:p>
        </w:tc>
        <w:tc>
          <w:tcPr>
            <w:tcW w:w="992" w:type="dxa"/>
            <w:tcBorders>
              <w:left w:val="single" w:sz="4" w:space="0" w:color="FFFFFF" w:themeColor="background1"/>
              <w:right w:val="single" w:sz="4" w:space="0" w:color="FFFFFF" w:themeColor="background1"/>
            </w:tcBorders>
          </w:tcPr>
          <w:p w14:paraId="44C36E5D" w14:textId="0719F1A7" w:rsidR="0081624F" w:rsidRDefault="0081624F"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right w:val="single" w:sz="4" w:space="0" w:color="FFFFFF" w:themeColor="background1"/>
            </w:tcBorders>
          </w:tcPr>
          <w:p w14:paraId="186DC53F" w14:textId="667A3472"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Although financial incentives to healthcare providers improve recording of smoking status and frequency of cessation advice, their effect on quit rates and smoking prevalence is inconclusive</w:t>
            </w:r>
          </w:p>
        </w:tc>
        <w:tc>
          <w:tcPr>
            <w:tcW w:w="1333" w:type="dxa"/>
            <w:tcBorders>
              <w:left w:val="single" w:sz="4" w:space="0" w:color="FFFFFF" w:themeColor="background1"/>
              <w:right w:val="single" w:sz="4" w:space="0" w:color="FFFFFF" w:themeColor="background1"/>
            </w:tcBorders>
          </w:tcPr>
          <w:p w14:paraId="764278EE" w14:textId="64526958" w:rsidR="0081624F" w:rsidRDefault="004C4F33">
            <w:pPr>
              <w:rPr>
                <w:rFonts w:ascii="Calibri" w:hAnsi="Calibri"/>
                <w:sz w:val="18"/>
                <w:szCs w:val="18"/>
              </w:rPr>
            </w:pPr>
            <w:r>
              <w:rPr>
                <w:rFonts w:ascii="Calibri" w:hAnsi="Calibri"/>
                <w:sz w:val="18"/>
                <w:szCs w:val="18"/>
              </w:rPr>
              <w:t>6/10 (HE)</w:t>
            </w:r>
          </w:p>
        </w:tc>
      </w:tr>
      <w:tr w:rsidR="002D2A65" w:rsidRPr="005573A3" w14:paraId="745E63BF"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5C1BBEA3" w14:textId="77777777" w:rsidR="002D2A65" w:rsidRPr="00F0774B" w:rsidRDefault="002D2A65">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2F6D5872" w14:textId="7039D280" w:rsidR="002D2A65" w:rsidRPr="002D2A65" w:rsidRDefault="002D2A65">
            <w:pPr>
              <w:rPr>
                <w:rFonts w:ascii="Calibri" w:hAnsi="Calibri"/>
                <w:sz w:val="18"/>
                <w:szCs w:val="18"/>
              </w:rPr>
            </w:pPr>
            <w:r>
              <w:rPr>
                <w:rFonts w:ascii="Calibri" w:hAnsi="Calibri"/>
                <w:sz w:val="18"/>
                <w:szCs w:val="18"/>
              </w:rPr>
              <w:t xml:space="preserve">Likis </w:t>
            </w:r>
            <w:r>
              <w:rPr>
                <w:rFonts w:ascii="Calibri" w:hAnsi="Calibri"/>
                <w:i/>
                <w:sz w:val="18"/>
                <w:szCs w:val="18"/>
              </w:rPr>
              <w:t>et al.</w:t>
            </w:r>
            <w:r>
              <w:rPr>
                <w:rFonts w:ascii="Calibri" w:hAnsi="Calibri"/>
                <w:sz w:val="18"/>
                <w:szCs w:val="18"/>
              </w:rPr>
              <w:t xml:space="preserve"> 2014</w:t>
            </w:r>
          </w:p>
        </w:tc>
        <w:tc>
          <w:tcPr>
            <w:tcW w:w="992" w:type="dxa"/>
            <w:tcBorders>
              <w:left w:val="single" w:sz="4" w:space="0" w:color="FFFFFF" w:themeColor="background1"/>
              <w:right w:val="single" w:sz="4" w:space="0" w:color="FFFFFF" w:themeColor="background1"/>
            </w:tcBorders>
          </w:tcPr>
          <w:p w14:paraId="10E6D01A" w14:textId="69A4CD68" w:rsidR="002D2A65" w:rsidRDefault="002D2A65" w:rsidP="00D7547F">
            <w:pPr>
              <w:jc w:val="center"/>
              <w:rPr>
                <w:rFonts w:ascii="Calibri" w:hAnsi="Calibri"/>
                <w:sz w:val="18"/>
                <w:szCs w:val="18"/>
              </w:rPr>
            </w:pPr>
            <w:r>
              <w:rPr>
                <w:rFonts w:ascii="Calibri" w:hAnsi="Calibri"/>
                <w:sz w:val="18"/>
                <w:szCs w:val="18"/>
              </w:rPr>
              <w:t>59</w:t>
            </w:r>
          </w:p>
        </w:tc>
        <w:tc>
          <w:tcPr>
            <w:tcW w:w="992" w:type="dxa"/>
            <w:tcBorders>
              <w:left w:val="single" w:sz="4" w:space="0" w:color="FFFFFF" w:themeColor="background1"/>
              <w:right w:val="single" w:sz="4" w:space="0" w:color="FFFFFF" w:themeColor="background1"/>
            </w:tcBorders>
          </w:tcPr>
          <w:p w14:paraId="01CA4240" w14:textId="77777777" w:rsidR="002D2A65" w:rsidRDefault="002D2A65" w:rsidP="00D7547F">
            <w:pPr>
              <w:jc w:val="center"/>
              <w:rPr>
                <w:rFonts w:ascii="Calibri" w:hAnsi="Calibri"/>
                <w:sz w:val="18"/>
                <w:szCs w:val="18"/>
              </w:rPr>
            </w:pPr>
          </w:p>
        </w:tc>
        <w:tc>
          <w:tcPr>
            <w:tcW w:w="7796" w:type="dxa"/>
            <w:tcBorders>
              <w:left w:val="single" w:sz="4" w:space="0" w:color="FFFFFF" w:themeColor="background1"/>
              <w:right w:val="single" w:sz="4" w:space="0" w:color="FFFFFF" w:themeColor="background1"/>
            </w:tcBorders>
          </w:tcPr>
          <w:p w14:paraId="55F3E178" w14:textId="77777777" w:rsidR="002D2A65" w:rsidRDefault="002D2A65" w:rsidP="00E64DAC">
            <w:pPr>
              <w:pStyle w:val="ListParagraph"/>
              <w:numPr>
                <w:ilvl w:val="0"/>
                <w:numId w:val="15"/>
              </w:numPr>
              <w:ind w:left="170" w:hanging="170"/>
              <w:rPr>
                <w:rFonts w:ascii="Calibri" w:hAnsi="Calibri"/>
                <w:sz w:val="18"/>
                <w:szCs w:val="18"/>
              </w:rPr>
            </w:pPr>
            <w:r>
              <w:rPr>
                <w:rFonts w:ascii="Calibri" w:hAnsi="Calibri"/>
                <w:sz w:val="18"/>
                <w:szCs w:val="18"/>
              </w:rPr>
              <w:t>Two RCTs on financial incentives to promote smoking cessation in pregnant women reported greater levels of biologically confirmed smoking cessation in women receiving smoking-contingent incentives</w:t>
            </w:r>
          </w:p>
          <w:p w14:paraId="475C4BB2" w14:textId="312ADE86" w:rsidR="002D2A65" w:rsidRPr="0097597C" w:rsidRDefault="002D2A65" w:rsidP="00C8513B">
            <w:pPr>
              <w:pStyle w:val="ListParagraph"/>
              <w:numPr>
                <w:ilvl w:val="0"/>
                <w:numId w:val="15"/>
              </w:numPr>
              <w:ind w:left="170" w:hanging="170"/>
              <w:rPr>
                <w:rFonts w:ascii="Calibri" w:hAnsi="Calibri"/>
                <w:sz w:val="18"/>
                <w:szCs w:val="18"/>
              </w:rPr>
            </w:pPr>
            <w:r>
              <w:rPr>
                <w:rFonts w:ascii="Calibri" w:hAnsi="Calibri"/>
                <w:sz w:val="18"/>
                <w:szCs w:val="18"/>
              </w:rPr>
              <w:t xml:space="preserve">A meta-analysis of 23 RCTs on multicomponent </w:t>
            </w:r>
            <w:r w:rsidR="00C8513B">
              <w:rPr>
                <w:rFonts w:ascii="Calibri" w:hAnsi="Calibri"/>
                <w:sz w:val="18"/>
                <w:szCs w:val="18"/>
              </w:rPr>
              <w:t>programs</w:t>
            </w:r>
            <w:r>
              <w:rPr>
                <w:rFonts w:ascii="Calibri" w:hAnsi="Calibri"/>
                <w:sz w:val="18"/>
                <w:szCs w:val="18"/>
              </w:rPr>
              <w:t xml:space="preserve"> reported that incentives were the component most strongly associated with smoking cessation (OR = 3.23; 95% CI = 1.98 to 4.59)</w:t>
            </w:r>
          </w:p>
        </w:tc>
        <w:tc>
          <w:tcPr>
            <w:tcW w:w="1333" w:type="dxa"/>
            <w:tcBorders>
              <w:left w:val="single" w:sz="4" w:space="0" w:color="FFFFFF" w:themeColor="background1"/>
              <w:right w:val="single" w:sz="4" w:space="0" w:color="FFFFFF" w:themeColor="background1"/>
            </w:tcBorders>
          </w:tcPr>
          <w:p w14:paraId="3AD0B938" w14:textId="766D1F0F" w:rsidR="002D2A65" w:rsidDel="002D2A65" w:rsidRDefault="002D2A65" w:rsidP="005023B5">
            <w:pPr>
              <w:rPr>
                <w:rFonts w:ascii="Calibri" w:hAnsi="Calibri"/>
                <w:sz w:val="18"/>
                <w:szCs w:val="18"/>
              </w:rPr>
            </w:pPr>
            <w:r>
              <w:rPr>
                <w:rFonts w:ascii="Calibri" w:hAnsi="Calibri"/>
                <w:sz w:val="18"/>
                <w:szCs w:val="18"/>
              </w:rPr>
              <w:t>9/10 (HE)</w:t>
            </w:r>
          </w:p>
        </w:tc>
      </w:tr>
      <w:tr w:rsidR="0081624F" w:rsidRPr="005573A3" w14:paraId="74D06091"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56C7E489"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D974DF6" w14:textId="219B7386" w:rsidR="0081624F" w:rsidRPr="00F07F8B" w:rsidRDefault="0081624F">
            <w:pPr>
              <w:rPr>
                <w:rFonts w:ascii="Calibri" w:hAnsi="Calibri"/>
                <w:sz w:val="18"/>
                <w:szCs w:val="18"/>
              </w:rPr>
            </w:pPr>
            <w:r w:rsidRPr="00AF12D0">
              <w:rPr>
                <w:rFonts w:ascii="Calibri" w:hAnsi="Calibri"/>
                <w:sz w:val="18"/>
                <w:szCs w:val="18"/>
              </w:rPr>
              <w:t xml:space="preserve">Giles </w:t>
            </w:r>
            <w:r w:rsidRPr="00AF12D0">
              <w:rPr>
                <w:rFonts w:ascii="Calibri" w:hAnsi="Calibri"/>
                <w:i/>
                <w:sz w:val="18"/>
                <w:szCs w:val="18"/>
              </w:rPr>
              <w:t>et al</w:t>
            </w:r>
            <w:r>
              <w:rPr>
                <w:rFonts w:ascii="Calibri" w:hAnsi="Calibri"/>
                <w:i/>
                <w:sz w:val="18"/>
                <w:szCs w:val="18"/>
              </w:rPr>
              <w:t>.</w:t>
            </w:r>
            <w:r w:rsidRPr="00AF12D0">
              <w:rPr>
                <w:rFonts w:ascii="Calibri" w:hAnsi="Calibri"/>
                <w:sz w:val="18"/>
                <w:szCs w:val="18"/>
              </w:rPr>
              <w:t xml:space="preserve"> 2014</w:t>
            </w:r>
          </w:p>
        </w:tc>
        <w:tc>
          <w:tcPr>
            <w:tcW w:w="992" w:type="dxa"/>
            <w:tcBorders>
              <w:left w:val="single" w:sz="4" w:space="0" w:color="FFFFFF" w:themeColor="background1"/>
              <w:right w:val="single" w:sz="4" w:space="0" w:color="FFFFFF" w:themeColor="background1"/>
            </w:tcBorders>
          </w:tcPr>
          <w:p w14:paraId="4096A950" w14:textId="477FB0EE" w:rsidR="0081624F" w:rsidRDefault="0081624F" w:rsidP="00D7547F">
            <w:pPr>
              <w:jc w:val="center"/>
              <w:rPr>
                <w:rFonts w:ascii="Calibri" w:hAnsi="Calibri"/>
                <w:sz w:val="18"/>
                <w:szCs w:val="18"/>
              </w:rPr>
            </w:pPr>
            <w:r>
              <w:rPr>
                <w:rFonts w:ascii="Calibri" w:hAnsi="Calibri"/>
                <w:sz w:val="18"/>
                <w:szCs w:val="18"/>
              </w:rPr>
              <w:t>10</w:t>
            </w:r>
          </w:p>
        </w:tc>
        <w:tc>
          <w:tcPr>
            <w:tcW w:w="992" w:type="dxa"/>
            <w:tcBorders>
              <w:left w:val="single" w:sz="4" w:space="0" w:color="FFFFFF" w:themeColor="background1"/>
              <w:right w:val="single" w:sz="4" w:space="0" w:color="FFFFFF" w:themeColor="background1"/>
            </w:tcBorders>
          </w:tcPr>
          <w:p w14:paraId="6EEA3ED2" w14:textId="08B37DD2" w:rsidR="0081624F" w:rsidRDefault="0081624F" w:rsidP="00D7547F">
            <w:pPr>
              <w:jc w:val="center"/>
              <w:rPr>
                <w:rFonts w:ascii="Calibri" w:hAnsi="Calibri"/>
                <w:sz w:val="18"/>
                <w:szCs w:val="18"/>
              </w:rPr>
            </w:pPr>
            <w:r>
              <w:rPr>
                <w:rFonts w:ascii="Calibri" w:hAnsi="Calibri"/>
                <w:sz w:val="18"/>
                <w:szCs w:val="18"/>
              </w:rPr>
              <w:t>2012</w:t>
            </w:r>
          </w:p>
        </w:tc>
        <w:tc>
          <w:tcPr>
            <w:tcW w:w="7796" w:type="dxa"/>
            <w:tcBorders>
              <w:left w:val="single" w:sz="4" w:space="0" w:color="FFFFFF" w:themeColor="background1"/>
              <w:right w:val="single" w:sz="4" w:space="0" w:color="FFFFFF" w:themeColor="background1"/>
            </w:tcBorders>
          </w:tcPr>
          <w:p w14:paraId="53B6D5DD" w14:textId="48A0376D"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Financial incentive</w:t>
            </w:r>
            <w:r w:rsidR="00500993">
              <w:rPr>
                <w:rFonts w:ascii="Calibri" w:hAnsi="Calibri"/>
                <w:sz w:val="18"/>
                <w:szCs w:val="18"/>
              </w:rPr>
              <w:t xml:space="preserve">s </w:t>
            </w:r>
            <w:r w:rsidRPr="0097597C">
              <w:rPr>
                <w:rFonts w:ascii="Calibri" w:hAnsi="Calibri"/>
                <w:sz w:val="18"/>
                <w:szCs w:val="18"/>
              </w:rPr>
              <w:t>directed at adult smokers promote smoking cessation</w:t>
            </w:r>
          </w:p>
          <w:p w14:paraId="2B78F98C" w14:textId="1F3AB1D4"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Studies with ≤6 months follow-up (</w:t>
            </w:r>
            <w:r w:rsidR="00500993">
              <w:rPr>
                <w:rFonts w:ascii="Calibri" w:hAnsi="Calibri"/>
                <w:sz w:val="18"/>
                <w:szCs w:val="18"/>
              </w:rPr>
              <w:t>RR</w:t>
            </w:r>
            <w:r w:rsidRPr="0097597C">
              <w:rPr>
                <w:rFonts w:ascii="Calibri" w:hAnsi="Calibri"/>
                <w:sz w:val="18"/>
                <w:szCs w:val="18"/>
              </w:rPr>
              <w:t xml:space="preserve"> = 2.48, 95% CI = 1.77 to 3.46) reported a greater effect than studies with &gt;6 months follow-up (</w:t>
            </w:r>
            <w:r w:rsidR="00500993">
              <w:rPr>
                <w:rFonts w:ascii="Calibri" w:hAnsi="Calibri"/>
                <w:sz w:val="18"/>
                <w:szCs w:val="18"/>
              </w:rPr>
              <w:t>RR</w:t>
            </w:r>
            <w:r w:rsidRPr="0097597C">
              <w:rPr>
                <w:rFonts w:ascii="Calibri" w:hAnsi="Calibri"/>
                <w:sz w:val="18"/>
                <w:szCs w:val="18"/>
              </w:rPr>
              <w:t xml:space="preserve"> = 1.50, 95% CI = 1.05 to 2.14), indicating that financial incentives are more effective for short-term cessation</w:t>
            </w:r>
          </w:p>
        </w:tc>
        <w:tc>
          <w:tcPr>
            <w:tcW w:w="1333" w:type="dxa"/>
            <w:tcBorders>
              <w:left w:val="single" w:sz="4" w:space="0" w:color="FFFFFF" w:themeColor="background1"/>
              <w:right w:val="single" w:sz="4" w:space="0" w:color="FFFFFF" w:themeColor="background1"/>
            </w:tcBorders>
          </w:tcPr>
          <w:p w14:paraId="3394F6E4" w14:textId="42C4B97B" w:rsidR="0081624F" w:rsidRDefault="002D2A65" w:rsidP="005023B5">
            <w:pPr>
              <w:rPr>
                <w:rFonts w:ascii="Calibri" w:hAnsi="Calibri"/>
                <w:sz w:val="18"/>
                <w:szCs w:val="18"/>
              </w:rPr>
            </w:pPr>
            <w:r>
              <w:rPr>
                <w:rFonts w:ascii="Calibri" w:hAnsi="Calibri"/>
                <w:sz w:val="18"/>
                <w:szCs w:val="18"/>
              </w:rPr>
              <w:t>10/10 (HE)</w:t>
            </w:r>
          </w:p>
        </w:tc>
      </w:tr>
      <w:tr w:rsidR="0081624F" w:rsidRPr="005573A3" w14:paraId="2D9FA89A" w14:textId="77777777" w:rsidTr="00A923F0">
        <w:trPr>
          <w:cantSplit/>
          <w:trHeight w:val="302"/>
          <w:jc w:val="center"/>
        </w:trPr>
        <w:tc>
          <w:tcPr>
            <w:tcW w:w="1172" w:type="dxa"/>
            <w:vMerge/>
            <w:tcBorders>
              <w:left w:val="single" w:sz="4" w:space="0" w:color="FFFFFF" w:themeColor="background1"/>
              <w:bottom w:val="single" w:sz="12" w:space="0" w:color="auto"/>
              <w:right w:val="single" w:sz="4" w:space="0" w:color="FFFFFF" w:themeColor="background1"/>
            </w:tcBorders>
          </w:tcPr>
          <w:p w14:paraId="468BE389" w14:textId="77777777" w:rsidR="0081624F" w:rsidRPr="00F0774B" w:rsidRDefault="0081624F">
            <w:pPr>
              <w:rPr>
                <w:rFonts w:ascii="Calibri" w:hAnsi="Calibri"/>
                <w:b/>
                <w:sz w:val="18"/>
                <w:szCs w:val="18"/>
              </w:rPr>
            </w:pPr>
          </w:p>
        </w:tc>
        <w:tc>
          <w:tcPr>
            <w:tcW w:w="1235" w:type="dxa"/>
            <w:tcBorders>
              <w:left w:val="single" w:sz="4" w:space="0" w:color="FFFFFF" w:themeColor="background1"/>
              <w:bottom w:val="single" w:sz="12" w:space="0" w:color="auto"/>
              <w:right w:val="single" w:sz="4" w:space="0" w:color="FFFFFF" w:themeColor="background1"/>
            </w:tcBorders>
          </w:tcPr>
          <w:p w14:paraId="7FA4D5E8" w14:textId="21A95CE2" w:rsidR="0081624F" w:rsidRDefault="0081624F" w:rsidP="004C4F33">
            <w:pPr>
              <w:rPr>
                <w:rFonts w:ascii="Calibri" w:hAnsi="Calibri"/>
                <w:sz w:val="18"/>
                <w:szCs w:val="18"/>
              </w:rPr>
            </w:pPr>
            <w:r w:rsidRPr="00AF12D0">
              <w:rPr>
                <w:rFonts w:ascii="Calibri" w:hAnsi="Calibri"/>
                <w:sz w:val="18"/>
                <w:szCs w:val="18"/>
              </w:rPr>
              <w:t xml:space="preserve">Cahill </w:t>
            </w:r>
            <w:r w:rsidR="004C4F33">
              <w:rPr>
                <w:rFonts w:ascii="Calibri" w:hAnsi="Calibri"/>
                <w:sz w:val="18"/>
                <w:szCs w:val="18"/>
              </w:rPr>
              <w:t>&amp;</w:t>
            </w:r>
            <w:r w:rsidR="004C4F33" w:rsidRPr="00AF12D0">
              <w:rPr>
                <w:rFonts w:ascii="Calibri" w:hAnsi="Calibri"/>
                <w:sz w:val="18"/>
                <w:szCs w:val="18"/>
              </w:rPr>
              <w:t xml:space="preserve"> </w:t>
            </w:r>
            <w:r w:rsidRPr="00AF12D0">
              <w:rPr>
                <w:rFonts w:ascii="Calibri" w:hAnsi="Calibri"/>
                <w:sz w:val="18"/>
                <w:szCs w:val="18"/>
              </w:rPr>
              <w:t>Lancaster 2014</w:t>
            </w:r>
          </w:p>
        </w:tc>
        <w:tc>
          <w:tcPr>
            <w:tcW w:w="992" w:type="dxa"/>
            <w:tcBorders>
              <w:left w:val="single" w:sz="4" w:space="0" w:color="FFFFFF" w:themeColor="background1"/>
              <w:bottom w:val="single" w:sz="12" w:space="0" w:color="auto"/>
              <w:right w:val="single" w:sz="4" w:space="0" w:color="FFFFFF" w:themeColor="background1"/>
            </w:tcBorders>
          </w:tcPr>
          <w:p w14:paraId="71AF2EFF" w14:textId="0E9CAD1E" w:rsidR="0081624F" w:rsidRDefault="0081624F" w:rsidP="00D7547F">
            <w:pPr>
              <w:jc w:val="center"/>
              <w:rPr>
                <w:rFonts w:ascii="Calibri" w:hAnsi="Calibri"/>
                <w:sz w:val="18"/>
                <w:szCs w:val="18"/>
              </w:rPr>
            </w:pPr>
            <w:r>
              <w:rPr>
                <w:rFonts w:ascii="Calibri" w:hAnsi="Calibri"/>
                <w:sz w:val="18"/>
                <w:szCs w:val="18"/>
              </w:rPr>
              <w:t>6</w:t>
            </w:r>
          </w:p>
        </w:tc>
        <w:tc>
          <w:tcPr>
            <w:tcW w:w="992" w:type="dxa"/>
            <w:tcBorders>
              <w:left w:val="single" w:sz="4" w:space="0" w:color="FFFFFF" w:themeColor="background1"/>
              <w:bottom w:val="single" w:sz="12" w:space="0" w:color="auto"/>
              <w:right w:val="single" w:sz="4" w:space="0" w:color="FFFFFF" w:themeColor="background1"/>
            </w:tcBorders>
          </w:tcPr>
          <w:p w14:paraId="68AAE771" w14:textId="2BAA17E4" w:rsidR="0081624F" w:rsidRDefault="0081624F" w:rsidP="00D7547F">
            <w:pPr>
              <w:jc w:val="center"/>
              <w:rPr>
                <w:rFonts w:ascii="Calibri" w:hAnsi="Calibri"/>
                <w:sz w:val="18"/>
                <w:szCs w:val="18"/>
              </w:rPr>
            </w:pPr>
            <w:r>
              <w:rPr>
                <w:rFonts w:ascii="Calibri" w:hAnsi="Calibri"/>
                <w:sz w:val="18"/>
                <w:szCs w:val="18"/>
              </w:rPr>
              <w:t>2013</w:t>
            </w:r>
          </w:p>
        </w:tc>
        <w:tc>
          <w:tcPr>
            <w:tcW w:w="7796" w:type="dxa"/>
            <w:tcBorders>
              <w:left w:val="single" w:sz="4" w:space="0" w:color="FFFFFF" w:themeColor="background1"/>
              <w:bottom w:val="single" w:sz="12" w:space="0" w:color="auto"/>
              <w:right w:val="single" w:sz="4" w:space="0" w:color="FFFFFF" w:themeColor="background1"/>
            </w:tcBorders>
          </w:tcPr>
          <w:p w14:paraId="4BE52937" w14:textId="7269AC67"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Five studies of workplace financial incentive</w:t>
            </w:r>
            <w:r w:rsidR="00500993">
              <w:rPr>
                <w:rFonts w:ascii="Calibri" w:hAnsi="Calibri"/>
                <w:sz w:val="18"/>
                <w:szCs w:val="18"/>
              </w:rPr>
              <w:t xml:space="preserve">s </w:t>
            </w:r>
            <w:r w:rsidRPr="0097597C">
              <w:rPr>
                <w:rFonts w:ascii="Calibri" w:hAnsi="Calibri"/>
                <w:sz w:val="18"/>
                <w:szCs w:val="18"/>
              </w:rPr>
              <w:t xml:space="preserve">reported increased smoking cessation </w:t>
            </w:r>
            <w:r w:rsidR="00500993">
              <w:rPr>
                <w:rFonts w:ascii="Calibri" w:hAnsi="Calibri"/>
                <w:sz w:val="18"/>
                <w:szCs w:val="18"/>
              </w:rPr>
              <w:t>in</w:t>
            </w:r>
            <w:r w:rsidR="00500993" w:rsidRPr="0097597C">
              <w:rPr>
                <w:rFonts w:ascii="Calibri" w:hAnsi="Calibri"/>
                <w:sz w:val="18"/>
                <w:szCs w:val="18"/>
              </w:rPr>
              <w:t xml:space="preserve"> </w:t>
            </w:r>
            <w:r w:rsidRPr="0097597C">
              <w:rPr>
                <w:rFonts w:ascii="Calibri" w:hAnsi="Calibri"/>
                <w:sz w:val="18"/>
                <w:szCs w:val="18"/>
              </w:rPr>
              <w:t>employees (</w:t>
            </w:r>
            <w:r w:rsidR="00500993">
              <w:rPr>
                <w:rFonts w:ascii="Calibri" w:hAnsi="Calibri"/>
                <w:sz w:val="18"/>
                <w:szCs w:val="18"/>
              </w:rPr>
              <w:t>OR</w:t>
            </w:r>
            <w:r w:rsidRPr="0097597C">
              <w:rPr>
                <w:rFonts w:ascii="Calibri" w:hAnsi="Calibri"/>
                <w:sz w:val="18"/>
                <w:szCs w:val="18"/>
              </w:rPr>
              <w:t xml:space="preserve"> = 1.60, 95% CI = 1.12 to 2.30); </w:t>
            </w:r>
            <w:r w:rsidR="00500993">
              <w:rPr>
                <w:rFonts w:ascii="Calibri" w:hAnsi="Calibri"/>
                <w:sz w:val="18"/>
                <w:szCs w:val="18"/>
              </w:rPr>
              <w:t xml:space="preserve">however, </w:t>
            </w:r>
            <w:r w:rsidRPr="0097597C">
              <w:rPr>
                <w:rFonts w:ascii="Calibri" w:hAnsi="Calibri"/>
                <w:sz w:val="18"/>
                <w:szCs w:val="18"/>
              </w:rPr>
              <w:t>one study accounted for all of the statistical significance</w:t>
            </w:r>
          </w:p>
          <w:p w14:paraId="7F7DCF29" w14:textId="08CE8529"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The one study that could not be included in the meta-analysis reported no change in cessation rates </w:t>
            </w:r>
          </w:p>
        </w:tc>
        <w:tc>
          <w:tcPr>
            <w:tcW w:w="1333" w:type="dxa"/>
            <w:tcBorders>
              <w:left w:val="single" w:sz="4" w:space="0" w:color="FFFFFF" w:themeColor="background1"/>
              <w:bottom w:val="single" w:sz="12" w:space="0" w:color="auto"/>
              <w:right w:val="single" w:sz="4" w:space="0" w:color="FFFFFF" w:themeColor="background1"/>
            </w:tcBorders>
          </w:tcPr>
          <w:p w14:paraId="3490AF3E" w14:textId="593D6C10" w:rsidR="0081624F" w:rsidRDefault="004C4F33" w:rsidP="005023B5">
            <w:pPr>
              <w:rPr>
                <w:rFonts w:ascii="Calibri" w:hAnsi="Calibri"/>
                <w:sz w:val="18"/>
                <w:szCs w:val="18"/>
              </w:rPr>
            </w:pPr>
            <w:r>
              <w:rPr>
                <w:rFonts w:ascii="Calibri" w:hAnsi="Calibri"/>
                <w:sz w:val="18"/>
                <w:szCs w:val="18"/>
              </w:rPr>
              <w:t>8/10 (HE)</w:t>
            </w:r>
          </w:p>
        </w:tc>
      </w:tr>
      <w:tr w:rsidR="0081624F" w:rsidRPr="005573A3" w14:paraId="571A7B38" w14:textId="77777777" w:rsidTr="00A923F0">
        <w:trPr>
          <w:cantSplit/>
          <w:trHeight w:val="75"/>
          <w:jc w:val="center"/>
        </w:trPr>
        <w:tc>
          <w:tcPr>
            <w:tcW w:w="1172" w:type="dxa"/>
            <w:vMerge w:val="restart"/>
            <w:tcBorders>
              <w:top w:val="single" w:sz="12" w:space="0" w:color="auto"/>
              <w:left w:val="single" w:sz="4" w:space="0" w:color="FFFFFF" w:themeColor="background1"/>
              <w:right w:val="single" w:sz="4" w:space="0" w:color="FFFFFF" w:themeColor="background1"/>
            </w:tcBorders>
          </w:tcPr>
          <w:p w14:paraId="037476D6" w14:textId="729BE4A5" w:rsidR="0081624F" w:rsidRPr="00F0774B" w:rsidRDefault="0081624F" w:rsidP="002C35E8">
            <w:pPr>
              <w:rPr>
                <w:rFonts w:ascii="Calibri" w:hAnsi="Calibri"/>
                <w:b/>
                <w:sz w:val="18"/>
                <w:szCs w:val="18"/>
              </w:rPr>
            </w:pPr>
            <w:r w:rsidRPr="00F0774B">
              <w:rPr>
                <w:rFonts w:ascii="Calibri" w:hAnsi="Calibri"/>
                <w:b/>
                <w:sz w:val="18"/>
                <w:szCs w:val="18"/>
              </w:rPr>
              <w:t>Warn about the dangers of tobacco</w:t>
            </w:r>
          </w:p>
        </w:tc>
        <w:tc>
          <w:tcPr>
            <w:tcW w:w="1235" w:type="dxa"/>
            <w:tcBorders>
              <w:top w:val="single" w:sz="12" w:space="0" w:color="auto"/>
              <w:left w:val="single" w:sz="4" w:space="0" w:color="FFFFFF" w:themeColor="background1"/>
              <w:right w:val="single" w:sz="4" w:space="0" w:color="FFFFFF" w:themeColor="background1"/>
            </w:tcBorders>
          </w:tcPr>
          <w:p w14:paraId="25FF901D" w14:textId="2467882B" w:rsidR="0081624F" w:rsidRDefault="0081624F" w:rsidP="004C4F33">
            <w:pPr>
              <w:rPr>
                <w:rFonts w:ascii="Calibri" w:hAnsi="Calibri"/>
                <w:sz w:val="18"/>
                <w:szCs w:val="18"/>
              </w:rPr>
            </w:pPr>
            <w:r>
              <w:rPr>
                <w:rFonts w:ascii="Calibri" w:hAnsi="Calibri"/>
                <w:sz w:val="18"/>
                <w:szCs w:val="18"/>
              </w:rPr>
              <w:t xml:space="preserve">Goldman </w:t>
            </w:r>
            <w:r w:rsidR="004C4F33">
              <w:rPr>
                <w:rFonts w:ascii="Calibri" w:hAnsi="Calibri"/>
                <w:sz w:val="18"/>
                <w:szCs w:val="18"/>
              </w:rPr>
              <w:t xml:space="preserve">&amp; </w:t>
            </w:r>
            <w:r>
              <w:rPr>
                <w:rFonts w:ascii="Calibri" w:hAnsi="Calibri"/>
                <w:sz w:val="18"/>
                <w:szCs w:val="18"/>
              </w:rPr>
              <w:t>Glantz 1998</w:t>
            </w:r>
          </w:p>
        </w:tc>
        <w:tc>
          <w:tcPr>
            <w:tcW w:w="992" w:type="dxa"/>
            <w:tcBorders>
              <w:top w:val="single" w:sz="12" w:space="0" w:color="auto"/>
              <w:left w:val="single" w:sz="4" w:space="0" w:color="FFFFFF" w:themeColor="background1"/>
              <w:right w:val="single" w:sz="4" w:space="0" w:color="FFFFFF" w:themeColor="background1"/>
            </w:tcBorders>
            <w:shd w:val="clear" w:color="auto" w:fill="FFFFFF" w:themeFill="background1"/>
          </w:tcPr>
          <w:p w14:paraId="58486DFE" w14:textId="1246DC24" w:rsidR="0081624F" w:rsidRDefault="005514C1" w:rsidP="00D7547F">
            <w:pPr>
              <w:jc w:val="center"/>
              <w:rPr>
                <w:rFonts w:ascii="Calibri" w:hAnsi="Calibri"/>
                <w:sz w:val="18"/>
                <w:szCs w:val="18"/>
              </w:rPr>
            </w:pPr>
            <w:r>
              <w:rPr>
                <w:rFonts w:ascii="Calibri" w:hAnsi="Calibri"/>
                <w:sz w:val="18"/>
                <w:szCs w:val="18"/>
              </w:rPr>
              <w:t>?</w:t>
            </w:r>
          </w:p>
        </w:tc>
        <w:tc>
          <w:tcPr>
            <w:tcW w:w="992" w:type="dxa"/>
            <w:tcBorders>
              <w:top w:val="single" w:sz="12" w:space="0" w:color="auto"/>
              <w:left w:val="single" w:sz="4" w:space="0" w:color="FFFFFF" w:themeColor="background1"/>
              <w:right w:val="single" w:sz="4" w:space="0" w:color="FFFFFF" w:themeColor="background1"/>
            </w:tcBorders>
          </w:tcPr>
          <w:p w14:paraId="6DB091B9" w14:textId="43780D3F" w:rsidR="0081624F" w:rsidRDefault="005514C1" w:rsidP="00D7547F">
            <w:pPr>
              <w:jc w:val="center"/>
              <w:rPr>
                <w:rFonts w:ascii="Calibri" w:hAnsi="Calibri"/>
                <w:sz w:val="18"/>
                <w:szCs w:val="18"/>
              </w:rPr>
            </w:pPr>
            <w:r>
              <w:rPr>
                <w:rFonts w:ascii="Calibri" w:hAnsi="Calibri"/>
                <w:sz w:val="18"/>
                <w:szCs w:val="18"/>
              </w:rPr>
              <w:t>?</w:t>
            </w:r>
          </w:p>
        </w:tc>
        <w:tc>
          <w:tcPr>
            <w:tcW w:w="7796" w:type="dxa"/>
            <w:tcBorders>
              <w:top w:val="single" w:sz="12" w:space="0" w:color="auto"/>
              <w:left w:val="single" w:sz="4" w:space="0" w:color="FFFFFF" w:themeColor="background1"/>
              <w:right w:val="single" w:sz="4" w:space="0" w:color="FFFFFF" w:themeColor="background1"/>
            </w:tcBorders>
          </w:tcPr>
          <w:p w14:paraId="3D3AAC34" w14:textId="77777777"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Anti-smoking advertisements and mass media campaigns reduce cigarette consumption, but their independent effects could not be separated from concurrent interventions</w:t>
            </w:r>
          </w:p>
          <w:p w14:paraId="29D347FD" w14:textId="4658FB15"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Mass media campaigns appear to be important components of larger tobacco control programs</w:t>
            </w:r>
          </w:p>
        </w:tc>
        <w:tc>
          <w:tcPr>
            <w:tcW w:w="1333" w:type="dxa"/>
            <w:tcBorders>
              <w:top w:val="single" w:sz="12" w:space="0" w:color="auto"/>
              <w:left w:val="single" w:sz="4" w:space="0" w:color="FFFFFF" w:themeColor="background1"/>
              <w:right w:val="single" w:sz="4" w:space="0" w:color="FFFFFF" w:themeColor="background1"/>
            </w:tcBorders>
          </w:tcPr>
          <w:p w14:paraId="51196A93" w14:textId="32DF91BE" w:rsidR="0081624F" w:rsidRDefault="004C4F33" w:rsidP="002C35E8">
            <w:pPr>
              <w:rPr>
                <w:rFonts w:ascii="Calibri" w:hAnsi="Calibri"/>
                <w:sz w:val="18"/>
                <w:szCs w:val="18"/>
              </w:rPr>
            </w:pPr>
            <w:r>
              <w:rPr>
                <w:rFonts w:ascii="Calibri" w:hAnsi="Calibri"/>
                <w:sz w:val="18"/>
                <w:szCs w:val="18"/>
              </w:rPr>
              <w:t>4/10 (HE)</w:t>
            </w:r>
          </w:p>
        </w:tc>
      </w:tr>
      <w:tr w:rsidR="0081624F" w:rsidRPr="005573A3" w14:paraId="0D21E94A"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7941207E" w14:textId="0EED1E09" w:rsidR="0081624F" w:rsidRPr="00F0774B" w:rsidRDefault="0081624F" w:rsidP="002C35E8">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2886919" w14:textId="45E701BC" w:rsidR="0081624F" w:rsidRPr="0025010C" w:rsidRDefault="0081624F" w:rsidP="004C4F33">
            <w:pPr>
              <w:rPr>
                <w:rFonts w:ascii="Calibri" w:hAnsi="Calibri"/>
                <w:sz w:val="18"/>
                <w:szCs w:val="18"/>
              </w:rPr>
            </w:pPr>
            <w:r>
              <w:rPr>
                <w:rFonts w:ascii="Calibri" w:hAnsi="Calibri"/>
                <w:sz w:val="18"/>
                <w:szCs w:val="18"/>
              </w:rPr>
              <w:t xml:space="preserve">Willemsen </w:t>
            </w:r>
            <w:r w:rsidR="004C4F33">
              <w:rPr>
                <w:rFonts w:ascii="Calibri" w:hAnsi="Calibri"/>
                <w:sz w:val="18"/>
                <w:szCs w:val="18"/>
              </w:rPr>
              <w:t xml:space="preserve">&amp; </w:t>
            </w:r>
            <w:r>
              <w:rPr>
                <w:rFonts w:ascii="Calibri" w:hAnsi="Calibri"/>
                <w:sz w:val="18"/>
                <w:szCs w:val="18"/>
              </w:rPr>
              <w:t>de Zwart 1999</w:t>
            </w:r>
          </w:p>
        </w:tc>
        <w:tc>
          <w:tcPr>
            <w:tcW w:w="992" w:type="dxa"/>
            <w:tcBorders>
              <w:left w:val="single" w:sz="4" w:space="0" w:color="FFFFFF" w:themeColor="background1"/>
              <w:right w:val="single" w:sz="4" w:space="0" w:color="FFFFFF" w:themeColor="background1"/>
            </w:tcBorders>
            <w:shd w:val="clear" w:color="auto" w:fill="FFFFFF" w:themeFill="background1"/>
          </w:tcPr>
          <w:p w14:paraId="5634D081" w14:textId="6FA0FE41" w:rsidR="0081624F" w:rsidRDefault="005514C1" w:rsidP="00D7547F">
            <w:pPr>
              <w:jc w:val="center"/>
              <w:rPr>
                <w:rFonts w:ascii="Calibri" w:hAnsi="Calibri"/>
                <w:sz w:val="18"/>
                <w:szCs w:val="18"/>
              </w:rPr>
            </w:pPr>
            <w:r>
              <w:rPr>
                <w:rFonts w:ascii="Calibri" w:hAnsi="Calibri"/>
                <w:sz w:val="18"/>
                <w:szCs w:val="18"/>
              </w:rPr>
              <w:t>?</w:t>
            </w:r>
          </w:p>
        </w:tc>
        <w:tc>
          <w:tcPr>
            <w:tcW w:w="992" w:type="dxa"/>
            <w:tcBorders>
              <w:left w:val="single" w:sz="4" w:space="0" w:color="FFFFFF" w:themeColor="background1"/>
              <w:right w:val="single" w:sz="4" w:space="0" w:color="FFFFFF" w:themeColor="background1"/>
            </w:tcBorders>
          </w:tcPr>
          <w:p w14:paraId="432FB855" w14:textId="30EC75E9" w:rsidR="0081624F" w:rsidRDefault="0081624F" w:rsidP="00D7547F">
            <w:pPr>
              <w:jc w:val="center"/>
              <w:rPr>
                <w:rFonts w:ascii="Calibri" w:hAnsi="Calibri"/>
                <w:sz w:val="18"/>
                <w:szCs w:val="18"/>
              </w:rPr>
            </w:pPr>
            <w:r>
              <w:rPr>
                <w:rFonts w:ascii="Calibri" w:hAnsi="Calibri"/>
                <w:sz w:val="18"/>
                <w:szCs w:val="18"/>
              </w:rPr>
              <w:t>1998</w:t>
            </w:r>
          </w:p>
        </w:tc>
        <w:tc>
          <w:tcPr>
            <w:tcW w:w="7796" w:type="dxa"/>
            <w:tcBorders>
              <w:left w:val="single" w:sz="4" w:space="0" w:color="FFFFFF" w:themeColor="background1"/>
              <w:right w:val="single" w:sz="4" w:space="0" w:color="FFFFFF" w:themeColor="background1"/>
            </w:tcBorders>
          </w:tcPr>
          <w:p w14:paraId="02C94085" w14:textId="77777777"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Insufficient evidence exists for the effect of warning labels, plain packaging and bans on small packaging (i.e., “kiddie” packs with reduced number of cigarettes) on smoking behaviour</w:t>
            </w:r>
          </w:p>
          <w:p w14:paraId="18BF7C0F" w14:textId="5031D248" w:rsidR="0081624F" w:rsidRPr="0097597C"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Insufficient evidence exists for the effect of mass media campaigns on smoking behaviour; campaigns may be effective if combined with school smoking prevention programs</w:t>
            </w:r>
          </w:p>
        </w:tc>
        <w:tc>
          <w:tcPr>
            <w:tcW w:w="1333" w:type="dxa"/>
            <w:tcBorders>
              <w:left w:val="single" w:sz="4" w:space="0" w:color="FFFFFF" w:themeColor="background1"/>
              <w:right w:val="single" w:sz="4" w:space="0" w:color="FFFFFF" w:themeColor="background1"/>
            </w:tcBorders>
          </w:tcPr>
          <w:p w14:paraId="791DF3E1" w14:textId="4A3A6FB9" w:rsidR="0081624F" w:rsidRDefault="004C4F33" w:rsidP="002C35E8">
            <w:pPr>
              <w:rPr>
                <w:rFonts w:ascii="Calibri" w:hAnsi="Calibri"/>
                <w:sz w:val="18"/>
                <w:szCs w:val="18"/>
              </w:rPr>
            </w:pPr>
            <w:r>
              <w:rPr>
                <w:rFonts w:ascii="Calibri" w:hAnsi="Calibri"/>
                <w:sz w:val="18"/>
                <w:szCs w:val="18"/>
              </w:rPr>
              <w:t>2/10 (HE)</w:t>
            </w:r>
          </w:p>
        </w:tc>
      </w:tr>
      <w:tr w:rsidR="0081624F" w:rsidRPr="005573A3" w14:paraId="60A7C1EA"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0327A359" w14:textId="77777777" w:rsidR="0081624F" w:rsidRPr="00F0774B" w:rsidRDefault="0081624F" w:rsidP="002C35E8">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22B22F0D" w14:textId="63ABA795" w:rsidR="0081624F" w:rsidRDefault="0081624F" w:rsidP="005023B5">
            <w:pPr>
              <w:rPr>
                <w:rFonts w:ascii="Calibri" w:hAnsi="Calibri"/>
                <w:sz w:val="18"/>
                <w:szCs w:val="18"/>
              </w:rPr>
            </w:pPr>
            <w:r>
              <w:rPr>
                <w:rFonts w:ascii="Calibri" w:hAnsi="Calibri"/>
                <w:sz w:val="18"/>
                <w:szCs w:val="18"/>
              </w:rPr>
              <w:t xml:space="preserve">Lantz </w:t>
            </w:r>
            <w:r w:rsidRPr="0070369F">
              <w:rPr>
                <w:rFonts w:ascii="Calibri" w:hAnsi="Calibri"/>
                <w:i/>
                <w:sz w:val="18"/>
                <w:szCs w:val="18"/>
              </w:rPr>
              <w:t>et al</w:t>
            </w:r>
            <w:r>
              <w:rPr>
                <w:rFonts w:ascii="Calibri" w:hAnsi="Calibri"/>
                <w:i/>
                <w:sz w:val="18"/>
                <w:szCs w:val="18"/>
              </w:rPr>
              <w:t>.</w:t>
            </w:r>
            <w:r>
              <w:rPr>
                <w:rFonts w:ascii="Calibri" w:hAnsi="Calibri"/>
                <w:sz w:val="18"/>
                <w:szCs w:val="18"/>
              </w:rPr>
              <w:t xml:space="preserve"> 2000</w:t>
            </w:r>
          </w:p>
        </w:tc>
        <w:tc>
          <w:tcPr>
            <w:tcW w:w="992" w:type="dxa"/>
            <w:tcBorders>
              <w:left w:val="single" w:sz="4" w:space="0" w:color="FFFFFF" w:themeColor="background1"/>
              <w:right w:val="single" w:sz="4" w:space="0" w:color="FFFFFF" w:themeColor="background1"/>
            </w:tcBorders>
            <w:shd w:val="clear" w:color="auto" w:fill="FFFFFF" w:themeFill="background1"/>
          </w:tcPr>
          <w:p w14:paraId="28C3D586" w14:textId="0E46F1B0" w:rsidR="0081624F" w:rsidRDefault="005514C1" w:rsidP="00D7547F">
            <w:pPr>
              <w:jc w:val="center"/>
              <w:rPr>
                <w:rFonts w:ascii="Calibri" w:hAnsi="Calibri"/>
                <w:sz w:val="18"/>
                <w:szCs w:val="18"/>
              </w:rPr>
            </w:pPr>
            <w:r>
              <w:rPr>
                <w:rFonts w:ascii="Calibri" w:hAnsi="Calibri"/>
                <w:sz w:val="18"/>
                <w:szCs w:val="18"/>
              </w:rPr>
              <w:t>?</w:t>
            </w:r>
          </w:p>
        </w:tc>
        <w:tc>
          <w:tcPr>
            <w:tcW w:w="992" w:type="dxa"/>
            <w:tcBorders>
              <w:left w:val="single" w:sz="4" w:space="0" w:color="FFFFFF" w:themeColor="background1"/>
              <w:right w:val="single" w:sz="4" w:space="0" w:color="FFFFFF" w:themeColor="background1"/>
            </w:tcBorders>
          </w:tcPr>
          <w:p w14:paraId="7BE35150" w14:textId="52B299F8" w:rsidR="0081624F" w:rsidRDefault="005514C1"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116A18D6" w14:textId="77777777"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Mass media campaigns may reduce smoking behaviour in youths, but their individual impact is difficult to evaluate and has not yet been demonstrated</w:t>
            </w:r>
          </w:p>
          <w:p w14:paraId="5AB36FE2" w14:textId="2E4795A5"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Sustained multi-year campaigns using a strong social marketing approach are likely most effective</w:t>
            </w:r>
          </w:p>
        </w:tc>
        <w:tc>
          <w:tcPr>
            <w:tcW w:w="1333" w:type="dxa"/>
            <w:tcBorders>
              <w:left w:val="single" w:sz="4" w:space="0" w:color="FFFFFF" w:themeColor="background1"/>
              <w:right w:val="single" w:sz="4" w:space="0" w:color="FFFFFF" w:themeColor="background1"/>
            </w:tcBorders>
            <w:shd w:val="clear" w:color="auto" w:fill="auto"/>
          </w:tcPr>
          <w:p w14:paraId="6D89F5CE" w14:textId="3D2FB7FC" w:rsidR="0081624F" w:rsidRDefault="004C4F33" w:rsidP="002C35E8">
            <w:pPr>
              <w:rPr>
                <w:rFonts w:ascii="Calibri" w:hAnsi="Calibri"/>
                <w:sz w:val="18"/>
                <w:szCs w:val="18"/>
              </w:rPr>
            </w:pPr>
            <w:r>
              <w:rPr>
                <w:rFonts w:ascii="Calibri" w:hAnsi="Calibri"/>
                <w:sz w:val="18"/>
                <w:szCs w:val="18"/>
              </w:rPr>
              <w:t>1/10 (Authors)</w:t>
            </w:r>
          </w:p>
        </w:tc>
      </w:tr>
      <w:tr w:rsidR="0081624F" w:rsidRPr="005573A3" w14:paraId="7E5FE343" w14:textId="77777777" w:rsidTr="00A923F0">
        <w:trPr>
          <w:cantSplit/>
          <w:trHeight w:val="64"/>
          <w:jc w:val="center"/>
        </w:trPr>
        <w:tc>
          <w:tcPr>
            <w:tcW w:w="1172" w:type="dxa"/>
            <w:vMerge/>
            <w:tcBorders>
              <w:left w:val="single" w:sz="4" w:space="0" w:color="FFFFFF" w:themeColor="background1"/>
              <w:right w:val="single" w:sz="4" w:space="0" w:color="FFFFFF" w:themeColor="background1"/>
            </w:tcBorders>
          </w:tcPr>
          <w:p w14:paraId="624A0115" w14:textId="30DD56F5" w:rsidR="0081624F" w:rsidRPr="00F0774B" w:rsidRDefault="0081624F" w:rsidP="002C35E8">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C187AAA" w14:textId="4B48D90B" w:rsidR="0081624F" w:rsidRPr="0025010C" w:rsidRDefault="0081624F" w:rsidP="005023B5">
            <w:pPr>
              <w:rPr>
                <w:rFonts w:ascii="Calibri" w:hAnsi="Calibri"/>
                <w:sz w:val="18"/>
                <w:szCs w:val="18"/>
              </w:rPr>
            </w:pPr>
            <w:r w:rsidRPr="0025010C">
              <w:rPr>
                <w:rFonts w:ascii="Calibri" w:hAnsi="Calibri"/>
                <w:sz w:val="18"/>
                <w:szCs w:val="18"/>
              </w:rPr>
              <w:t xml:space="preserve">Hopkins </w:t>
            </w:r>
            <w:r w:rsidRPr="0025010C">
              <w:rPr>
                <w:rFonts w:ascii="Calibri" w:hAnsi="Calibri"/>
                <w:i/>
                <w:sz w:val="18"/>
                <w:szCs w:val="18"/>
              </w:rPr>
              <w:t>et al</w:t>
            </w:r>
            <w:r>
              <w:rPr>
                <w:rFonts w:ascii="Calibri" w:hAnsi="Calibri"/>
                <w:i/>
                <w:sz w:val="18"/>
                <w:szCs w:val="18"/>
              </w:rPr>
              <w:t>.</w:t>
            </w:r>
            <w:r w:rsidRPr="0025010C">
              <w:rPr>
                <w:rFonts w:ascii="Calibri" w:hAnsi="Calibri"/>
                <w:sz w:val="18"/>
                <w:szCs w:val="18"/>
              </w:rPr>
              <w:t xml:space="preserve"> 2001</w:t>
            </w:r>
          </w:p>
        </w:tc>
        <w:tc>
          <w:tcPr>
            <w:tcW w:w="992" w:type="dxa"/>
            <w:tcBorders>
              <w:left w:val="single" w:sz="4" w:space="0" w:color="FFFFFF" w:themeColor="background1"/>
              <w:right w:val="single" w:sz="4" w:space="0" w:color="FFFFFF" w:themeColor="background1"/>
            </w:tcBorders>
          </w:tcPr>
          <w:p w14:paraId="1615B090" w14:textId="4CFC22E9" w:rsidR="0081624F" w:rsidRDefault="0081624F" w:rsidP="00D7547F">
            <w:pPr>
              <w:jc w:val="center"/>
              <w:rPr>
                <w:rFonts w:ascii="Calibri" w:hAnsi="Calibri"/>
                <w:sz w:val="18"/>
                <w:szCs w:val="18"/>
              </w:rPr>
            </w:pPr>
            <w:r>
              <w:rPr>
                <w:rFonts w:ascii="Calibri" w:hAnsi="Calibri"/>
                <w:sz w:val="18"/>
                <w:szCs w:val="18"/>
              </w:rPr>
              <w:t>37</w:t>
            </w:r>
          </w:p>
        </w:tc>
        <w:tc>
          <w:tcPr>
            <w:tcW w:w="992" w:type="dxa"/>
            <w:tcBorders>
              <w:left w:val="single" w:sz="4" w:space="0" w:color="FFFFFF" w:themeColor="background1"/>
              <w:right w:val="single" w:sz="4" w:space="0" w:color="FFFFFF" w:themeColor="background1"/>
            </w:tcBorders>
          </w:tcPr>
          <w:p w14:paraId="6226A525" w14:textId="1D490A1D" w:rsidR="0081624F" w:rsidRDefault="0081624F" w:rsidP="00D7547F">
            <w:pPr>
              <w:jc w:val="center"/>
              <w:rPr>
                <w:rFonts w:ascii="Calibri" w:hAnsi="Calibri"/>
                <w:sz w:val="18"/>
                <w:szCs w:val="18"/>
              </w:rPr>
            </w:pPr>
            <w:r>
              <w:rPr>
                <w:rFonts w:ascii="Calibri" w:hAnsi="Calibri"/>
                <w:sz w:val="18"/>
                <w:szCs w:val="18"/>
              </w:rPr>
              <w:t>2000</w:t>
            </w:r>
          </w:p>
        </w:tc>
        <w:tc>
          <w:tcPr>
            <w:tcW w:w="7796" w:type="dxa"/>
            <w:tcBorders>
              <w:left w:val="single" w:sz="4" w:space="0" w:color="FFFFFF" w:themeColor="background1"/>
              <w:right w:val="single" w:sz="4" w:space="0" w:color="FFFFFF" w:themeColor="background1"/>
            </w:tcBorders>
          </w:tcPr>
          <w:p w14:paraId="182213D3" w14:textId="06E0409E" w:rsidR="0081624F" w:rsidRPr="00D7547F"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Mass media campaigns reduce </w:t>
            </w:r>
            <w:r w:rsidR="00500993">
              <w:rPr>
                <w:rFonts w:ascii="Calibri" w:hAnsi="Calibri"/>
                <w:sz w:val="18"/>
                <w:szCs w:val="18"/>
              </w:rPr>
              <w:t>smoking</w:t>
            </w:r>
            <w:r w:rsidRPr="0097597C">
              <w:rPr>
                <w:rFonts w:ascii="Calibri" w:hAnsi="Calibri"/>
                <w:sz w:val="18"/>
                <w:szCs w:val="18"/>
              </w:rPr>
              <w:t xml:space="preserve"> prevalence and promote </w:t>
            </w:r>
            <w:r w:rsidR="00500993">
              <w:rPr>
                <w:rFonts w:ascii="Calibri" w:hAnsi="Calibri"/>
                <w:sz w:val="18"/>
                <w:szCs w:val="18"/>
              </w:rPr>
              <w:t xml:space="preserve">smoking </w:t>
            </w:r>
            <w:r w:rsidRPr="0097597C">
              <w:rPr>
                <w:rFonts w:ascii="Calibri" w:hAnsi="Calibri"/>
                <w:sz w:val="18"/>
                <w:szCs w:val="18"/>
              </w:rPr>
              <w:t>cessation, but only when combined with other interventions</w:t>
            </w:r>
            <w:r w:rsidR="00500993">
              <w:rPr>
                <w:rFonts w:ascii="Calibri" w:hAnsi="Calibri"/>
                <w:sz w:val="18"/>
                <w:szCs w:val="18"/>
              </w:rPr>
              <w:t>; their individual effects</w:t>
            </w:r>
            <w:r w:rsidRPr="00D7547F">
              <w:rPr>
                <w:rFonts w:ascii="Calibri" w:hAnsi="Calibri"/>
                <w:sz w:val="18"/>
                <w:szCs w:val="18"/>
              </w:rPr>
              <w:t xml:space="preserve"> cannot be determined</w:t>
            </w:r>
          </w:p>
          <w:p w14:paraId="7F9A7107" w14:textId="6E5F4D6E"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Insufficient evidence exists for mass media series and contests</w:t>
            </w:r>
          </w:p>
        </w:tc>
        <w:tc>
          <w:tcPr>
            <w:tcW w:w="1333" w:type="dxa"/>
            <w:tcBorders>
              <w:left w:val="single" w:sz="4" w:space="0" w:color="FFFFFF" w:themeColor="background1"/>
              <w:right w:val="single" w:sz="4" w:space="0" w:color="FFFFFF" w:themeColor="background1"/>
            </w:tcBorders>
          </w:tcPr>
          <w:p w14:paraId="079F1E73" w14:textId="118A7379" w:rsidR="0081624F" w:rsidRDefault="004C4F33" w:rsidP="00344E27">
            <w:pPr>
              <w:rPr>
                <w:rFonts w:ascii="Calibri" w:hAnsi="Calibri"/>
                <w:sz w:val="18"/>
                <w:szCs w:val="18"/>
              </w:rPr>
            </w:pPr>
            <w:r>
              <w:rPr>
                <w:rFonts w:ascii="Calibri" w:hAnsi="Calibri"/>
                <w:sz w:val="18"/>
                <w:szCs w:val="18"/>
              </w:rPr>
              <w:t>10/10 (HE)</w:t>
            </w:r>
          </w:p>
        </w:tc>
      </w:tr>
      <w:tr w:rsidR="0081624F" w:rsidRPr="005573A3" w14:paraId="2B9E9BEA" w14:textId="77777777" w:rsidTr="00A923F0">
        <w:trPr>
          <w:cantSplit/>
          <w:trHeight w:val="926"/>
          <w:jc w:val="center"/>
        </w:trPr>
        <w:tc>
          <w:tcPr>
            <w:tcW w:w="1172" w:type="dxa"/>
            <w:vMerge/>
            <w:tcBorders>
              <w:left w:val="single" w:sz="4" w:space="0" w:color="FFFFFF" w:themeColor="background1"/>
              <w:right w:val="single" w:sz="4" w:space="0" w:color="FFFFFF" w:themeColor="background1"/>
            </w:tcBorders>
          </w:tcPr>
          <w:p w14:paraId="7C32D13E"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492249E" w14:textId="14C6B154" w:rsidR="0081624F" w:rsidRDefault="0081624F" w:rsidP="005023B5">
            <w:pPr>
              <w:rPr>
                <w:rFonts w:ascii="Calibri" w:hAnsi="Calibri"/>
                <w:sz w:val="18"/>
                <w:szCs w:val="18"/>
              </w:rPr>
            </w:pPr>
            <w:r>
              <w:rPr>
                <w:rFonts w:ascii="Calibri" w:hAnsi="Calibri"/>
                <w:sz w:val="18"/>
                <w:szCs w:val="18"/>
              </w:rPr>
              <w:t>Silver 2001</w:t>
            </w:r>
          </w:p>
        </w:tc>
        <w:tc>
          <w:tcPr>
            <w:tcW w:w="992" w:type="dxa"/>
            <w:tcBorders>
              <w:left w:val="single" w:sz="4" w:space="0" w:color="FFFFFF" w:themeColor="background1"/>
              <w:right w:val="single" w:sz="4" w:space="0" w:color="FFFFFF" w:themeColor="background1"/>
            </w:tcBorders>
            <w:shd w:val="clear" w:color="auto" w:fill="FFFFFF" w:themeFill="background1"/>
          </w:tcPr>
          <w:p w14:paraId="3593AD39" w14:textId="1F671528" w:rsidR="0081624F" w:rsidRDefault="0081624F" w:rsidP="00D7547F">
            <w:pPr>
              <w:jc w:val="center"/>
              <w:rPr>
                <w:rFonts w:ascii="Calibri" w:hAnsi="Calibri"/>
                <w:sz w:val="18"/>
                <w:szCs w:val="18"/>
              </w:rPr>
            </w:pPr>
            <w:r>
              <w:rPr>
                <w:rFonts w:ascii="Calibri" w:hAnsi="Calibri"/>
                <w:sz w:val="18"/>
                <w:szCs w:val="18"/>
              </w:rPr>
              <w:t>3</w:t>
            </w:r>
          </w:p>
        </w:tc>
        <w:tc>
          <w:tcPr>
            <w:tcW w:w="992" w:type="dxa"/>
            <w:tcBorders>
              <w:left w:val="single" w:sz="4" w:space="0" w:color="FFFFFF" w:themeColor="background1"/>
              <w:right w:val="single" w:sz="4" w:space="0" w:color="FFFFFF" w:themeColor="background1"/>
            </w:tcBorders>
          </w:tcPr>
          <w:p w14:paraId="7D6925CA" w14:textId="28C99F4E" w:rsidR="0081624F" w:rsidRDefault="005514C1"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13620A90" w14:textId="562A9639"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One study reported that younger adolescents (12 to 13 years) exposed to television anti-smoking advertisements were less likely to become established smokers; the effect was not observed in older adolescents (14 – 15 years)</w:t>
            </w:r>
          </w:p>
          <w:p w14:paraId="121989DE" w14:textId="27EC77F1"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One study reported that school-based interventions were 40% more effective in reducing the weekly smoking rate of adolescent girls at risk of smoking if they included mass media interventions</w:t>
            </w:r>
          </w:p>
          <w:p w14:paraId="45DBBE87" w14:textId="78CAC2F7" w:rsidR="0081624F" w:rsidRPr="0097597C"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The last study did not assess smoking behaviour-related outcomes</w:t>
            </w:r>
          </w:p>
        </w:tc>
        <w:tc>
          <w:tcPr>
            <w:tcW w:w="1333" w:type="dxa"/>
            <w:tcBorders>
              <w:left w:val="single" w:sz="4" w:space="0" w:color="FFFFFF" w:themeColor="background1"/>
              <w:right w:val="single" w:sz="4" w:space="0" w:color="FFFFFF" w:themeColor="background1"/>
            </w:tcBorders>
          </w:tcPr>
          <w:p w14:paraId="36385EEE" w14:textId="3AD1EDB6" w:rsidR="0081624F" w:rsidRDefault="004C4F33" w:rsidP="005023B5">
            <w:pPr>
              <w:rPr>
                <w:rFonts w:ascii="Calibri" w:hAnsi="Calibri"/>
                <w:sz w:val="18"/>
                <w:szCs w:val="18"/>
              </w:rPr>
            </w:pPr>
            <w:r>
              <w:rPr>
                <w:rFonts w:ascii="Calibri" w:hAnsi="Calibri"/>
                <w:sz w:val="18"/>
                <w:szCs w:val="18"/>
              </w:rPr>
              <w:t>4/10 (HE)</w:t>
            </w:r>
          </w:p>
        </w:tc>
      </w:tr>
      <w:tr w:rsidR="0081624F" w:rsidRPr="005573A3" w14:paraId="1760B498" w14:textId="77777777" w:rsidTr="00A923F0">
        <w:trPr>
          <w:cantSplit/>
          <w:trHeight w:val="64"/>
          <w:jc w:val="center"/>
        </w:trPr>
        <w:tc>
          <w:tcPr>
            <w:tcW w:w="1172" w:type="dxa"/>
            <w:vMerge/>
            <w:tcBorders>
              <w:left w:val="single" w:sz="4" w:space="0" w:color="FFFFFF" w:themeColor="background1"/>
              <w:right w:val="single" w:sz="4" w:space="0" w:color="FFFFFF" w:themeColor="background1"/>
            </w:tcBorders>
          </w:tcPr>
          <w:p w14:paraId="445AE86F"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6E93B57A" w14:textId="22993344" w:rsidR="0081624F" w:rsidRDefault="0081624F" w:rsidP="004C4F33">
            <w:pPr>
              <w:rPr>
                <w:rFonts w:ascii="Calibri" w:hAnsi="Calibri"/>
                <w:sz w:val="18"/>
                <w:szCs w:val="18"/>
              </w:rPr>
            </w:pPr>
            <w:r>
              <w:rPr>
                <w:rFonts w:ascii="Calibri" w:hAnsi="Calibri"/>
                <w:sz w:val="18"/>
                <w:szCs w:val="18"/>
              </w:rPr>
              <w:t xml:space="preserve">Friend </w:t>
            </w:r>
            <w:r w:rsidR="004C4F33">
              <w:rPr>
                <w:rFonts w:ascii="Calibri" w:hAnsi="Calibri"/>
                <w:sz w:val="18"/>
                <w:szCs w:val="18"/>
              </w:rPr>
              <w:t xml:space="preserve">&amp; </w:t>
            </w:r>
            <w:r>
              <w:rPr>
                <w:rFonts w:ascii="Calibri" w:hAnsi="Calibri"/>
                <w:sz w:val="18"/>
                <w:szCs w:val="18"/>
              </w:rPr>
              <w:t>Levy 2002</w:t>
            </w:r>
          </w:p>
        </w:tc>
        <w:tc>
          <w:tcPr>
            <w:tcW w:w="992" w:type="dxa"/>
            <w:tcBorders>
              <w:left w:val="single" w:sz="4" w:space="0" w:color="FFFFFF" w:themeColor="background1"/>
              <w:right w:val="single" w:sz="4" w:space="0" w:color="FFFFFF" w:themeColor="background1"/>
            </w:tcBorders>
            <w:shd w:val="clear" w:color="auto" w:fill="auto"/>
          </w:tcPr>
          <w:p w14:paraId="33A5EA47" w14:textId="59F12F81" w:rsidR="0081624F" w:rsidRDefault="005514C1" w:rsidP="00D7547F">
            <w:pPr>
              <w:jc w:val="center"/>
              <w:rPr>
                <w:rFonts w:ascii="Calibri" w:hAnsi="Calibri"/>
                <w:sz w:val="18"/>
                <w:szCs w:val="18"/>
              </w:rPr>
            </w:pPr>
            <w:r>
              <w:rPr>
                <w:rFonts w:ascii="Calibri" w:hAnsi="Calibri"/>
                <w:sz w:val="18"/>
                <w:szCs w:val="18"/>
              </w:rPr>
              <w:t>?</w:t>
            </w:r>
          </w:p>
        </w:tc>
        <w:tc>
          <w:tcPr>
            <w:tcW w:w="992" w:type="dxa"/>
            <w:tcBorders>
              <w:left w:val="single" w:sz="4" w:space="0" w:color="FFFFFF" w:themeColor="background1"/>
              <w:right w:val="single" w:sz="4" w:space="0" w:color="FFFFFF" w:themeColor="background1"/>
            </w:tcBorders>
          </w:tcPr>
          <w:p w14:paraId="7F19816D" w14:textId="14B83C3C" w:rsidR="0081624F" w:rsidRDefault="005514C1"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1087386C" w14:textId="7E5C97CA"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Based on studies of statewide tobacco control programs in the US, well-funded and implemented mass media campaigns accompanied by comprehensive tobacco control programs reduce smoking prevalence and cigarette consumption; the effect of campaigns directed at youths is less clear</w:t>
            </w:r>
          </w:p>
        </w:tc>
        <w:tc>
          <w:tcPr>
            <w:tcW w:w="1333" w:type="dxa"/>
            <w:tcBorders>
              <w:left w:val="single" w:sz="4" w:space="0" w:color="FFFFFF" w:themeColor="background1"/>
              <w:right w:val="single" w:sz="4" w:space="0" w:color="FFFFFF" w:themeColor="background1"/>
            </w:tcBorders>
          </w:tcPr>
          <w:p w14:paraId="57168E5F" w14:textId="2A12B68C" w:rsidR="0081624F" w:rsidRDefault="004C4F33" w:rsidP="00D175C4">
            <w:pPr>
              <w:rPr>
                <w:rFonts w:ascii="Calibri" w:hAnsi="Calibri"/>
                <w:sz w:val="18"/>
                <w:szCs w:val="18"/>
              </w:rPr>
            </w:pPr>
            <w:r>
              <w:rPr>
                <w:rFonts w:ascii="Calibri" w:hAnsi="Calibri"/>
                <w:sz w:val="18"/>
                <w:szCs w:val="18"/>
              </w:rPr>
              <w:t>4/10 (HE)</w:t>
            </w:r>
          </w:p>
        </w:tc>
      </w:tr>
      <w:tr w:rsidR="0081624F" w:rsidRPr="005573A3" w14:paraId="1856EF89" w14:textId="77777777" w:rsidTr="00A923F0">
        <w:trPr>
          <w:cantSplit/>
          <w:trHeight w:val="926"/>
          <w:jc w:val="center"/>
        </w:trPr>
        <w:tc>
          <w:tcPr>
            <w:tcW w:w="1172" w:type="dxa"/>
            <w:vMerge/>
            <w:tcBorders>
              <w:left w:val="single" w:sz="4" w:space="0" w:color="FFFFFF" w:themeColor="background1"/>
              <w:right w:val="single" w:sz="4" w:space="0" w:color="FFFFFF" w:themeColor="background1"/>
            </w:tcBorders>
          </w:tcPr>
          <w:p w14:paraId="034F1622"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0C10B766" w14:textId="44BB53A3" w:rsidR="0081624F" w:rsidRPr="00D175C4" w:rsidRDefault="0081624F" w:rsidP="005023B5">
            <w:pPr>
              <w:rPr>
                <w:rFonts w:ascii="Calibri" w:hAnsi="Calibri"/>
                <w:sz w:val="18"/>
                <w:szCs w:val="18"/>
              </w:rPr>
            </w:pPr>
            <w:r>
              <w:rPr>
                <w:rFonts w:ascii="Calibri" w:hAnsi="Calibri"/>
                <w:sz w:val="18"/>
                <w:szCs w:val="18"/>
              </w:rPr>
              <w:t xml:space="preserve">Snyder </w:t>
            </w:r>
            <w:r>
              <w:rPr>
                <w:rFonts w:ascii="Calibri" w:hAnsi="Calibri"/>
                <w:i/>
                <w:sz w:val="18"/>
                <w:szCs w:val="18"/>
              </w:rPr>
              <w:t>et al.</w:t>
            </w:r>
            <w:r>
              <w:rPr>
                <w:rFonts w:ascii="Calibri" w:hAnsi="Calibri"/>
                <w:sz w:val="18"/>
                <w:szCs w:val="18"/>
              </w:rPr>
              <w:t xml:space="preserve"> 2004</w:t>
            </w:r>
          </w:p>
        </w:tc>
        <w:tc>
          <w:tcPr>
            <w:tcW w:w="992" w:type="dxa"/>
            <w:tcBorders>
              <w:left w:val="single" w:sz="4" w:space="0" w:color="FFFFFF" w:themeColor="background1"/>
              <w:right w:val="single" w:sz="4" w:space="0" w:color="FFFFFF" w:themeColor="background1"/>
            </w:tcBorders>
            <w:shd w:val="clear" w:color="auto" w:fill="auto"/>
          </w:tcPr>
          <w:p w14:paraId="78587B80" w14:textId="287EB292" w:rsidR="0081624F" w:rsidRDefault="0081624F" w:rsidP="00D7547F">
            <w:pPr>
              <w:jc w:val="center"/>
              <w:rPr>
                <w:rFonts w:ascii="Calibri" w:hAnsi="Calibri"/>
                <w:sz w:val="18"/>
                <w:szCs w:val="18"/>
              </w:rPr>
            </w:pPr>
            <w:r>
              <w:rPr>
                <w:rFonts w:ascii="Calibri" w:hAnsi="Calibri"/>
                <w:sz w:val="18"/>
                <w:szCs w:val="18"/>
              </w:rPr>
              <w:t>17</w:t>
            </w:r>
          </w:p>
        </w:tc>
        <w:tc>
          <w:tcPr>
            <w:tcW w:w="992" w:type="dxa"/>
            <w:tcBorders>
              <w:left w:val="single" w:sz="4" w:space="0" w:color="FFFFFF" w:themeColor="background1"/>
              <w:right w:val="single" w:sz="4" w:space="0" w:color="FFFFFF" w:themeColor="background1"/>
            </w:tcBorders>
          </w:tcPr>
          <w:p w14:paraId="7586DE37" w14:textId="3BCB8E4B" w:rsidR="0081624F" w:rsidRDefault="0081624F" w:rsidP="00D7547F">
            <w:pPr>
              <w:jc w:val="center"/>
              <w:rPr>
                <w:rFonts w:ascii="Calibri" w:hAnsi="Calibri"/>
                <w:sz w:val="18"/>
                <w:szCs w:val="18"/>
              </w:rPr>
            </w:pPr>
            <w:r>
              <w:rPr>
                <w:rFonts w:ascii="Calibri" w:hAnsi="Calibri"/>
                <w:sz w:val="18"/>
                <w:szCs w:val="18"/>
              </w:rPr>
              <w:t>1998</w:t>
            </w:r>
          </w:p>
        </w:tc>
        <w:tc>
          <w:tcPr>
            <w:tcW w:w="7796" w:type="dxa"/>
            <w:tcBorders>
              <w:left w:val="single" w:sz="4" w:space="0" w:color="FFFFFF" w:themeColor="background1"/>
              <w:right w:val="single" w:sz="4" w:space="0" w:color="FFFFFF" w:themeColor="background1"/>
            </w:tcBorders>
          </w:tcPr>
          <w:p w14:paraId="2E73F579" w14:textId="77777777"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Health communication campaigns cause small but significant changes in health behaviours, with addictive behaviours (i.e., smoking) being more difficult to change than non-addictive behaviours</w:t>
            </w:r>
          </w:p>
          <w:p w14:paraId="06557833" w14:textId="77777777"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The 18 studies on smoking campaigns reported a smaller effect size (average correlation = 0.05) than campaigns targeting other health behaviours (average correlation = 0.12)</w:t>
            </w:r>
          </w:p>
          <w:p w14:paraId="5207D74B" w14:textId="17F0F720"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The 13 studies specifically on smoking cessation campaigns also reported a smaller effect size (average correlation = 0.04) than other cessation campaigns (average correlation = 0.10)</w:t>
            </w:r>
          </w:p>
        </w:tc>
        <w:tc>
          <w:tcPr>
            <w:tcW w:w="1333" w:type="dxa"/>
            <w:tcBorders>
              <w:left w:val="single" w:sz="4" w:space="0" w:color="FFFFFF" w:themeColor="background1"/>
              <w:right w:val="single" w:sz="4" w:space="0" w:color="FFFFFF" w:themeColor="background1"/>
            </w:tcBorders>
          </w:tcPr>
          <w:p w14:paraId="24422374" w14:textId="2AF1F0FA" w:rsidR="0081624F" w:rsidRDefault="004C4F33" w:rsidP="005023B5">
            <w:pPr>
              <w:rPr>
                <w:rFonts w:ascii="Calibri" w:hAnsi="Calibri"/>
                <w:sz w:val="18"/>
                <w:szCs w:val="18"/>
              </w:rPr>
            </w:pPr>
            <w:r>
              <w:rPr>
                <w:rFonts w:ascii="Calibri" w:hAnsi="Calibri"/>
                <w:sz w:val="18"/>
                <w:szCs w:val="18"/>
              </w:rPr>
              <w:t>4/10 (HE)</w:t>
            </w:r>
          </w:p>
        </w:tc>
      </w:tr>
      <w:tr w:rsidR="0081624F" w:rsidRPr="005573A3" w14:paraId="30E6BAC8" w14:textId="77777777" w:rsidTr="00A923F0">
        <w:trPr>
          <w:cantSplit/>
          <w:trHeight w:val="926"/>
          <w:jc w:val="center"/>
        </w:trPr>
        <w:tc>
          <w:tcPr>
            <w:tcW w:w="1172" w:type="dxa"/>
            <w:vMerge/>
            <w:tcBorders>
              <w:left w:val="single" w:sz="4" w:space="0" w:color="FFFFFF" w:themeColor="background1"/>
              <w:right w:val="single" w:sz="4" w:space="0" w:color="FFFFFF" w:themeColor="background1"/>
            </w:tcBorders>
          </w:tcPr>
          <w:p w14:paraId="07FEEB77" w14:textId="111C9132"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99BE5D5" w14:textId="6184697B" w:rsidR="0081624F" w:rsidRDefault="0081624F" w:rsidP="005023B5">
            <w:pPr>
              <w:rPr>
                <w:rFonts w:ascii="Calibri" w:hAnsi="Calibri"/>
                <w:sz w:val="18"/>
                <w:szCs w:val="18"/>
              </w:rPr>
            </w:pPr>
            <w:r>
              <w:rPr>
                <w:rFonts w:ascii="Calibri" w:hAnsi="Calibri"/>
                <w:sz w:val="18"/>
                <w:szCs w:val="18"/>
              </w:rPr>
              <w:t xml:space="preserve">Jepson </w:t>
            </w:r>
            <w:r>
              <w:rPr>
                <w:rFonts w:ascii="Calibri" w:hAnsi="Calibri"/>
                <w:i/>
                <w:sz w:val="18"/>
                <w:szCs w:val="18"/>
              </w:rPr>
              <w:t>et al.</w:t>
            </w:r>
            <w:r>
              <w:rPr>
                <w:rFonts w:ascii="Calibri" w:hAnsi="Calibri"/>
                <w:sz w:val="18"/>
                <w:szCs w:val="18"/>
              </w:rPr>
              <w:t xml:space="preserve"> 2006</w:t>
            </w:r>
          </w:p>
        </w:tc>
        <w:tc>
          <w:tcPr>
            <w:tcW w:w="992" w:type="dxa"/>
            <w:tcBorders>
              <w:left w:val="single" w:sz="4" w:space="0" w:color="FFFFFF" w:themeColor="background1"/>
              <w:right w:val="single" w:sz="4" w:space="0" w:color="FFFFFF" w:themeColor="background1"/>
            </w:tcBorders>
          </w:tcPr>
          <w:p w14:paraId="36E97483" w14:textId="755DE61B" w:rsidR="0081624F" w:rsidRDefault="0081624F" w:rsidP="00D7547F">
            <w:pPr>
              <w:jc w:val="center"/>
              <w:rPr>
                <w:rFonts w:ascii="Calibri" w:hAnsi="Calibri"/>
                <w:sz w:val="18"/>
                <w:szCs w:val="18"/>
              </w:rPr>
            </w:pPr>
            <w:r>
              <w:rPr>
                <w:rFonts w:ascii="Calibri" w:hAnsi="Calibri"/>
                <w:sz w:val="18"/>
                <w:szCs w:val="18"/>
              </w:rPr>
              <w:t>44</w:t>
            </w:r>
          </w:p>
        </w:tc>
        <w:tc>
          <w:tcPr>
            <w:tcW w:w="992" w:type="dxa"/>
            <w:tcBorders>
              <w:left w:val="single" w:sz="4" w:space="0" w:color="FFFFFF" w:themeColor="background1"/>
              <w:right w:val="single" w:sz="4" w:space="0" w:color="FFFFFF" w:themeColor="background1"/>
            </w:tcBorders>
          </w:tcPr>
          <w:p w14:paraId="4CCCFFA9" w14:textId="5923365D" w:rsidR="0081624F" w:rsidRDefault="0081624F" w:rsidP="00D7547F">
            <w:pPr>
              <w:jc w:val="center"/>
              <w:rPr>
                <w:rFonts w:ascii="Calibri" w:hAnsi="Calibri"/>
                <w:sz w:val="18"/>
                <w:szCs w:val="18"/>
              </w:rPr>
            </w:pPr>
            <w:r>
              <w:rPr>
                <w:rFonts w:ascii="Calibri" w:hAnsi="Calibri"/>
                <w:sz w:val="18"/>
                <w:szCs w:val="18"/>
              </w:rPr>
              <w:t>2006</w:t>
            </w:r>
          </w:p>
        </w:tc>
        <w:tc>
          <w:tcPr>
            <w:tcW w:w="7796" w:type="dxa"/>
            <w:tcBorders>
              <w:left w:val="single" w:sz="4" w:space="0" w:color="FFFFFF" w:themeColor="background1"/>
              <w:right w:val="single" w:sz="4" w:space="0" w:color="FFFFFF" w:themeColor="background1"/>
            </w:tcBorders>
          </w:tcPr>
          <w:p w14:paraId="4E0440EB" w14:textId="2F48323A"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Multi-channel mass media interventions, those that combine two or more form</w:t>
            </w:r>
            <w:r>
              <w:rPr>
                <w:rFonts w:ascii="Calibri" w:hAnsi="Calibri"/>
                <w:sz w:val="18"/>
                <w:szCs w:val="18"/>
              </w:rPr>
              <w:t>s</w:t>
            </w:r>
            <w:r w:rsidRPr="0097597C">
              <w:rPr>
                <w:rFonts w:ascii="Calibri" w:hAnsi="Calibri"/>
                <w:sz w:val="18"/>
                <w:szCs w:val="18"/>
              </w:rPr>
              <w:t xml:space="preserve"> of media (e.g., internet, billboards, newspapers) appear to decrease smoking behavior and increase cessation</w:t>
            </w:r>
          </w:p>
          <w:p w14:paraId="143B61FF" w14:textId="77777777"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Developing culturally appropriate materials that target specific ethnicities and communities or airing campaigns at appropriate times during the day can be effective strategies</w:t>
            </w:r>
          </w:p>
          <w:p w14:paraId="6F78C3B8" w14:textId="1EB671AD"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There is limited evidence on the </w:t>
            </w:r>
            <w:r w:rsidR="00500993">
              <w:rPr>
                <w:rFonts w:ascii="Calibri" w:hAnsi="Calibri"/>
                <w:sz w:val="18"/>
                <w:szCs w:val="18"/>
              </w:rPr>
              <w:t>different</w:t>
            </w:r>
            <w:r w:rsidR="00500993" w:rsidRPr="0097597C">
              <w:rPr>
                <w:rFonts w:ascii="Calibri" w:hAnsi="Calibri"/>
                <w:sz w:val="18"/>
                <w:szCs w:val="18"/>
              </w:rPr>
              <w:t xml:space="preserve"> </w:t>
            </w:r>
            <w:r w:rsidRPr="0097597C">
              <w:rPr>
                <w:rFonts w:ascii="Calibri" w:hAnsi="Calibri"/>
                <w:sz w:val="18"/>
                <w:szCs w:val="18"/>
              </w:rPr>
              <w:t>effects of campaigns on population subgroups</w:t>
            </w:r>
          </w:p>
        </w:tc>
        <w:tc>
          <w:tcPr>
            <w:tcW w:w="1333" w:type="dxa"/>
            <w:tcBorders>
              <w:left w:val="single" w:sz="4" w:space="0" w:color="FFFFFF" w:themeColor="background1"/>
              <w:right w:val="single" w:sz="4" w:space="0" w:color="FFFFFF" w:themeColor="background1"/>
            </w:tcBorders>
          </w:tcPr>
          <w:p w14:paraId="26414452" w14:textId="5833BEEE" w:rsidR="0081624F" w:rsidRDefault="004C4F33" w:rsidP="005023B5">
            <w:pPr>
              <w:rPr>
                <w:rFonts w:ascii="Calibri" w:hAnsi="Calibri"/>
                <w:sz w:val="18"/>
                <w:szCs w:val="18"/>
              </w:rPr>
            </w:pPr>
            <w:r>
              <w:rPr>
                <w:rFonts w:ascii="Calibri" w:hAnsi="Calibri"/>
                <w:sz w:val="18"/>
                <w:szCs w:val="18"/>
              </w:rPr>
              <w:t>8/10 (HE)</w:t>
            </w:r>
          </w:p>
        </w:tc>
      </w:tr>
      <w:tr w:rsidR="0081624F" w:rsidRPr="005573A3" w14:paraId="231BC907" w14:textId="77777777" w:rsidTr="00A923F0">
        <w:trPr>
          <w:cantSplit/>
          <w:trHeight w:val="926"/>
          <w:jc w:val="center"/>
        </w:trPr>
        <w:tc>
          <w:tcPr>
            <w:tcW w:w="1172" w:type="dxa"/>
            <w:vMerge/>
            <w:tcBorders>
              <w:left w:val="single" w:sz="4" w:space="0" w:color="FFFFFF" w:themeColor="background1"/>
              <w:right w:val="single" w:sz="4" w:space="0" w:color="FFFFFF" w:themeColor="background1"/>
            </w:tcBorders>
          </w:tcPr>
          <w:p w14:paraId="3937E70D"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30A79D43" w14:textId="2FCF88A6" w:rsidR="0081624F" w:rsidRDefault="0081624F" w:rsidP="005023B5">
            <w:pPr>
              <w:rPr>
                <w:rFonts w:ascii="Calibri" w:hAnsi="Calibri"/>
                <w:sz w:val="18"/>
                <w:szCs w:val="18"/>
              </w:rPr>
            </w:pPr>
            <w:r>
              <w:rPr>
                <w:rFonts w:ascii="Calibri" w:hAnsi="Calibri"/>
                <w:sz w:val="18"/>
                <w:szCs w:val="18"/>
              </w:rPr>
              <w:t xml:space="preserve">Niederdeppe </w:t>
            </w:r>
            <w:r>
              <w:rPr>
                <w:rFonts w:ascii="Calibri" w:hAnsi="Calibri"/>
                <w:i/>
                <w:sz w:val="18"/>
                <w:szCs w:val="18"/>
              </w:rPr>
              <w:t>et al.</w:t>
            </w:r>
            <w:r>
              <w:rPr>
                <w:rFonts w:ascii="Calibri" w:hAnsi="Calibri"/>
                <w:sz w:val="18"/>
                <w:szCs w:val="18"/>
              </w:rPr>
              <w:t xml:space="preserve"> 2008</w:t>
            </w:r>
          </w:p>
        </w:tc>
        <w:tc>
          <w:tcPr>
            <w:tcW w:w="992" w:type="dxa"/>
            <w:tcBorders>
              <w:left w:val="single" w:sz="4" w:space="0" w:color="FFFFFF" w:themeColor="background1"/>
              <w:right w:val="single" w:sz="4" w:space="0" w:color="FFFFFF" w:themeColor="background1"/>
            </w:tcBorders>
          </w:tcPr>
          <w:p w14:paraId="15A3FBCB" w14:textId="0BBF1491" w:rsidR="0081624F" w:rsidRDefault="0081624F" w:rsidP="00D7547F">
            <w:pPr>
              <w:jc w:val="center"/>
              <w:rPr>
                <w:rFonts w:ascii="Calibri" w:hAnsi="Calibri"/>
                <w:sz w:val="18"/>
                <w:szCs w:val="18"/>
              </w:rPr>
            </w:pPr>
            <w:r>
              <w:rPr>
                <w:rFonts w:ascii="Calibri" w:hAnsi="Calibri"/>
                <w:sz w:val="18"/>
                <w:szCs w:val="18"/>
              </w:rPr>
              <w:t>50</w:t>
            </w:r>
          </w:p>
        </w:tc>
        <w:tc>
          <w:tcPr>
            <w:tcW w:w="992" w:type="dxa"/>
            <w:tcBorders>
              <w:left w:val="single" w:sz="4" w:space="0" w:color="FFFFFF" w:themeColor="background1"/>
              <w:right w:val="single" w:sz="4" w:space="0" w:color="FFFFFF" w:themeColor="background1"/>
            </w:tcBorders>
          </w:tcPr>
          <w:p w14:paraId="2948EE61" w14:textId="7AEB9180" w:rsidR="0081624F" w:rsidRDefault="005514C1"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5514A2CB" w14:textId="67EE1E58" w:rsidR="0081624F" w:rsidRPr="0097597C" w:rsidRDefault="00500993"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Smoking cessation media campaigns</w:t>
            </w:r>
            <w:r w:rsidR="0081624F" w:rsidRPr="0097597C">
              <w:rPr>
                <w:rFonts w:ascii="Calibri" w:hAnsi="Calibri"/>
                <w:sz w:val="18"/>
                <w:szCs w:val="18"/>
              </w:rPr>
              <w:t xml:space="preserve"> are </w:t>
            </w:r>
            <w:r>
              <w:rPr>
                <w:rFonts w:ascii="Calibri" w:hAnsi="Calibri"/>
                <w:sz w:val="18"/>
                <w:szCs w:val="18"/>
              </w:rPr>
              <w:t>often</w:t>
            </w:r>
            <w:r w:rsidRPr="0097597C">
              <w:rPr>
                <w:rFonts w:ascii="Calibri" w:hAnsi="Calibri"/>
                <w:sz w:val="18"/>
                <w:szCs w:val="18"/>
              </w:rPr>
              <w:t xml:space="preserve"> </w:t>
            </w:r>
            <w:r w:rsidR="0081624F" w:rsidRPr="0097597C">
              <w:rPr>
                <w:rFonts w:ascii="Calibri" w:hAnsi="Calibri"/>
                <w:sz w:val="18"/>
                <w:szCs w:val="18"/>
              </w:rPr>
              <w:t>less effective in persons of low socioeconomic status</w:t>
            </w:r>
          </w:p>
          <w:p w14:paraId="13B623B6" w14:textId="77777777"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Of 18 media campaigns directed at the general population, nine were less effective in persons of lower socioeconomic status than in persons of higher status, six were equally effective, and three were more effective</w:t>
            </w:r>
          </w:p>
          <w:p w14:paraId="6DEDCD50" w14:textId="4D84BF0E"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Of 13 media campaigns directed at persons of low socioeconomic status, eight reported mixed evidence while the other five reported strong evidence for ineffectiveness</w:t>
            </w:r>
          </w:p>
        </w:tc>
        <w:tc>
          <w:tcPr>
            <w:tcW w:w="1333" w:type="dxa"/>
            <w:tcBorders>
              <w:left w:val="single" w:sz="4" w:space="0" w:color="FFFFFF" w:themeColor="background1"/>
              <w:right w:val="single" w:sz="4" w:space="0" w:color="FFFFFF" w:themeColor="background1"/>
            </w:tcBorders>
          </w:tcPr>
          <w:p w14:paraId="7794D0D1" w14:textId="350F15DF" w:rsidR="0081624F" w:rsidRDefault="004C4F33" w:rsidP="00344E27">
            <w:pPr>
              <w:rPr>
                <w:rFonts w:ascii="Calibri" w:hAnsi="Calibri"/>
                <w:sz w:val="18"/>
                <w:szCs w:val="18"/>
              </w:rPr>
            </w:pPr>
            <w:r>
              <w:rPr>
                <w:rFonts w:ascii="Calibri" w:hAnsi="Calibri"/>
                <w:sz w:val="18"/>
                <w:szCs w:val="18"/>
              </w:rPr>
              <w:t>4/9 (Authors)</w:t>
            </w:r>
          </w:p>
        </w:tc>
      </w:tr>
      <w:tr w:rsidR="0081624F" w:rsidRPr="005573A3" w14:paraId="62550B7A" w14:textId="77777777" w:rsidTr="00A923F0">
        <w:trPr>
          <w:cantSplit/>
          <w:trHeight w:val="64"/>
          <w:jc w:val="center"/>
        </w:trPr>
        <w:tc>
          <w:tcPr>
            <w:tcW w:w="1172" w:type="dxa"/>
            <w:vMerge/>
            <w:tcBorders>
              <w:left w:val="single" w:sz="4" w:space="0" w:color="FFFFFF" w:themeColor="background1"/>
              <w:right w:val="single" w:sz="4" w:space="0" w:color="FFFFFF" w:themeColor="background1"/>
            </w:tcBorders>
          </w:tcPr>
          <w:p w14:paraId="13E9F6C3" w14:textId="77F521CB"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11AC4320" w14:textId="47BA1089" w:rsidR="0081624F" w:rsidRPr="009C48CE" w:rsidRDefault="0081624F" w:rsidP="005023B5">
            <w:pPr>
              <w:rPr>
                <w:rFonts w:ascii="Calibri" w:hAnsi="Calibri"/>
                <w:sz w:val="18"/>
                <w:szCs w:val="18"/>
              </w:rPr>
            </w:pPr>
            <w:r w:rsidRPr="009C48CE">
              <w:rPr>
                <w:rFonts w:ascii="Calibri" w:hAnsi="Calibri"/>
                <w:sz w:val="18"/>
                <w:szCs w:val="18"/>
              </w:rPr>
              <w:t xml:space="preserve">Thomas </w:t>
            </w:r>
            <w:r w:rsidRPr="009C48CE">
              <w:rPr>
                <w:rFonts w:ascii="Calibri" w:hAnsi="Calibri"/>
                <w:i/>
                <w:sz w:val="18"/>
                <w:szCs w:val="18"/>
              </w:rPr>
              <w:t>et al</w:t>
            </w:r>
            <w:r>
              <w:rPr>
                <w:rFonts w:ascii="Calibri" w:hAnsi="Calibri"/>
                <w:i/>
                <w:sz w:val="18"/>
                <w:szCs w:val="18"/>
              </w:rPr>
              <w:t>.</w:t>
            </w:r>
            <w:r w:rsidRPr="009C48CE">
              <w:rPr>
                <w:rFonts w:ascii="Calibri" w:hAnsi="Calibri"/>
                <w:sz w:val="18"/>
                <w:szCs w:val="18"/>
              </w:rPr>
              <w:t xml:space="preserve"> 2008</w:t>
            </w:r>
          </w:p>
        </w:tc>
        <w:tc>
          <w:tcPr>
            <w:tcW w:w="992" w:type="dxa"/>
            <w:tcBorders>
              <w:left w:val="single" w:sz="4" w:space="0" w:color="FFFFFF" w:themeColor="background1"/>
              <w:right w:val="single" w:sz="4" w:space="0" w:color="FFFFFF" w:themeColor="background1"/>
            </w:tcBorders>
          </w:tcPr>
          <w:p w14:paraId="34E14170" w14:textId="6C919F10" w:rsidR="0081624F" w:rsidRDefault="0081624F" w:rsidP="00D7547F">
            <w:pPr>
              <w:jc w:val="center"/>
              <w:rPr>
                <w:rFonts w:ascii="Calibri" w:hAnsi="Calibri"/>
                <w:sz w:val="18"/>
                <w:szCs w:val="18"/>
              </w:rPr>
            </w:pPr>
            <w:r>
              <w:rPr>
                <w:rFonts w:ascii="Calibri" w:hAnsi="Calibri"/>
                <w:sz w:val="18"/>
                <w:szCs w:val="18"/>
              </w:rPr>
              <w:t>5</w:t>
            </w:r>
          </w:p>
        </w:tc>
        <w:tc>
          <w:tcPr>
            <w:tcW w:w="992" w:type="dxa"/>
            <w:tcBorders>
              <w:left w:val="single" w:sz="4" w:space="0" w:color="FFFFFF" w:themeColor="background1"/>
              <w:right w:val="single" w:sz="4" w:space="0" w:color="FFFFFF" w:themeColor="background1"/>
            </w:tcBorders>
          </w:tcPr>
          <w:p w14:paraId="1897E384" w14:textId="4EFF5809" w:rsidR="0081624F" w:rsidRDefault="0081624F" w:rsidP="00D7547F">
            <w:pPr>
              <w:jc w:val="center"/>
              <w:rPr>
                <w:rFonts w:ascii="Calibri" w:hAnsi="Calibri"/>
                <w:sz w:val="18"/>
                <w:szCs w:val="18"/>
              </w:rPr>
            </w:pPr>
            <w:r>
              <w:rPr>
                <w:rFonts w:ascii="Calibri" w:hAnsi="Calibri"/>
                <w:sz w:val="18"/>
                <w:szCs w:val="18"/>
              </w:rPr>
              <w:t>2006</w:t>
            </w:r>
          </w:p>
        </w:tc>
        <w:tc>
          <w:tcPr>
            <w:tcW w:w="7796" w:type="dxa"/>
            <w:tcBorders>
              <w:left w:val="single" w:sz="4" w:space="0" w:color="FFFFFF" w:themeColor="background1"/>
              <w:right w:val="single" w:sz="4" w:space="0" w:color="FFFFFF" w:themeColor="background1"/>
            </w:tcBorders>
          </w:tcPr>
          <w:p w14:paraId="0B48EB87" w14:textId="77777777"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Health warnings and labels on tobacco products do not change smoking behavior and smoking-related attitudes in young people</w:t>
            </w:r>
          </w:p>
          <w:p w14:paraId="15FFFDF9" w14:textId="1EC6E82D"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Insufficient evidence exists for </w:t>
            </w:r>
            <w:r w:rsidR="00500993">
              <w:rPr>
                <w:rFonts w:ascii="Calibri" w:hAnsi="Calibri"/>
                <w:sz w:val="18"/>
                <w:szCs w:val="18"/>
              </w:rPr>
              <w:t>packaging</w:t>
            </w:r>
            <w:r w:rsidR="00500993" w:rsidRPr="0097597C">
              <w:rPr>
                <w:rFonts w:ascii="Calibri" w:hAnsi="Calibri"/>
                <w:sz w:val="18"/>
                <w:szCs w:val="18"/>
              </w:rPr>
              <w:t xml:space="preserve"> </w:t>
            </w:r>
            <w:r w:rsidRPr="0097597C">
              <w:rPr>
                <w:rFonts w:ascii="Calibri" w:hAnsi="Calibri"/>
                <w:sz w:val="18"/>
                <w:szCs w:val="18"/>
              </w:rPr>
              <w:t xml:space="preserve">interventions </w:t>
            </w:r>
            <w:r>
              <w:rPr>
                <w:rFonts w:ascii="Calibri" w:hAnsi="Calibri"/>
                <w:sz w:val="18"/>
                <w:szCs w:val="18"/>
              </w:rPr>
              <w:t>on</w:t>
            </w:r>
            <w:r w:rsidRPr="0097597C">
              <w:rPr>
                <w:rFonts w:ascii="Calibri" w:hAnsi="Calibri"/>
                <w:sz w:val="18"/>
                <w:szCs w:val="18"/>
              </w:rPr>
              <w:t xml:space="preserve"> other social inequalities in health</w:t>
            </w:r>
          </w:p>
        </w:tc>
        <w:tc>
          <w:tcPr>
            <w:tcW w:w="1333" w:type="dxa"/>
            <w:tcBorders>
              <w:left w:val="single" w:sz="4" w:space="0" w:color="FFFFFF" w:themeColor="background1"/>
              <w:right w:val="single" w:sz="4" w:space="0" w:color="FFFFFF" w:themeColor="background1"/>
            </w:tcBorders>
          </w:tcPr>
          <w:p w14:paraId="2E2526FA" w14:textId="71DDC9A5" w:rsidR="0081624F" w:rsidRDefault="004C4F33" w:rsidP="005023B5">
            <w:pPr>
              <w:rPr>
                <w:rFonts w:ascii="Calibri" w:hAnsi="Calibri"/>
                <w:sz w:val="18"/>
                <w:szCs w:val="18"/>
              </w:rPr>
            </w:pPr>
            <w:r>
              <w:rPr>
                <w:rFonts w:ascii="Calibri" w:hAnsi="Calibri"/>
                <w:sz w:val="18"/>
                <w:szCs w:val="18"/>
              </w:rPr>
              <w:t>5/10 (HE)</w:t>
            </w:r>
          </w:p>
        </w:tc>
      </w:tr>
      <w:tr w:rsidR="002B09D2" w:rsidRPr="005573A3" w14:paraId="307A04BD" w14:textId="77777777" w:rsidTr="00A923F0">
        <w:trPr>
          <w:cantSplit/>
          <w:trHeight w:val="64"/>
          <w:jc w:val="center"/>
        </w:trPr>
        <w:tc>
          <w:tcPr>
            <w:tcW w:w="1172" w:type="dxa"/>
            <w:vMerge/>
            <w:tcBorders>
              <w:left w:val="single" w:sz="4" w:space="0" w:color="FFFFFF" w:themeColor="background1"/>
              <w:right w:val="single" w:sz="4" w:space="0" w:color="FFFFFF" w:themeColor="background1"/>
            </w:tcBorders>
          </w:tcPr>
          <w:p w14:paraId="22840EC0" w14:textId="77777777" w:rsidR="002B09D2" w:rsidRPr="00F0774B" w:rsidRDefault="002B09D2">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3F36AA6D" w14:textId="1517A084" w:rsidR="002B09D2" w:rsidRPr="002B09D2" w:rsidRDefault="002B09D2" w:rsidP="005023B5">
            <w:pPr>
              <w:rPr>
                <w:rFonts w:ascii="Calibri" w:hAnsi="Calibri"/>
                <w:sz w:val="18"/>
                <w:szCs w:val="18"/>
              </w:rPr>
            </w:pPr>
            <w:r>
              <w:rPr>
                <w:rFonts w:ascii="Calibri" w:hAnsi="Calibri"/>
                <w:sz w:val="18"/>
                <w:szCs w:val="18"/>
              </w:rPr>
              <w:t xml:space="preserve">Oncken </w:t>
            </w:r>
            <w:r>
              <w:rPr>
                <w:rFonts w:ascii="Calibri" w:hAnsi="Calibri"/>
                <w:i/>
                <w:sz w:val="18"/>
                <w:szCs w:val="18"/>
              </w:rPr>
              <w:t xml:space="preserve">et al. </w:t>
            </w:r>
            <w:r>
              <w:rPr>
                <w:rFonts w:ascii="Calibri" w:hAnsi="Calibri"/>
                <w:sz w:val="18"/>
                <w:szCs w:val="18"/>
              </w:rPr>
              <w:t>2010</w:t>
            </w:r>
          </w:p>
        </w:tc>
        <w:tc>
          <w:tcPr>
            <w:tcW w:w="992" w:type="dxa"/>
            <w:tcBorders>
              <w:left w:val="single" w:sz="4" w:space="0" w:color="FFFFFF" w:themeColor="background1"/>
              <w:right w:val="single" w:sz="4" w:space="0" w:color="FFFFFF" w:themeColor="background1"/>
            </w:tcBorders>
          </w:tcPr>
          <w:p w14:paraId="2F34E6CC" w14:textId="0FBCCAA6" w:rsidR="002B09D2" w:rsidRDefault="002B09D2" w:rsidP="00D7547F">
            <w:pPr>
              <w:jc w:val="center"/>
              <w:rPr>
                <w:rFonts w:ascii="Calibri" w:hAnsi="Calibri"/>
                <w:sz w:val="18"/>
                <w:szCs w:val="18"/>
              </w:rPr>
            </w:pPr>
            <w:r>
              <w:rPr>
                <w:rFonts w:ascii="Calibri" w:hAnsi="Calibri"/>
                <w:sz w:val="18"/>
                <w:szCs w:val="18"/>
              </w:rPr>
              <w:t>8</w:t>
            </w:r>
          </w:p>
        </w:tc>
        <w:tc>
          <w:tcPr>
            <w:tcW w:w="992" w:type="dxa"/>
            <w:tcBorders>
              <w:left w:val="single" w:sz="4" w:space="0" w:color="FFFFFF" w:themeColor="background1"/>
              <w:right w:val="single" w:sz="4" w:space="0" w:color="FFFFFF" w:themeColor="background1"/>
            </w:tcBorders>
          </w:tcPr>
          <w:p w14:paraId="1B86F9BA" w14:textId="2A374CDB" w:rsidR="002B09D2" w:rsidRDefault="002B09D2" w:rsidP="00D7547F">
            <w:pPr>
              <w:jc w:val="center"/>
              <w:rPr>
                <w:rFonts w:ascii="Calibri" w:hAnsi="Calibri"/>
                <w:sz w:val="18"/>
                <w:szCs w:val="18"/>
              </w:rPr>
            </w:pPr>
            <w:r>
              <w:rPr>
                <w:rFonts w:ascii="Calibri" w:hAnsi="Calibri"/>
                <w:sz w:val="18"/>
                <w:szCs w:val="18"/>
              </w:rPr>
              <w:t>2009</w:t>
            </w:r>
          </w:p>
        </w:tc>
        <w:tc>
          <w:tcPr>
            <w:tcW w:w="7796" w:type="dxa"/>
            <w:tcBorders>
              <w:left w:val="single" w:sz="4" w:space="0" w:color="FFFFFF" w:themeColor="background1"/>
              <w:right w:val="single" w:sz="4" w:space="0" w:color="FFFFFF" w:themeColor="background1"/>
            </w:tcBorders>
          </w:tcPr>
          <w:p w14:paraId="6DEF6D7C" w14:textId="1D445293" w:rsidR="002B09D2" w:rsidRDefault="002B09D2"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Mass media campaigns combined with other interventions reduce smoking initiation, encourage smoking cessation and reduce cigarette consumption</w:t>
            </w:r>
          </w:p>
          <w:p w14:paraId="58B70DD5" w14:textId="59CDF322" w:rsidR="002B09D2" w:rsidRDefault="002B09D2"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Studies in Indian communities show that media campaigns combined with household interviews, clinical oral exams, and cessation advice reduce tobacco use in low- and middle-income countries</w:t>
            </w:r>
          </w:p>
          <w:p w14:paraId="24271157" w14:textId="5BB66A30" w:rsidR="002B09D2" w:rsidRPr="0097597C" w:rsidRDefault="002B09D2"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Warning labels on tobacco packages are effective as a first step in encouraging cessation</w:t>
            </w:r>
          </w:p>
        </w:tc>
        <w:tc>
          <w:tcPr>
            <w:tcW w:w="1333" w:type="dxa"/>
            <w:tcBorders>
              <w:left w:val="single" w:sz="4" w:space="0" w:color="FFFFFF" w:themeColor="background1"/>
              <w:right w:val="single" w:sz="4" w:space="0" w:color="FFFFFF" w:themeColor="background1"/>
            </w:tcBorders>
          </w:tcPr>
          <w:p w14:paraId="09D0F600" w14:textId="60C56580" w:rsidR="002B09D2" w:rsidRDefault="002B09D2" w:rsidP="005023B5">
            <w:pPr>
              <w:rPr>
                <w:rFonts w:ascii="Calibri" w:hAnsi="Calibri"/>
                <w:sz w:val="18"/>
                <w:szCs w:val="18"/>
              </w:rPr>
            </w:pPr>
            <w:r>
              <w:rPr>
                <w:rFonts w:ascii="Calibri" w:hAnsi="Calibri"/>
                <w:sz w:val="18"/>
                <w:szCs w:val="18"/>
              </w:rPr>
              <w:t>2/10 (HE)</w:t>
            </w:r>
          </w:p>
        </w:tc>
      </w:tr>
      <w:tr w:rsidR="0081624F" w:rsidRPr="005573A3" w14:paraId="0F047A05"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424AA0F9" w14:textId="15481886"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40E4C78" w14:textId="4FCBAAC5" w:rsidR="0081624F" w:rsidRDefault="0081624F">
            <w:pPr>
              <w:rPr>
                <w:rFonts w:ascii="Calibri" w:hAnsi="Calibri"/>
                <w:sz w:val="18"/>
                <w:szCs w:val="18"/>
              </w:rPr>
            </w:pPr>
            <w:r>
              <w:rPr>
                <w:rFonts w:ascii="Calibri" w:hAnsi="Calibri"/>
                <w:sz w:val="18"/>
                <w:szCs w:val="18"/>
              </w:rPr>
              <w:t>Hammond 2011</w:t>
            </w:r>
          </w:p>
        </w:tc>
        <w:tc>
          <w:tcPr>
            <w:tcW w:w="992" w:type="dxa"/>
            <w:tcBorders>
              <w:left w:val="single" w:sz="4" w:space="0" w:color="FFFFFF" w:themeColor="background1"/>
              <w:right w:val="single" w:sz="4" w:space="0" w:color="FFFFFF" w:themeColor="background1"/>
            </w:tcBorders>
          </w:tcPr>
          <w:p w14:paraId="2B4E5547" w14:textId="3C84B85F" w:rsidR="0081624F" w:rsidRDefault="0081624F" w:rsidP="00D7547F">
            <w:pPr>
              <w:jc w:val="center"/>
              <w:rPr>
                <w:rFonts w:ascii="Calibri" w:hAnsi="Calibri"/>
                <w:sz w:val="18"/>
                <w:szCs w:val="18"/>
              </w:rPr>
            </w:pPr>
            <w:r>
              <w:rPr>
                <w:rFonts w:ascii="Calibri" w:hAnsi="Calibri"/>
                <w:sz w:val="18"/>
                <w:szCs w:val="18"/>
              </w:rPr>
              <w:t>94</w:t>
            </w:r>
          </w:p>
        </w:tc>
        <w:tc>
          <w:tcPr>
            <w:tcW w:w="992" w:type="dxa"/>
            <w:tcBorders>
              <w:left w:val="single" w:sz="4" w:space="0" w:color="FFFFFF" w:themeColor="background1"/>
              <w:right w:val="single" w:sz="4" w:space="0" w:color="FFFFFF" w:themeColor="background1"/>
            </w:tcBorders>
          </w:tcPr>
          <w:p w14:paraId="73987387" w14:textId="40983C4E" w:rsidR="0081624F" w:rsidRDefault="0081624F"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right w:val="single" w:sz="4" w:space="0" w:color="FFFFFF" w:themeColor="background1"/>
            </w:tcBorders>
          </w:tcPr>
          <w:p w14:paraId="1F0DAD0C" w14:textId="763EB2E1"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Large text and pictorial warnings reduce tobacco use and increase quitting likelihood, motivation to quit, likelihood of abstinence after quitting and use of smoking cessation tools</w:t>
            </w:r>
          </w:p>
          <w:p w14:paraId="3A94FD60" w14:textId="2CEAC031" w:rsidR="0081624F" w:rsidRPr="0097597C" w:rsidRDefault="00500993"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Packaging interventions</w:t>
            </w:r>
            <w:r w:rsidRPr="0097597C">
              <w:rPr>
                <w:rFonts w:ascii="Calibri" w:hAnsi="Calibri"/>
                <w:sz w:val="18"/>
                <w:szCs w:val="18"/>
              </w:rPr>
              <w:t xml:space="preserve"> </w:t>
            </w:r>
            <w:r w:rsidR="0081624F" w:rsidRPr="0097597C">
              <w:rPr>
                <w:rFonts w:ascii="Calibri" w:hAnsi="Calibri"/>
                <w:sz w:val="18"/>
                <w:szCs w:val="18"/>
              </w:rPr>
              <w:t>may also discourage smoking initiation</w:t>
            </w:r>
          </w:p>
        </w:tc>
        <w:tc>
          <w:tcPr>
            <w:tcW w:w="1333" w:type="dxa"/>
            <w:tcBorders>
              <w:left w:val="single" w:sz="4" w:space="0" w:color="FFFFFF" w:themeColor="background1"/>
              <w:right w:val="single" w:sz="4" w:space="0" w:color="FFFFFF" w:themeColor="background1"/>
            </w:tcBorders>
          </w:tcPr>
          <w:p w14:paraId="38F0F56F" w14:textId="44DBD1CC" w:rsidR="0081624F" w:rsidRDefault="004C4F33" w:rsidP="005023B5">
            <w:pPr>
              <w:rPr>
                <w:rFonts w:ascii="Calibri" w:hAnsi="Calibri"/>
                <w:sz w:val="18"/>
                <w:szCs w:val="18"/>
              </w:rPr>
            </w:pPr>
            <w:r>
              <w:rPr>
                <w:rFonts w:ascii="Calibri" w:hAnsi="Calibri"/>
                <w:sz w:val="18"/>
                <w:szCs w:val="18"/>
              </w:rPr>
              <w:t>5/10 (HE)</w:t>
            </w:r>
          </w:p>
        </w:tc>
      </w:tr>
      <w:tr w:rsidR="0081624F" w:rsidRPr="005573A3" w14:paraId="56CDDE78"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76CC23F4"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108C2FB8" w14:textId="48193581" w:rsidR="0081624F" w:rsidRDefault="0081624F">
            <w:pPr>
              <w:rPr>
                <w:rFonts w:ascii="Calibri" w:hAnsi="Calibri"/>
                <w:sz w:val="18"/>
                <w:szCs w:val="18"/>
              </w:rPr>
            </w:pPr>
            <w:r>
              <w:rPr>
                <w:rFonts w:ascii="Calibri" w:hAnsi="Calibri"/>
                <w:sz w:val="18"/>
                <w:szCs w:val="18"/>
              </w:rPr>
              <w:t xml:space="preserve">Brinn </w:t>
            </w:r>
            <w:r>
              <w:rPr>
                <w:rFonts w:ascii="Calibri" w:hAnsi="Calibri"/>
                <w:i/>
                <w:sz w:val="18"/>
                <w:szCs w:val="18"/>
              </w:rPr>
              <w:t>et al.</w:t>
            </w:r>
            <w:r>
              <w:rPr>
                <w:rFonts w:ascii="Calibri" w:hAnsi="Calibri"/>
                <w:sz w:val="18"/>
                <w:szCs w:val="18"/>
              </w:rPr>
              <w:t xml:space="preserve"> 2012</w:t>
            </w:r>
          </w:p>
        </w:tc>
        <w:tc>
          <w:tcPr>
            <w:tcW w:w="992" w:type="dxa"/>
            <w:tcBorders>
              <w:left w:val="single" w:sz="4" w:space="0" w:color="FFFFFF" w:themeColor="background1"/>
              <w:right w:val="single" w:sz="4" w:space="0" w:color="FFFFFF" w:themeColor="background1"/>
            </w:tcBorders>
          </w:tcPr>
          <w:p w14:paraId="2D3B7885" w14:textId="4AA1E91B" w:rsidR="0081624F" w:rsidRDefault="0081624F" w:rsidP="00D7547F">
            <w:pPr>
              <w:jc w:val="center"/>
              <w:rPr>
                <w:rFonts w:ascii="Calibri" w:hAnsi="Calibri"/>
                <w:sz w:val="18"/>
                <w:szCs w:val="18"/>
              </w:rPr>
            </w:pPr>
            <w:r>
              <w:rPr>
                <w:rFonts w:ascii="Calibri" w:hAnsi="Calibri"/>
                <w:sz w:val="18"/>
                <w:szCs w:val="18"/>
              </w:rPr>
              <w:t>7</w:t>
            </w:r>
          </w:p>
        </w:tc>
        <w:tc>
          <w:tcPr>
            <w:tcW w:w="992" w:type="dxa"/>
            <w:tcBorders>
              <w:left w:val="single" w:sz="4" w:space="0" w:color="FFFFFF" w:themeColor="background1"/>
              <w:right w:val="single" w:sz="4" w:space="0" w:color="FFFFFF" w:themeColor="background1"/>
            </w:tcBorders>
          </w:tcPr>
          <w:p w14:paraId="6D0F64DB" w14:textId="772A4F92" w:rsidR="0081624F" w:rsidRDefault="0081624F" w:rsidP="00D7547F">
            <w:pPr>
              <w:jc w:val="center"/>
              <w:rPr>
                <w:rFonts w:ascii="Calibri" w:hAnsi="Calibri"/>
                <w:sz w:val="18"/>
                <w:szCs w:val="18"/>
              </w:rPr>
            </w:pPr>
            <w:r>
              <w:rPr>
                <w:rFonts w:ascii="Calibri" w:hAnsi="Calibri"/>
                <w:sz w:val="18"/>
                <w:szCs w:val="18"/>
              </w:rPr>
              <w:t>2010</w:t>
            </w:r>
          </w:p>
        </w:tc>
        <w:tc>
          <w:tcPr>
            <w:tcW w:w="7796" w:type="dxa"/>
            <w:tcBorders>
              <w:left w:val="single" w:sz="4" w:space="0" w:color="FFFFFF" w:themeColor="background1"/>
              <w:right w:val="single" w:sz="4" w:space="0" w:color="FFFFFF" w:themeColor="background1"/>
            </w:tcBorders>
          </w:tcPr>
          <w:p w14:paraId="442B5385" w14:textId="77777777"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Some evidence suggests that mass media campaigns can prevent smoking initiation in young people (&lt;25 years), but the evidence is not strong and contains methodological flaws</w:t>
            </w:r>
          </w:p>
          <w:p w14:paraId="029D1C8C" w14:textId="63BBEDA0"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Of seven included studies, three reported </w:t>
            </w:r>
            <w:r w:rsidR="00500993">
              <w:rPr>
                <w:rFonts w:ascii="Calibri" w:hAnsi="Calibri"/>
                <w:sz w:val="18"/>
                <w:szCs w:val="18"/>
              </w:rPr>
              <w:t xml:space="preserve">that mass media campaigns were associated with </w:t>
            </w:r>
            <w:r w:rsidRPr="0097597C">
              <w:rPr>
                <w:rFonts w:ascii="Calibri" w:hAnsi="Calibri"/>
                <w:sz w:val="18"/>
                <w:szCs w:val="18"/>
              </w:rPr>
              <w:t>reductions in y</w:t>
            </w:r>
            <w:r>
              <w:rPr>
                <w:rFonts w:ascii="Calibri" w:hAnsi="Calibri"/>
                <w:sz w:val="18"/>
                <w:szCs w:val="18"/>
              </w:rPr>
              <w:t>oung people’s smoking behaviour</w:t>
            </w:r>
            <w:r w:rsidR="00EE5264">
              <w:rPr>
                <w:rFonts w:ascii="Calibri" w:hAnsi="Calibri"/>
                <w:sz w:val="18"/>
                <w:szCs w:val="18"/>
              </w:rPr>
              <w:t xml:space="preserve">, </w:t>
            </w:r>
            <w:r w:rsidRPr="0097597C">
              <w:rPr>
                <w:rFonts w:ascii="Calibri" w:hAnsi="Calibri"/>
                <w:sz w:val="18"/>
                <w:szCs w:val="18"/>
              </w:rPr>
              <w:t xml:space="preserve">while the other four </w:t>
            </w:r>
            <w:r w:rsidR="00500993">
              <w:rPr>
                <w:rFonts w:ascii="Calibri" w:hAnsi="Calibri"/>
                <w:sz w:val="18"/>
                <w:szCs w:val="18"/>
              </w:rPr>
              <w:t>found</w:t>
            </w:r>
            <w:r w:rsidR="00500993" w:rsidRPr="0097597C">
              <w:rPr>
                <w:rFonts w:ascii="Calibri" w:hAnsi="Calibri"/>
                <w:sz w:val="18"/>
                <w:szCs w:val="18"/>
              </w:rPr>
              <w:t xml:space="preserve"> </w:t>
            </w:r>
            <w:r w:rsidRPr="0097597C">
              <w:rPr>
                <w:rFonts w:ascii="Calibri" w:hAnsi="Calibri"/>
                <w:sz w:val="18"/>
                <w:szCs w:val="18"/>
              </w:rPr>
              <w:t>no effect</w:t>
            </w:r>
          </w:p>
        </w:tc>
        <w:tc>
          <w:tcPr>
            <w:tcW w:w="1333" w:type="dxa"/>
            <w:tcBorders>
              <w:left w:val="single" w:sz="4" w:space="0" w:color="FFFFFF" w:themeColor="background1"/>
              <w:right w:val="single" w:sz="4" w:space="0" w:color="FFFFFF" w:themeColor="background1"/>
            </w:tcBorders>
          </w:tcPr>
          <w:p w14:paraId="67C0496E" w14:textId="52220698" w:rsidR="0081624F" w:rsidRDefault="004C4F33" w:rsidP="00344E27">
            <w:pPr>
              <w:rPr>
                <w:rFonts w:ascii="Calibri" w:hAnsi="Calibri"/>
                <w:sz w:val="18"/>
                <w:szCs w:val="18"/>
              </w:rPr>
            </w:pPr>
            <w:r>
              <w:rPr>
                <w:rFonts w:ascii="Calibri" w:hAnsi="Calibri"/>
                <w:sz w:val="18"/>
                <w:szCs w:val="18"/>
              </w:rPr>
              <w:t>9/10 (HE)</w:t>
            </w:r>
          </w:p>
        </w:tc>
      </w:tr>
      <w:tr w:rsidR="00C50FB9" w:rsidRPr="005573A3" w14:paraId="6D34EFC4"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6FAC69BD" w14:textId="77777777" w:rsidR="00C50FB9" w:rsidRPr="00F0774B" w:rsidRDefault="00C50FB9">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4617AEF" w14:textId="683EB439" w:rsidR="00C50FB9" w:rsidRPr="00C50FB9" w:rsidRDefault="00C50FB9">
            <w:pPr>
              <w:rPr>
                <w:rFonts w:ascii="Calibri" w:hAnsi="Calibri"/>
                <w:sz w:val="18"/>
                <w:szCs w:val="18"/>
              </w:rPr>
            </w:pPr>
            <w:r>
              <w:rPr>
                <w:rFonts w:ascii="Calibri" w:hAnsi="Calibri"/>
                <w:sz w:val="18"/>
                <w:szCs w:val="18"/>
              </w:rPr>
              <w:t xml:space="preserve">Durkin </w:t>
            </w:r>
            <w:r>
              <w:rPr>
                <w:rFonts w:ascii="Calibri" w:hAnsi="Calibri"/>
                <w:i/>
                <w:sz w:val="18"/>
                <w:szCs w:val="18"/>
              </w:rPr>
              <w:t>et al.</w:t>
            </w:r>
            <w:r>
              <w:rPr>
                <w:rFonts w:ascii="Calibri" w:hAnsi="Calibri"/>
                <w:sz w:val="18"/>
                <w:szCs w:val="18"/>
              </w:rPr>
              <w:t xml:space="preserve"> 2012</w:t>
            </w:r>
          </w:p>
        </w:tc>
        <w:tc>
          <w:tcPr>
            <w:tcW w:w="992" w:type="dxa"/>
            <w:tcBorders>
              <w:left w:val="single" w:sz="4" w:space="0" w:color="FFFFFF" w:themeColor="background1"/>
              <w:right w:val="single" w:sz="4" w:space="0" w:color="FFFFFF" w:themeColor="background1"/>
            </w:tcBorders>
            <w:shd w:val="clear" w:color="auto" w:fill="FFFFFF" w:themeFill="background1"/>
          </w:tcPr>
          <w:p w14:paraId="6AB605A7" w14:textId="4894D7FB" w:rsidR="00C50FB9" w:rsidRDefault="00C50FB9" w:rsidP="00D7547F">
            <w:pPr>
              <w:jc w:val="center"/>
              <w:rPr>
                <w:rFonts w:ascii="Calibri" w:hAnsi="Calibri"/>
                <w:sz w:val="18"/>
                <w:szCs w:val="18"/>
              </w:rPr>
            </w:pPr>
            <w:r>
              <w:rPr>
                <w:rFonts w:ascii="Calibri" w:hAnsi="Calibri"/>
                <w:sz w:val="18"/>
                <w:szCs w:val="18"/>
              </w:rPr>
              <w:t>29</w:t>
            </w:r>
          </w:p>
        </w:tc>
        <w:tc>
          <w:tcPr>
            <w:tcW w:w="992" w:type="dxa"/>
            <w:tcBorders>
              <w:left w:val="single" w:sz="4" w:space="0" w:color="FFFFFF" w:themeColor="background1"/>
              <w:right w:val="single" w:sz="4" w:space="0" w:color="FFFFFF" w:themeColor="background1"/>
            </w:tcBorders>
          </w:tcPr>
          <w:p w14:paraId="6403C7E9" w14:textId="112E99E5" w:rsidR="00C50FB9" w:rsidRDefault="00C50FB9"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right w:val="single" w:sz="4" w:space="0" w:color="FFFFFF" w:themeColor="background1"/>
            </w:tcBorders>
          </w:tcPr>
          <w:p w14:paraId="6438BE0E" w14:textId="51A52068" w:rsidR="00C50FB9" w:rsidRDefault="00C50FB9" w:rsidP="00C50FB9">
            <w:pPr>
              <w:pStyle w:val="ListParagraph"/>
              <w:numPr>
                <w:ilvl w:val="0"/>
                <w:numId w:val="15"/>
              </w:numPr>
              <w:ind w:left="170" w:hanging="170"/>
              <w:rPr>
                <w:rFonts w:ascii="Calibri" w:hAnsi="Calibri"/>
                <w:sz w:val="18"/>
                <w:szCs w:val="18"/>
              </w:rPr>
            </w:pPr>
            <w:r>
              <w:rPr>
                <w:rFonts w:ascii="Calibri" w:hAnsi="Calibri"/>
                <w:sz w:val="18"/>
                <w:szCs w:val="18"/>
              </w:rPr>
              <w:t>Mass media campaigns as part of comprehensive multicomponent tobacco control programs promote smoking cessation and decrease smoking prevalence</w:t>
            </w:r>
          </w:p>
          <w:p w14:paraId="0019133C" w14:textId="3E754A49" w:rsidR="00C50FB9" w:rsidRDefault="00C50FB9" w:rsidP="00C50FB9">
            <w:pPr>
              <w:pStyle w:val="ListParagraph"/>
              <w:numPr>
                <w:ilvl w:val="0"/>
                <w:numId w:val="15"/>
              </w:numPr>
              <w:ind w:left="170" w:hanging="170"/>
              <w:rPr>
                <w:rFonts w:ascii="Calibri" w:hAnsi="Calibri"/>
                <w:sz w:val="18"/>
                <w:szCs w:val="18"/>
              </w:rPr>
            </w:pPr>
            <w:r>
              <w:rPr>
                <w:rFonts w:ascii="Calibri" w:hAnsi="Calibri"/>
                <w:sz w:val="18"/>
                <w:szCs w:val="18"/>
              </w:rPr>
              <w:t>The reach, intensity, duration, channel of delivery and message type of the campaign are important; specifically, they should be wide in reach, high in intensity and duration, have television as a primary channel, and include messages on the negative health effects of smoking</w:t>
            </w:r>
          </w:p>
        </w:tc>
        <w:tc>
          <w:tcPr>
            <w:tcW w:w="1333" w:type="dxa"/>
            <w:tcBorders>
              <w:left w:val="single" w:sz="4" w:space="0" w:color="FFFFFF" w:themeColor="background1"/>
              <w:right w:val="single" w:sz="4" w:space="0" w:color="FFFFFF" w:themeColor="background1"/>
            </w:tcBorders>
          </w:tcPr>
          <w:p w14:paraId="5D039340" w14:textId="34AFA6F7" w:rsidR="00C50FB9" w:rsidRDefault="00C50FB9" w:rsidP="002C35E8">
            <w:pPr>
              <w:rPr>
                <w:rFonts w:ascii="Calibri" w:hAnsi="Calibri"/>
                <w:sz w:val="18"/>
                <w:szCs w:val="18"/>
              </w:rPr>
            </w:pPr>
            <w:r>
              <w:rPr>
                <w:rFonts w:ascii="Calibri" w:hAnsi="Calibri"/>
                <w:sz w:val="18"/>
                <w:szCs w:val="18"/>
              </w:rPr>
              <w:t>7/10 (HE)</w:t>
            </w:r>
          </w:p>
        </w:tc>
      </w:tr>
      <w:tr w:rsidR="0081624F" w:rsidRPr="005573A3" w14:paraId="2849D6F0"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2C8973D5" w14:textId="6FE00C8E"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302D6BDA" w14:textId="0A26789F" w:rsidR="0081624F" w:rsidRPr="00D175C4" w:rsidRDefault="0081624F">
            <w:pPr>
              <w:rPr>
                <w:rFonts w:ascii="Calibri" w:hAnsi="Calibri"/>
                <w:sz w:val="18"/>
                <w:szCs w:val="18"/>
              </w:rPr>
            </w:pPr>
            <w:r>
              <w:rPr>
                <w:rFonts w:ascii="Calibri" w:hAnsi="Calibri"/>
                <w:sz w:val="18"/>
                <w:szCs w:val="18"/>
              </w:rPr>
              <w:t xml:space="preserve">Wilson </w:t>
            </w:r>
            <w:r>
              <w:rPr>
                <w:rFonts w:ascii="Calibri" w:hAnsi="Calibri"/>
                <w:i/>
                <w:sz w:val="18"/>
                <w:szCs w:val="18"/>
              </w:rPr>
              <w:t>et al.</w:t>
            </w:r>
            <w:r>
              <w:rPr>
                <w:rFonts w:ascii="Calibri" w:hAnsi="Calibri"/>
                <w:sz w:val="18"/>
                <w:szCs w:val="18"/>
              </w:rPr>
              <w:t xml:space="preserve"> 2012</w:t>
            </w:r>
          </w:p>
        </w:tc>
        <w:tc>
          <w:tcPr>
            <w:tcW w:w="992" w:type="dxa"/>
            <w:tcBorders>
              <w:left w:val="single" w:sz="4" w:space="0" w:color="FFFFFF" w:themeColor="background1"/>
              <w:right w:val="single" w:sz="4" w:space="0" w:color="FFFFFF" w:themeColor="background1"/>
            </w:tcBorders>
            <w:shd w:val="clear" w:color="auto" w:fill="FFFFFF" w:themeFill="background1"/>
          </w:tcPr>
          <w:p w14:paraId="598F49E2" w14:textId="50862AF8" w:rsidR="0081624F" w:rsidRDefault="0081624F" w:rsidP="00D7547F">
            <w:pPr>
              <w:jc w:val="center"/>
              <w:rPr>
                <w:rFonts w:ascii="Calibri" w:hAnsi="Calibri"/>
                <w:sz w:val="18"/>
                <w:szCs w:val="18"/>
              </w:rPr>
            </w:pPr>
            <w:r>
              <w:rPr>
                <w:rFonts w:ascii="Calibri" w:hAnsi="Calibri"/>
                <w:sz w:val="18"/>
                <w:szCs w:val="18"/>
              </w:rPr>
              <w:t>23</w:t>
            </w:r>
          </w:p>
        </w:tc>
        <w:tc>
          <w:tcPr>
            <w:tcW w:w="992" w:type="dxa"/>
            <w:tcBorders>
              <w:left w:val="single" w:sz="4" w:space="0" w:color="FFFFFF" w:themeColor="background1"/>
              <w:right w:val="single" w:sz="4" w:space="0" w:color="FFFFFF" w:themeColor="background1"/>
            </w:tcBorders>
          </w:tcPr>
          <w:p w14:paraId="69124C13" w14:textId="5B3A8985" w:rsidR="0081624F" w:rsidRDefault="0081624F" w:rsidP="00D7547F">
            <w:pPr>
              <w:jc w:val="center"/>
              <w:rPr>
                <w:rFonts w:ascii="Calibri" w:hAnsi="Calibri"/>
                <w:sz w:val="18"/>
                <w:szCs w:val="18"/>
              </w:rPr>
            </w:pPr>
            <w:r>
              <w:rPr>
                <w:rFonts w:ascii="Calibri" w:hAnsi="Calibri"/>
                <w:sz w:val="18"/>
                <w:szCs w:val="18"/>
              </w:rPr>
              <w:t>2009, 2012</w:t>
            </w:r>
          </w:p>
        </w:tc>
        <w:tc>
          <w:tcPr>
            <w:tcW w:w="7796" w:type="dxa"/>
            <w:tcBorders>
              <w:left w:val="single" w:sz="4" w:space="0" w:color="FFFFFF" w:themeColor="background1"/>
              <w:right w:val="single" w:sz="4" w:space="0" w:color="FFFFFF" w:themeColor="background1"/>
            </w:tcBorders>
          </w:tcPr>
          <w:p w14:paraId="0D87AF6B" w14:textId="1747DFC5"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Mass media campaigns may reduce smoking behaviour, with stronger evidence for preventing smoking initiation and reducing smoking prevalence; their effect on smoking cessation is less clear</w:t>
            </w:r>
          </w:p>
          <w:p w14:paraId="7DFD6118" w14:textId="3508C853" w:rsidR="0081624F" w:rsidRPr="0097597C"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Insufficient evidence exists for the effect of health warning labels on smoking behaviour</w:t>
            </w:r>
          </w:p>
        </w:tc>
        <w:tc>
          <w:tcPr>
            <w:tcW w:w="1333" w:type="dxa"/>
            <w:tcBorders>
              <w:left w:val="single" w:sz="4" w:space="0" w:color="FFFFFF" w:themeColor="background1"/>
              <w:right w:val="single" w:sz="4" w:space="0" w:color="FFFFFF" w:themeColor="background1"/>
            </w:tcBorders>
          </w:tcPr>
          <w:p w14:paraId="43FEFD57" w14:textId="7E63DF9D" w:rsidR="0081624F" w:rsidRDefault="004C4F33" w:rsidP="002C35E8">
            <w:pPr>
              <w:rPr>
                <w:rFonts w:ascii="Calibri" w:hAnsi="Calibri"/>
                <w:sz w:val="18"/>
                <w:szCs w:val="18"/>
              </w:rPr>
            </w:pPr>
            <w:r>
              <w:rPr>
                <w:rFonts w:ascii="Calibri" w:hAnsi="Calibri"/>
                <w:sz w:val="18"/>
                <w:szCs w:val="18"/>
              </w:rPr>
              <w:t>4/10 (HE)</w:t>
            </w:r>
          </w:p>
        </w:tc>
      </w:tr>
      <w:tr w:rsidR="0081624F" w:rsidRPr="005573A3" w14:paraId="748B8972"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00264BC7" w14:textId="296153B2"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835C8AA" w14:textId="00EE2EAD" w:rsidR="0081624F" w:rsidRDefault="0081624F">
            <w:pPr>
              <w:rPr>
                <w:rFonts w:ascii="Calibri" w:hAnsi="Calibri"/>
                <w:sz w:val="18"/>
                <w:szCs w:val="18"/>
              </w:rPr>
            </w:pPr>
            <w:r>
              <w:rPr>
                <w:rFonts w:ascii="Calibri" w:hAnsi="Calibri"/>
                <w:sz w:val="18"/>
                <w:szCs w:val="18"/>
              </w:rPr>
              <w:t xml:space="preserve">Guillaumier </w:t>
            </w:r>
            <w:r>
              <w:rPr>
                <w:rFonts w:ascii="Calibri" w:hAnsi="Calibri"/>
                <w:i/>
                <w:sz w:val="18"/>
                <w:szCs w:val="18"/>
              </w:rPr>
              <w:t>et al.</w:t>
            </w:r>
            <w:r>
              <w:rPr>
                <w:rFonts w:ascii="Calibri" w:hAnsi="Calibri"/>
                <w:sz w:val="18"/>
                <w:szCs w:val="18"/>
              </w:rPr>
              <w:t xml:space="preserve"> 2012</w:t>
            </w:r>
          </w:p>
        </w:tc>
        <w:tc>
          <w:tcPr>
            <w:tcW w:w="992" w:type="dxa"/>
            <w:tcBorders>
              <w:left w:val="single" w:sz="4" w:space="0" w:color="FFFFFF" w:themeColor="background1"/>
              <w:right w:val="single" w:sz="4" w:space="0" w:color="FFFFFF" w:themeColor="background1"/>
            </w:tcBorders>
          </w:tcPr>
          <w:p w14:paraId="448D8BE1" w14:textId="40788D6C" w:rsidR="0081624F" w:rsidRDefault="0081624F" w:rsidP="00D7547F">
            <w:pPr>
              <w:jc w:val="center"/>
              <w:rPr>
                <w:rFonts w:ascii="Calibri" w:hAnsi="Calibri"/>
                <w:sz w:val="18"/>
                <w:szCs w:val="18"/>
              </w:rPr>
            </w:pPr>
            <w:r>
              <w:rPr>
                <w:rFonts w:ascii="Calibri" w:hAnsi="Calibri"/>
                <w:sz w:val="18"/>
                <w:szCs w:val="18"/>
              </w:rPr>
              <w:t>17</w:t>
            </w:r>
          </w:p>
        </w:tc>
        <w:tc>
          <w:tcPr>
            <w:tcW w:w="992" w:type="dxa"/>
            <w:tcBorders>
              <w:left w:val="single" w:sz="4" w:space="0" w:color="FFFFFF" w:themeColor="background1"/>
              <w:right w:val="single" w:sz="4" w:space="0" w:color="FFFFFF" w:themeColor="background1"/>
            </w:tcBorders>
          </w:tcPr>
          <w:p w14:paraId="22600484" w14:textId="5D8B501F" w:rsidR="0081624F" w:rsidRDefault="0081624F" w:rsidP="00D7547F">
            <w:pPr>
              <w:jc w:val="center"/>
              <w:rPr>
                <w:rFonts w:ascii="Calibri" w:hAnsi="Calibri"/>
                <w:sz w:val="18"/>
                <w:szCs w:val="18"/>
              </w:rPr>
            </w:pPr>
            <w:r>
              <w:rPr>
                <w:rFonts w:ascii="Calibri" w:hAnsi="Calibri"/>
                <w:sz w:val="18"/>
                <w:szCs w:val="18"/>
              </w:rPr>
              <w:t>2012</w:t>
            </w:r>
          </w:p>
        </w:tc>
        <w:tc>
          <w:tcPr>
            <w:tcW w:w="7796" w:type="dxa"/>
            <w:tcBorders>
              <w:left w:val="single" w:sz="4" w:space="0" w:color="FFFFFF" w:themeColor="background1"/>
              <w:right w:val="single" w:sz="4" w:space="0" w:color="FFFFFF" w:themeColor="background1"/>
            </w:tcBorders>
          </w:tcPr>
          <w:p w14:paraId="589A0D40" w14:textId="5886878A"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Limited evidence exists on the effect of mass media campaigns </w:t>
            </w:r>
            <w:r>
              <w:rPr>
                <w:rFonts w:ascii="Calibri" w:hAnsi="Calibri"/>
                <w:sz w:val="18"/>
                <w:szCs w:val="18"/>
              </w:rPr>
              <w:t>in preventing</w:t>
            </w:r>
            <w:r w:rsidRPr="0097597C">
              <w:rPr>
                <w:rFonts w:ascii="Calibri" w:hAnsi="Calibri"/>
                <w:sz w:val="18"/>
                <w:szCs w:val="18"/>
              </w:rPr>
              <w:t xml:space="preserve"> smoking among </w:t>
            </w:r>
            <w:r w:rsidR="00EE5264">
              <w:rPr>
                <w:rFonts w:ascii="Calibri" w:hAnsi="Calibri"/>
                <w:sz w:val="18"/>
                <w:szCs w:val="18"/>
              </w:rPr>
              <w:t xml:space="preserve">persons of </w:t>
            </w:r>
            <w:r w:rsidRPr="0097597C">
              <w:rPr>
                <w:rFonts w:ascii="Calibri" w:hAnsi="Calibri"/>
                <w:sz w:val="18"/>
                <w:szCs w:val="18"/>
              </w:rPr>
              <w:t>low socioeconomic status and socially disadvantaged groups</w:t>
            </w:r>
          </w:p>
        </w:tc>
        <w:tc>
          <w:tcPr>
            <w:tcW w:w="1333" w:type="dxa"/>
            <w:tcBorders>
              <w:left w:val="single" w:sz="4" w:space="0" w:color="FFFFFF" w:themeColor="background1"/>
              <w:right w:val="single" w:sz="4" w:space="0" w:color="FFFFFF" w:themeColor="background1"/>
            </w:tcBorders>
          </w:tcPr>
          <w:p w14:paraId="470060BA" w14:textId="709FB961" w:rsidR="0081624F" w:rsidRDefault="004C4F33" w:rsidP="00344E27">
            <w:pPr>
              <w:rPr>
                <w:rFonts w:ascii="Calibri" w:hAnsi="Calibri"/>
                <w:sz w:val="18"/>
                <w:szCs w:val="18"/>
              </w:rPr>
            </w:pPr>
            <w:r>
              <w:rPr>
                <w:rFonts w:ascii="Calibri" w:hAnsi="Calibri"/>
                <w:sz w:val="18"/>
                <w:szCs w:val="18"/>
              </w:rPr>
              <w:t>7/10 (HE), 5/10 (HSE)</w:t>
            </w:r>
          </w:p>
        </w:tc>
      </w:tr>
      <w:tr w:rsidR="0081624F" w:rsidRPr="005573A3" w14:paraId="1A78252F"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4308BF1F"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198DA02" w14:textId="1A075240" w:rsidR="0081624F" w:rsidRPr="009669B1" w:rsidRDefault="0081624F">
            <w:pPr>
              <w:rPr>
                <w:rFonts w:ascii="Calibri" w:hAnsi="Calibri"/>
                <w:sz w:val="18"/>
                <w:szCs w:val="18"/>
              </w:rPr>
            </w:pPr>
            <w:r w:rsidRPr="009669B1">
              <w:rPr>
                <w:rFonts w:ascii="Calibri" w:hAnsi="Calibri"/>
                <w:sz w:val="18"/>
                <w:szCs w:val="18"/>
              </w:rPr>
              <w:t xml:space="preserve">Mozaffarian </w:t>
            </w:r>
            <w:r w:rsidRPr="009669B1">
              <w:rPr>
                <w:rFonts w:ascii="Calibri" w:hAnsi="Calibri"/>
                <w:i/>
                <w:sz w:val="18"/>
                <w:szCs w:val="18"/>
              </w:rPr>
              <w:t>et al</w:t>
            </w:r>
            <w:r>
              <w:rPr>
                <w:rFonts w:ascii="Calibri" w:hAnsi="Calibri"/>
                <w:i/>
                <w:sz w:val="18"/>
                <w:szCs w:val="18"/>
              </w:rPr>
              <w:t>.</w:t>
            </w:r>
            <w:r w:rsidRPr="009669B1">
              <w:rPr>
                <w:rFonts w:ascii="Calibri" w:hAnsi="Calibri"/>
                <w:sz w:val="18"/>
                <w:szCs w:val="18"/>
              </w:rPr>
              <w:t xml:space="preserve"> 2012</w:t>
            </w:r>
          </w:p>
        </w:tc>
        <w:tc>
          <w:tcPr>
            <w:tcW w:w="992" w:type="dxa"/>
            <w:tcBorders>
              <w:left w:val="single" w:sz="4" w:space="0" w:color="FFFFFF" w:themeColor="background1"/>
              <w:right w:val="single" w:sz="4" w:space="0" w:color="FFFFFF" w:themeColor="background1"/>
            </w:tcBorders>
          </w:tcPr>
          <w:p w14:paraId="4FB56C22" w14:textId="6D1119AE" w:rsidR="0081624F" w:rsidRDefault="0081624F" w:rsidP="00D7547F">
            <w:pPr>
              <w:jc w:val="center"/>
              <w:rPr>
                <w:rFonts w:ascii="Calibri" w:hAnsi="Calibri"/>
                <w:sz w:val="18"/>
                <w:szCs w:val="18"/>
              </w:rPr>
            </w:pPr>
            <w:r>
              <w:rPr>
                <w:rFonts w:ascii="Calibri" w:hAnsi="Calibri"/>
                <w:sz w:val="18"/>
                <w:szCs w:val="18"/>
              </w:rPr>
              <w:t>23</w:t>
            </w:r>
          </w:p>
        </w:tc>
        <w:tc>
          <w:tcPr>
            <w:tcW w:w="992" w:type="dxa"/>
            <w:tcBorders>
              <w:left w:val="single" w:sz="4" w:space="0" w:color="FFFFFF" w:themeColor="background1"/>
              <w:right w:val="single" w:sz="4" w:space="0" w:color="FFFFFF" w:themeColor="background1"/>
            </w:tcBorders>
          </w:tcPr>
          <w:p w14:paraId="1FF05F16" w14:textId="6159DE63" w:rsidR="0081624F" w:rsidRDefault="0081624F"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right w:val="single" w:sz="4" w:space="0" w:color="FFFFFF" w:themeColor="background1"/>
            </w:tcBorders>
          </w:tcPr>
          <w:p w14:paraId="4E002FA9" w14:textId="73F6828A"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14 studies on warning labels reported increased awareness of </w:t>
            </w:r>
            <w:r w:rsidR="0074399E">
              <w:rPr>
                <w:rFonts w:ascii="Calibri" w:hAnsi="Calibri"/>
                <w:sz w:val="18"/>
                <w:szCs w:val="18"/>
              </w:rPr>
              <w:t xml:space="preserve">the </w:t>
            </w:r>
            <w:r w:rsidRPr="0097597C">
              <w:rPr>
                <w:rFonts w:ascii="Calibri" w:hAnsi="Calibri"/>
                <w:sz w:val="18"/>
                <w:szCs w:val="18"/>
              </w:rPr>
              <w:t xml:space="preserve">health risks from smoking, decreased attractiveness </w:t>
            </w:r>
            <w:r>
              <w:rPr>
                <w:rFonts w:ascii="Calibri" w:hAnsi="Calibri"/>
                <w:sz w:val="18"/>
                <w:szCs w:val="18"/>
              </w:rPr>
              <w:t xml:space="preserve">of advertisements and packages </w:t>
            </w:r>
            <w:r w:rsidRPr="0097597C">
              <w:rPr>
                <w:rFonts w:ascii="Calibri" w:hAnsi="Calibri"/>
                <w:sz w:val="18"/>
                <w:szCs w:val="18"/>
              </w:rPr>
              <w:t>and reduced cigarette use</w:t>
            </w:r>
          </w:p>
          <w:p w14:paraId="69927538" w14:textId="589E1F08"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Long-term effects of warning labels in reducing smoking</w:t>
            </w:r>
            <w:r>
              <w:rPr>
                <w:rFonts w:ascii="Calibri" w:hAnsi="Calibri"/>
                <w:sz w:val="18"/>
                <w:szCs w:val="18"/>
              </w:rPr>
              <w:t xml:space="preserve"> behaviour</w:t>
            </w:r>
            <w:r w:rsidRPr="0097597C">
              <w:rPr>
                <w:rFonts w:ascii="Calibri" w:hAnsi="Calibri"/>
                <w:sz w:val="18"/>
                <w:szCs w:val="18"/>
              </w:rPr>
              <w:t xml:space="preserve"> are not known</w:t>
            </w:r>
          </w:p>
          <w:p w14:paraId="6A0D6C58" w14:textId="476CFDB8"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Nine studies on anti-tobacco media and educational campaigns reported negative attitudes toward smoking, reduced smoking initiation among youths and increased smoking cessation; however, independent effects of campaigns were not examined</w:t>
            </w:r>
          </w:p>
          <w:p w14:paraId="637C9918" w14:textId="59C12B4A" w:rsidR="0081624F" w:rsidRPr="0097597C" w:rsidRDefault="0074399E"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Media c</w:t>
            </w:r>
            <w:r w:rsidR="0081624F" w:rsidRPr="0097597C">
              <w:rPr>
                <w:rFonts w:ascii="Calibri" w:hAnsi="Calibri"/>
                <w:sz w:val="18"/>
                <w:szCs w:val="18"/>
              </w:rPr>
              <w:t xml:space="preserve">ampaigns are most effective when sustained and combined with other </w:t>
            </w:r>
            <w:r>
              <w:rPr>
                <w:rFonts w:ascii="Calibri" w:hAnsi="Calibri"/>
                <w:sz w:val="18"/>
                <w:szCs w:val="18"/>
              </w:rPr>
              <w:t>interventions</w:t>
            </w:r>
          </w:p>
        </w:tc>
        <w:tc>
          <w:tcPr>
            <w:tcW w:w="1333" w:type="dxa"/>
            <w:tcBorders>
              <w:left w:val="single" w:sz="4" w:space="0" w:color="FFFFFF" w:themeColor="background1"/>
              <w:right w:val="single" w:sz="4" w:space="0" w:color="FFFFFF" w:themeColor="background1"/>
            </w:tcBorders>
          </w:tcPr>
          <w:p w14:paraId="25828013" w14:textId="62A69A36" w:rsidR="0081624F" w:rsidRDefault="004C4F33" w:rsidP="005023B5">
            <w:pPr>
              <w:rPr>
                <w:rFonts w:ascii="Calibri" w:hAnsi="Calibri"/>
                <w:sz w:val="18"/>
                <w:szCs w:val="18"/>
              </w:rPr>
            </w:pPr>
            <w:r>
              <w:rPr>
                <w:rFonts w:ascii="Calibri" w:hAnsi="Calibri"/>
                <w:sz w:val="18"/>
                <w:szCs w:val="18"/>
              </w:rPr>
              <w:t>6/10 (HE)</w:t>
            </w:r>
          </w:p>
        </w:tc>
      </w:tr>
      <w:tr w:rsidR="00797E8E" w:rsidRPr="005573A3" w14:paraId="176E52F3" w14:textId="77777777" w:rsidTr="00A923F0">
        <w:trPr>
          <w:cantSplit/>
          <w:trHeight w:val="302"/>
          <w:jc w:val="center"/>
        </w:trPr>
        <w:tc>
          <w:tcPr>
            <w:tcW w:w="1172" w:type="dxa"/>
            <w:vMerge/>
            <w:tcBorders>
              <w:left w:val="single" w:sz="4" w:space="0" w:color="FFFFFF" w:themeColor="background1"/>
              <w:bottom w:val="single" w:sz="12" w:space="0" w:color="auto"/>
              <w:right w:val="single" w:sz="4" w:space="0" w:color="FFFFFF" w:themeColor="background1"/>
            </w:tcBorders>
          </w:tcPr>
          <w:p w14:paraId="3AAD2C05" w14:textId="77777777" w:rsidR="00797E8E" w:rsidRPr="00F0774B" w:rsidRDefault="00797E8E">
            <w:pPr>
              <w:rPr>
                <w:rFonts w:ascii="Calibri" w:hAnsi="Calibri"/>
                <w:b/>
                <w:sz w:val="18"/>
                <w:szCs w:val="18"/>
              </w:rPr>
            </w:pPr>
          </w:p>
        </w:tc>
        <w:tc>
          <w:tcPr>
            <w:tcW w:w="1235" w:type="dxa"/>
            <w:tcBorders>
              <w:left w:val="single" w:sz="4" w:space="0" w:color="FFFFFF" w:themeColor="background1"/>
              <w:bottom w:val="single" w:sz="12" w:space="0" w:color="auto"/>
              <w:right w:val="single" w:sz="4" w:space="0" w:color="FFFFFF" w:themeColor="background1"/>
            </w:tcBorders>
          </w:tcPr>
          <w:p w14:paraId="207E96EE" w14:textId="4C8BC7E1" w:rsidR="00797E8E" w:rsidRDefault="00797E8E">
            <w:pPr>
              <w:rPr>
                <w:rFonts w:ascii="Calibri" w:hAnsi="Calibri"/>
                <w:sz w:val="18"/>
                <w:szCs w:val="18"/>
              </w:rPr>
            </w:pPr>
            <w:r>
              <w:rPr>
                <w:rFonts w:ascii="Calibri" w:hAnsi="Calibri"/>
                <w:sz w:val="18"/>
                <w:szCs w:val="18"/>
              </w:rPr>
              <w:t>CPSTF 2013</w:t>
            </w:r>
          </w:p>
        </w:tc>
        <w:tc>
          <w:tcPr>
            <w:tcW w:w="992" w:type="dxa"/>
            <w:tcBorders>
              <w:left w:val="single" w:sz="4" w:space="0" w:color="FFFFFF" w:themeColor="background1"/>
              <w:bottom w:val="single" w:sz="12" w:space="0" w:color="auto"/>
              <w:right w:val="single" w:sz="4" w:space="0" w:color="FFFFFF" w:themeColor="background1"/>
            </w:tcBorders>
          </w:tcPr>
          <w:p w14:paraId="3370FD81" w14:textId="297FE5B8" w:rsidR="00797E8E" w:rsidRDefault="00797E8E" w:rsidP="00D7547F">
            <w:pPr>
              <w:jc w:val="center"/>
              <w:rPr>
                <w:rFonts w:ascii="Calibri" w:hAnsi="Calibri"/>
                <w:sz w:val="18"/>
                <w:szCs w:val="18"/>
              </w:rPr>
            </w:pPr>
            <w:r>
              <w:rPr>
                <w:rFonts w:ascii="Calibri" w:hAnsi="Calibri"/>
                <w:sz w:val="18"/>
                <w:szCs w:val="18"/>
              </w:rPr>
              <w:t>64</w:t>
            </w:r>
          </w:p>
        </w:tc>
        <w:tc>
          <w:tcPr>
            <w:tcW w:w="992" w:type="dxa"/>
            <w:tcBorders>
              <w:left w:val="single" w:sz="4" w:space="0" w:color="FFFFFF" w:themeColor="background1"/>
              <w:bottom w:val="single" w:sz="12" w:space="0" w:color="auto"/>
              <w:right w:val="single" w:sz="4" w:space="0" w:color="FFFFFF" w:themeColor="background1"/>
            </w:tcBorders>
          </w:tcPr>
          <w:p w14:paraId="10BA1DED" w14:textId="2A9C9BA9" w:rsidR="00797E8E" w:rsidRDefault="00797E8E" w:rsidP="00D7547F">
            <w:pPr>
              <w:jc w:val="center"/>
              <w:rPr>
                <w:rFonts w:ascii="Calibri" w:hAnsi="Calibri"/>
                <w:sz w:val="18"/>
                <w:szCs w:val="18"/>
              </w:rPr>
            </w:pPr>
            <w:r>
              <w:rPr>
                <w:rFonts w:ascii="Calibri" w:hAnsi="Calibri"/>
                <w:sz w:val="18"/>
                <w:szCs w:val="18"/>
              </w:rPr>
              <w:t>2012</w:t>
            </w:r>
          </w:p>
        </w:tc>
        <w:tc>
          <w:tcPr>
            <w:tcW w:w="7796" w:type="dxa"/>
            <w:tcBorders>
              <w:left w:val="single" w:sz="4" w:space="0" w:color="FFFFFF" w:themeColor="background1"/>
              <w:bottom w:val="single" w:sz="12" w:space="0" w:color="auto"/>
              <w:right w:val="single" w:sz="4" w:space="0" w:color="FFFFFF" w:themeColor="background1"/>
            </w:tcBorders>
          </w:tcPr>
          <w:p w14:paraId="53FF199D" w14:textId="66D44F14" w:rsidR="00797E8E" w:rsidRDefault="00797E8E" w:rsidP="00E64DAC">
            <w:pPr>
              <w:pStyle w:val="ListParagraph"/>
              <w:numPr>
                <w:ilvl w:val="0"/>
                <w:numId w:val="15"/>
              </w:numPr>
              <w:ind w:left="170" w:hanging="170"/>
              <w:rPr>
                <w:rFonts w:ascii="Calibri" w:hAnsi="Calibri"/>
                <w:sz w:val="18"/>
                <w:szCs w:val="18"/>
              </w:rPr>
            </w:pPr>
            <w:r>
              <w:rPr>
                <w:rFonts w:ascii="Calibri" w:hAnsi="Calibri"/>
                <w:sz w:val="18"/>
                <w:szCs w:val="18"/>
              </w:rPr>
              <w:t>Mass-reach health communication interventions that use television as the primary medium:</w:t>
            </w:r>
          </w:p>
          <w:p w14:paraId="4F2DEF7C" w14:textId="16B5DB89" w:rsidR="00797E8E" w:rsidRDefault="00797E8E" w:rsidP="00E64DAC">
            <w:pPr>
              <w:pStyle w:val="ListParagraph"/>
              <w:numPr>
                <w:ilvl w:val="0"/>
                <w:numId w:val="13"/>
              </w:numPr>
              <w:ind w:left="340" w:hanging="170"/>
              <w:rPr>
                <w:rFonts w:ascii="Calibri" w:hAnsi="Calibri"/>
                <w:sz w:val="18"/>
                <w:szCs w:val="18"/>
              </w:rPr>
            </w:pPr>
            <w:r>
              <w:rPr>
                <w:rFonts w:ascii="Calibri" w:hAnsi="Calibri"/>
                <w:sz w:val="18"/>
                <w:szCs w:val="18"/>
              </w:rPr>
              <w:t>Reduce prevalence of tobacco use</w:t>
            </w:r>
            <w:r w:rsidR="00312134">
              <w:rPr>
                <w:rFonts w:ascii="Calibri" w:hAnsi="Calibri"/>
                <w:sz w:val="18"/>
                <w:szCs w:val="18"/>
              </w:rPr>
              <w:t xml:space="preserve"> by 5.0% in adults (range = -5.2 to -1.9</w:t>
            </w:r>
            <w:r>
              <w:rPr>
                <w:rFonts w:ascii="Calibri" w:hAnsi="Calibri"/>
                <w:sz w:val="18"/>
                <w:szCs w:val="18"/>
              </w:rPr>
              <w:t>) and 3.</w:t>
            </w:r>
            <w:r w:rsidR="00312134">
              <w:rPr>
                <w:rFonts w:ascii="Calibri" w:hAnsi="Calibri"/>
                <w:sz w:val="18"/>
                <w:szCs w:val="18"/>
              </w:rPr>
              <w:t>4% in young people (range = -5.3 to -1.6</w:t>
            </w:r>
            <w:r>
              <w:rPr>
                <w:rFonts w:ascii="Calibri" w:hAnsi="Calibri"/>
                <w:sz w:val="18"/>
                <w:szCs w:val="18"/>
              </w:rPr>
              <w:t>)</w:t>
            </w:r>
          </w:p>
          <w:p w14:paraId="0E26A075" w14:textId="6528791A" w:rsidR="00797E8E" w:rsidRDefault="00797E8E" w:rsidP="00E64DAC">
            <w:pPr>
              <w:pStyle w:val="ListParagraph"/>
              <w:numPr>
                <w:ilvl w:val="0"/>
                <w:numId w:val="13"/>
              </w:numPr>
              <w:ind w:left="340" w:hanging="170"/>
              <w:rPr>
                <w:rFonts w:ascii="Calibri" w:hAnsi="Calibri"/>
                <w:sz w:val="18"/>
                <w:szCs w:val="18"/>
              </w:rPr>
            </w:pPr>
            <w:r>
              <w:rPr>
                <w:rFonts w:ascii="Calibri" w:hAnsi="Calibri"/>
                <w:sz w:val="18"/>
                <w:szCs w:val="18"/>
              </w:rPr>
              <w:t>Increase cessation by 3.5% (range = 2.0 to 5.0)</w:t>
            </w:r>
          </w:p>
          <w:p w14:paraId="2A999679" w14:textId="2D7D6C9A" w:rsidR="00797E8E" w:rsidRDefault="00797E8E" w:rsidP="00E64DAC">
            <w:pPr>
              <w:pStyle w:val="ListParagraph"/>
              <w:numPr>
                <w:ilvl w:val="0"/>
                <w:numId w:val="13"/>
              </w:numPr>
              <w:ind w:left="340" w:hanging="170"/>
              <w:rPr>
                <w:rFonts w:ascii="Calibri" w:hAnsi="Calibri"/>
                <w:sz w:val="18"/>
                <w:szCs w:val="18"/>
              </w:rPr>
            </w:pPr>
            <w:r>
              <w:rPr>
                <w:rFonts w:ascii="Calibri" w:hAnsi="Calibri"/>
                <w:sz w:val="18"/>
                <w:szCs w:val="18"/>
              </w:rPr>
              <w:t>Decrea</w:t>
            </w:r>
            <w:r w:rsidR="00AC5ABA">
              <w:rPr>
                <w:rFonts w:ascii="Calibri" w:hAnsi="Calibri"/>
                <w:sz w:val="18"/>
                <w:szCs w:val="18"/>
              </w:rPr>
              <w:t>se</w:t>
            </w:r>
            <w:r>
              <w:rPr>
                <w:rFonts w:ascii="Calibri" w:hAnsi="Calibri"/>
                <w:sz w:val="18"/>
                <w:szCs w:val="18"/>
              </w:rPr>
              <w:t xml:space="preserve"> initiation by 6.7% in young people (95% CI = </w:t>
            </w:r>
            <w:r w:rsidR="00312134">
              <w:rPr>
                <w:rFonts w:ascii="Calibri" w:hAnsi="Calibri"/>
                <w:sz w:val="18"/>
                <w:szCs w:val="18"/>
              </w:rPr>
              <w:t>-13.0 to -0.4)</w:t>
            </w:r>
          </w:p>
          <w:p w14:paraId="4F1ABB54" w14:textId="51BB9447" w:rsidR="00797E8E" w:rsidRPr="0097597C" w:rsidRDefault="00044318" w:rsidP="00E64DAC">
            <w:pPr>
              <w:pStyle w:val="ListParagraph"/>
              <w:numPr>
                <w:ilvl w:val="0"/>
                <w:numId w:val="15"/>
              </w:numPr>
              <w:ind w:left="170" w:hanging="170"/>
              <w:rPr>
                <w:rFonts w:ascii="Calibri" w:hAnsi="Calibri"/>
                <w:sz w:val="18"/>
                <w:szCs w:val="18"/>
              </w:rPr>
            </w:pPr>
            <w:r>
              <w:rPr>
                <w:rFonts w:ascii="Calibri" w:hAnsi="Calibri"/>
                <w:sz w:val="18"/>
                <w:szCs w:val="18"/>
              </w:rPr>
              <w:t>A previous review by the task force (search period 1980 to 2000) also reported reductions in smoking prevalence and tobacco consumption, and increases in cessation</w:t>
            </w:r>
          </w:p>
        </w:tc>
        <w:tc>
          <w:tcPr>
            <w:tcW w:w="1333" w:type="dxa"/>
            <w:tcBorders>
              <w:left w:val="single" w:sz="4" w:space="0" w:color="FFFFFF" w:themeColor="background1"/>
              <w:bottom w:val="single" w:sz="12" w:space="0" w:color="auto"/>
              <w:right w:val="single" w:sz="4" w:space="0" w:color="FFFFFF" w:themeColor="background1"/>
            </w:tcBorders>
          </w:tcPr>
          <w:p w14:paraId="4F916220" w14:textId="04FA47B1" w:rsidR="00797E8E" w:rsidRDefault="00044318" w:rsidP="005023B5">
            <w:pPr>
              <w:rPr>
                <w:rFonts w:ascii="Calibri" w:hAnsi="Calibri"/>
                <w:sz w:val="18"/>
                <w:szCs w:val="18"/>
              </w:rPr>
            </w:pPr>
            <w:r>
              <w:rPr>
                <w:rFonts w:ascii="Calibri" w:hAnsi="Calibri"/>
                <w:sz w:val="18"/>
                <w:szCs w:val="18"/>
              </w:rPr>
              <w:t>3/10 (Authors)</w:t>
            </w:r>
          </w:p>
        </w:tc>
      </w:tr>
      <w:tr w:rsidR="0081624F" w:rsidRPr="005573A3" w14:paraId="370E4244" w14:textId="77777777" w:rsidTr="00A923F0">
        <w:trPr>
          <w:cantSplit/>
          <w:trHeight w:val="302"/>
          <w:jc w:val="center"/>
        </w:trPr>
        <w:tc>
          <w:tcPr>
            <w:tcW w:w="1172" w:type="dxa"/>
            <w:vMerge/>
            <w:tcBorders>
              <w:left w:val="single" w:sz="4" w:space="0" w:color="FFFFFF" w:themeColor="background1"/>
              <w:bottom w:val="single" w:sz="12" w:space="0" w:color="auto"/>
              <w:right w:val="single" w:sz="4" w:space="0" w:color="FFFFFF" w:themeColor="background1"/>
            </w:tcBorders>
          </w:tcPr>
          <w:p w14:paraId="485BC921" w14:textId="7AE65396" w:rsidR="0081624F" w:rsidRPr="00F0774B" w:rsidRDefault="0081624F">
            <w:pPr>
              <w:rPr>
                <w:rFonts w:ascii="Calibri" w:hAnsi="Calibri"/>
                <w:b/>
                <w:sz w:val="18"/>
                <w:szCs w:val="18"/>
              </w:rPr>
            </w:pPr>
          </w:p>
        </w:tc>
        <w:tc>
          <w:tcPr>
            <w:tcW w:w="1235" w:type="dxa"/>
            <w:tcBorders>
              <w:left w:val="single" w:sz="4" w:space="0" w:color="FFFFFF" w:themeColor="background1"/>
              <w:bottom w:val="single" w:sz="12" w:space="0" w:color="auto"/>
              <w:right w:val="single" w:sz="4" w:space="0" w:color="FFFFFF" w:themeColor="background1"/>
            </w:tcBorders>
          </w:tcPr>
          <w:p w14:paraId="043FDB2C" w14:textId="25EB1507" w:rsidR="0081624F" w:rsidRPr="009669B1" w:rsidRDefault="0081624F">
            <w:pPr>
              <w:rPr>
                <w:rFonts w:ascii="Calibri" w:hAnsi="Calibri"/>
                <w:sz w:val="18"/>
                <w:szCs w:val="18"/>
              </w:rPr>
            </w:pPr>
            <w:r>
              <w:rPr>
                <w:rFonts w:ascii="Calibri" w:hAnsi="Calibri"/>
                <w:sz w:val="18"/>
                <w:szCs w:val="18"/>
              </w:rPr>
              <w:t xml:space="preserve">Bala </w:t>
            </w:r>
            <w:r>
              <w:rPr>
                <w:rFonts w:ascii="Calibri" w:hAnsi="Calibri"/>
                <w:i/>
                <w:sz w:val="18"/>
                <w:szCs w:val="18"/>
              </w:rPr>
              <w:t>et al.</w:t>
            </w:r>
            <w:r>
              <w:rPr>
                <w:rFonts w:ascii="Calibri" w:hAnsi="Calibri"/>
                <w:sz w:val="18"/>
                <w:szCs w:val="18"/>
              </w:rPr>
              <w:t xml:space="preserve"> 2013</w:t>
            </w:r>
          </w:p>
        </w:tc>
        <w:tc>
          <w:tcPr>
            <w:tcW w:w="992" w:type="dxa"/>
            <w:tcBorders>
              <w:left w:val="single" w:sz="4" w:space="0" w:color="FFFFFF" w:themeColor="background1"/>
              <w:bottom w:val="single" w:sz="12" w:space="0" w:color="auto"/>
              <w:right w:val="single" w:sz="4" w:space="0" w:color="FFFFFF" w:themeColor="background1"/>
            </w:tcBorders>
          </w:tcPr>
          <w:p w14:paraId="20C7D4D8" w14:textId="629D4421" w:rsidR="0081624F" w:rsidRDefault="0081624F" w:rsidP="00D7547F">
            <w:pPr>
              <w:jc w:val="center"/>
              <w:rPr>
                <w:rFonts w:ascii="Calibri" w:hAnsi="Calibri"/>
                <w:sz w:val="18"/>
                <w:szCs w:val="18"/>
              </w:rPr>
            </w:pPr>
            <w:r>
              <w:rPr>
                <w:rFonts w:ascii="Calibri" w:hAnsi="Calibri"/>
                <w:sz w:val="18"/>
                <w:szCs w:val="18"/>
              </w:rPr>
              <w:t>11</w:t>
            </w:r>
          </w:p>
        </w:tc>
        <w:tc>
          <w:tcPr>
            <w:tcW w:w="992" w:type="dxa"/>
            <w:tcBorders>
              <w:left w:val="single" w:sz="4" w:space="0" w:color="FFFFFF" w:themeColor="background1"/>
              <w:bottom w:val="single" w:sz="12" w:space="0" w:color="auto"/>
              <w:right w:val="single" w:sz="4" w:space="0" w:color="FFFFFF" w:themeColor="background1"/>
            </w:tcBorders>
          </w:tcPr>
          <w:p w14:paraId="2D3D1C3D" w14:textId="464BA092" w:rsidR="0081624F" w:rsidRDefault="0081624F" w:rsidP="00D7547F">
            <w:pPr>
              <w:jc w:val="center"/>
              <w:rPr>
                <w:rFonts w:ascii="Calibri" w:hAnsi="Calibri"/>
                <w:sz w:val="18"/>
                <w:szCs w:val="18"/>
              </w:rPr>
            </w:pPr>
            <w:r>
              <w:rPr>
                <w:rFonts w:ascii="Calibri" w:hAnsi="Calibri"/>
                <w:sz w:val="18"/>
                <w:szCs w:val="18"/>
              </w:rPr>
              <w:t>2007</w:t>
            </w:r>
          </w:p>
        </w:tc>
        <w:tc>
          <w:tcPr>
            <w:tcW w:w="7796" w:type="dxa"/>
            <w:tcBorders>
              <w:left w:val="single" w:sz="4" w:space="0" w:color="FFFFFF" w:themeColor="background1"/>
              <w:bottom w:val="single" w:sz="12" w:space="0" w:color="auto"/>
              <w:right w:val="single" w:sz="4" w:space="0" w:color="FFFFFF" w:themeColor="background1"/>
            </w:tcBorders>
          </w:tcPr>
          <w:p w14:paraId="5E5BE12C" w14:textId="693FE2D2"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Mass media campaigns as part of tobacco control programs may change smoking behaviour in adults</w:t>
            </w:r>
            <w:r w:rsidR="001D1C69">
              <w:rPr>
                <w:rFonts w:ascii="Calibri" w:hAnsi="Calibri"/>
                <w:sz w:val="18"/>
                <w:szCs w:val="18"/>
              </w:rPr>
              <w:t xml:space="preserve">; however, </w:t>
            </w:r>
            <w:r w:rsidRPr="0097597C">
              <w:rPr>
                <w:rFonts w:ascii="Calibri" w:hAnsi="Calibri"/>
                <w:sz w:val="18"/>
                <w:szCs w:val="18"/>
              </w:rPr>
              <w:t>included studies were heterogeneous and of mixed methodological quality</w:t>
            </w:r>
          </w:p>
          <w:p w14:paraId="05DA308D" w14:textId="77777777"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Of nine studies on smoking prevalence, two reported significant decreases in prevalence with mass media campaigns while three reported moderate effects</w:t>
            </w:r>
          </w:p>
          <w:p w14:paraId="1E85435A" w14:textId="77777777"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Three of seven studies on tobacco consumption reported decreases</w:t>
            </w:r>
          </w:p>
          <w:p w14:paraId="1C712BBA" w14:textId="79759B06"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Four of seven studies on quit rates reported moderate to significant increases</w:t>
            </w:r>
          </w:p>
        </w:tc>
        <w:tc>
          <w:tcPr>
            <w:tcW w:w="1333" w:type="dxa"/>
            <w:tcBorders>
              <w:left w:val="single" w:sz="4" w:space="0" w:color="FFFFFF" w:themeColor="background1"/>
              <w:bottom w:val="single" w:sz="12" w:space="0" w:color="auto"/>
              <w:right w:val="single" w:sz="4" w:space="0" w:color="FFFFFF" w:themeColor="background1"/>
            </w:tcBorders>
          </w:tcPr>
          <w:p w14:paraId="75040A5B" w14:textId="79B8DB64" w:rsidR="0081624F" w:rsidRDefault="004C4F33" w:rsidP="005023B5">
            <w:pPr>
              <w:rPr>
                <w:rFonts w:ascii="Calibri" w:hAnsi="Calibri"/>
                <w:sz w:val="18"/>
                <w:szCs w:val="18"/>
              </w:rPr>
            </w:pPr>
            <w:r>
              <w:rPr>
                <w:rFonts w:ascii="Calibri" w:hAnsi="Calibri"/>
                <w:sz w:val="18"/>
                <w:szCs w:val="18"/>
              </w:rPr>
              <w:t>9/10 (HE)</w:t>
            </w:r>
          </w:p>
        </w:tc>
      </w:tr>
      <w:tr w:rsidR="0081624F" w:rsidRPr="005573A3" w14:paraId="2CB40181" w14:textId="77777777" w:rsidTr="00A923F0">
        <w:trPr>
          <w:cantSplit/>
          <w:trHeight w:val="75"/>
          <w:jc w:val="center"/>
        </w:trPr>
        <w:tc>
          <w:tcPr>
            <w:tcW w:w="1172" w:type="dxa"/>
            <w:vMerge w:val="restart"/>
            <w:tcBorders>
              <w:top w:val="single" w:sz="12" w:space="0" w:color="auto"/>
              <w:left w:val="single" w:sz="4" w:space="0" w:color="FFFFFF" w:themeColor="background1"/>
              <w:right w:val="single" w:sz="4" w:space="0" w:color="FFFFFF" w:themeColor="background1"/>
            </w:tcBorders>
          </w:tcPr>
          <w:p w14:paraId="4EDD7AFF" w14:textId="7F02B991" w:rsidR="0081624F" w:rsidRPr="00F0774B" w:rsidRDefault="0081624F" w:rsidP="00A923F0">
            <w:pPr>
              <w:keepLines/>
              <w:rPr>
                <w:rFonts w:ascii="Calibri" w:hAnsi="Calibri"/>
                <w:b/>
                <w:sz w:val="18"/>
                <w:szCs w:val="18"/>
              </w:rPr>
            </w:pPr>
            <w:r w:rsidRPr="00F0774B">
              <w:rPr>
                <w:rFonts w:ascii="Calibri" w:hAnsi="Calibri"/>
                <w:b/>
                <w:sz w:val="18"/>
                <w:szCs w:val="18"/>
              </w:rPr>
              <w:t>Enforce bans on tobacco advertising, promotion and sponsorship</w:t>
            </w:r>
          </w:p>
        </w:tc>
        <w:tc>
          <w:tcPr>
            <w:tcW w:w="1235" w:type="dxa"/>
            <w:tcBorders>
              <w:top w:val="single" w:sz="12" w:space="0" w:color="auto"/>
              <w:left w:val="single" w:sz="4" w:space="0" w:color="FFFFFF" w:themeColor="background1"/>
              <w:right w:val="single" w:sz="4" w:space="0" w:color="FFFFFF" w:themeColor="background1"/>
            </w:tcBorders>
          </w:tcPr>
          <w:p w14:paraId="21C47A88" w14:textId="43C5762D" w:rsidR="0081624F" w:rsidRDefault="0081624F" w:rsidP="004C4F33">
            <w:pPr>
              <w:rPr>
                <w:rFonts w:ascii="Calibri" w:hAnsi="Calibri"/>
                <w:sz w:val="18"/>
                <w:szCs w:val="18"/>
              </w:rPr>
            </w:pPr>
            <w:r>
              <w:rPr>
                <w:rFonts w:ascii="Calibri" w:hAnsi="Calibri"/>
                <w:sz w:val="18"/>
                <w:szCs w:val="18"/>
              </w:rPr>
              <w:t xml:space="preserve">Willemsen </w:t>
            </w:r>
            <w:r w:rsidR="004C4F33">
              <w:rPr>
                <w:rFonts w:ascii="Calibri" w:hAnsi="Calibri"/>
                <w:sz w:val="18"/>
                <w:szCs w:val="18"/>
              </w:rPr>
              <w:t xml:space="preserve">&amp; </w:t>
            </w:r>
            <w:r>
              <w:rPr>
                <w:rFonts w:ascii="Calibri" w:hAnsi="Calibri"/>
                <w:sz w:val="18"/>
                <w:szCs w:val="18"/>
              </w:rPr>
              <w:t>de Zwart 1999</w:t>
            </w:r>
          </w:p>
        </w:tc>
        <w:tc>
          <w:tcPr>
            <w:tcW w:w="992" w:type="dxa"/>
            <w:tcBorders>
              <w:top w:val="single" w:sz="12" w:space="0" w:color="auto"/>
              <w:left w:val="single" w:sz="4" w:space="0" w:color="FFFFFF" w:themeColor="background1"/>
              <w:right w:val="single" w:sz="4" w:space="0" w:color="FFFFFF" w:themeColor="background1"/>
            </w:tcBorders>
            <w:shd w:val="clear" w:color="auto" w:fill="auto"/>
          </w:tcPr>
          <w:p w14:paraId="099D6A7B" w14:textId="3A39D52F" w:rsidR="0081624F" w:rsidRDefault="005514C1" w:rsidP="00D7547F">
            <w:pPr>
              <w:jc w:val="center"/>
              <w:rPr>
                <w:rFonts w:ascii="Calibri" w:hAnsi="Calibri"/>
                <w:sz w:val="18"/>
                <w:szCs w:val="18"/>
              </w:rPr>
            </w:pPr>
            <w:r>
              <w:rPr>
                <w:rFonts w:ascii="Calibri" w:hAnsi="Calibri"/>
                <w:sz w:val="18"/>
                <w:szCs w:val="18"/>
              </w:rPr>
              <w:t>?</w:t>
            </w:r>
          </w:p>
        </w:tc>
        <w:tc>
          <w:tcPr>
            <w:tcW w:w="992" w:type="dxa"/>
            <w:tcBorders>
              <w:top w:val="single" w:sz="12" w:space="0" w:color="auto"/>
              <w:left w:val="single" w:sz="4" w:space="0" w:color="FFFFFF" w:themeColor="background1"/>
              <w:right w:val="single" w:sz="4" w:space="0" w:color="FFFFFF" w:themeColor="background1"/>
            </w:tcBorders>
          </w:tcPr>
          <w:p w14:paraId="770AB790" w14:textId="23745722" w:rsidR="0081624F" w:rsidRDefault="0081624F" w:rsidP="00D7547F">
            <w:pPr>
              <w:jc w:val="center"/>
              <w:rPr>
                <w:rFonts w:ascii="Calibri" w:hAnsi="Calibri"/>
                <w:sz w:val="18"/>
                <w:szCs w:val="18"/>
              </w:rPr>
            </w:pPr>
            <w:r>
              <w:rPr>
                <w:rFonts w:ascii="Calibri" w:hAnsi="Calibri"/>
                <w:sz w:val="18"/>
                <w:szCs w:val="18"/>
              </w:rPr>
              <w:t>1998</w:t>
            </w:r>
          </w:p>
        </w:tc>
        <w:tc>
          <w:tcPr>
            <w:tcW w:w="7796" w:type="dxa"/>
            <w:tcBorders>
              <w:top w:val="single" w:sz="12" w:space="0" w:color="auto"/>
              <w:left w:val="single" w:sz="4" w:space="0" w:color="FFFFFF" w:themeColor="background1"/>
              <w:right w:val="single" w:sz="4" w:space="0" w:color="FFFFFF" w:themeColor="background1"/>
            </w:tcBorders>
          </w:tcPr>
          <w:p w14:paraId="0F2ED451" w14:textId="09537717" w:rsidR="0081624F"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 xml:space="preserve">Advertising bans may decrease tobacco consumption, but only in combination with other </w:t>
            </w:r>
            <w:r w:rsidR="001D1C69">
              <w:rPr>
                <w:rFonts w:ascii="Calibri" w:hAnsi="Calibri"/>
                <w:sz w:val="18"/>
                <w:szCs w:val="18"/>
              </w:rPr>
              <w:t xml:space="preserve">interventions </w:t>
            </w:r>
            <w:r>
              <w:rPr>
                <w:rFonts w:ascii="Calibri" w:hAnsi="Calibri"/>
                <w:sz w:val="18"/>
                <w:szCs w:val="18"/>
              </w:rPr>
              <w:t>(e.g., mass media campaigns, educational activities)</w:t>
            </w:r>
          </w:p>
          <w:p w14:paraId="71310911" w14:textId="2EA122C3" w:rsidR="0081624F" w:rsidRPr="0097597C"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Insufficient evidence exists for the independent effect of advertising bans</w:t>
            </w:r>
          </w:p>
        </w:tc>
        <w:tc>
          <w:tcPr>
            <w:tcW w:w="1333" w:type="dxa"/>
            <w:tcBorders>
              <w:top w:val="single" w:sz="12" w:space="0" w:color="auto"/>
              <w:left w:val="single" w:sz="4" w:space="0" w:color="FFFFFF" w:themeColor="background1"/>
              <w:right w:val="single" w:sz="4" w:space="0" w:color="FFFFFF" w:themeColor="background1"/>
            </w:tcBorders>
          </w:tcPr>
          <w:p w14:paraId="09A57CDE" w14:textId="620C5F8E" w:rsidR="0081624F" w:rsidRDefault="004C4F33" w:rsidP="00A16911">
            <w:pPr>
              <w:rPr>
                <w:rFonts w:ascii="Calibri" w:hAnsi="Calibri"/>
                <w:sz w:val="18"/>
                <w:szCs w:val="18"/>
              </w:rPr>
            </w:pPr>
            <w:r>
              <w:rPr>
                <w:rFonts w:ascii="Calibri" w:hAnsi="Calibri"/>
                <w:sz w:val="18"/>
                <w:szCs w:val="18"/>
              </w:rPr>
              <w:t>2/10 (HE)</w:t>
            </w:r>
          </w:p>
        </w:tc>
      </w:tr>
      <w:tr w:rsidR="0081624F" w:rsidRPr="005573A3" w14:paraId="0C9AEC6A"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086C0646" w14:textId="77777777" w:rsidR="0081624F" w:rsidRPr="00F0774B" w:rsidRDefault="0081624F" w:rsidP="006B26F8">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33396E31" w14:textId="469274BA" w:rsidR="0081624F" w:rsidRPr="0070369F" w:rsidRDefault="0081624F" w:rsidP="00A16911">
            <w:pPr>
              <w:rPr>
                <w:rFonts w:ascii="Calibri" w:hAnsi="Calibri"/>
                <w:sz w:val="18"/>
                <w:szCs w:val="18"/>
              </w:rPr>
            </w:pPr>
            <w:r>
              <w:rPr>
                <w:rFonts w:ascii="Calibri" w:hAnsi="Calibri"/>
                <w:sz w:val="18"/>
                <w:szCs w:val="18"/>
              </w:rPr>
              <w:t xml:space="preserve">Lantz </w:t>
            </w:r>
            <w:r>
              <w:rPr>
                <w:rFonts w:ascii="Calibri" w:hAnsi="Calibri"/>
                <w:i/>
                <w:sz w:val="18"/>
                <w:szCs w:val="18"/>
              </w:rPr>
              <w:t>et al.</w:t>
            </w:r>
            <w:r>
              <w:rPr>
                <w:rFonts w:ascii="Calibri" w:hAnsi="Calibri"/>
                <w:sz w:val="18"/>
                <w:szCs w:val="18"/>
              </w:rPr>
              <w:t xml:space="preserve"> 2000</w:t>
            </w:r>
          </w:p>
        </w:tc>
        <w:tc>
          <w:tcPr>
            <w:tcW w:w="992" w:type="dxa"/>
            <w:tcBorders>
              <w:left w:val="single" w:sz="4" w:space="0" w:color="FFFFFF" w:themeColor="background1"/>
              <w:right w:val="single" w:sz="4" w:space="0" w:color="FFFFFF" w:themeColor="background1"/>
            </w:tcBorders>
            <w:shd w:val="clear" w:color="auto" w:fill="auto"/>
          </w:tcPr>
          <w:p w14:paraId="3D452192" w14:textId="57B44550" w:rsidR="0081624F" w:rsidRDefault="005514C1" w:rsidP="00D7547F">
            <w:pPr>
              <w:jc w:val="center"/>
              <w:rPr>
                <w:rFonts w:ascii="Calibri" w:hAnsi="Calibri"/>
                <w:sz w:val="18"/>
                <w:szCs w:val="18"/>
              </w:rPr>
            </w:pPr>
            <w:r>
              <w:rPr>
                <w:rFonts w:ascii="Calibri" w:hAnsi="Calibri"/>
                <w:sz w:val="18"/>
                <w:szCs w:val="18"/>
              </w:rPr>
              <w:t>?</w:t>
            </w:r>
          </w:p>
        </w:tc>
        <w:tc>
          <w:tcPr>
            <w:tcW w:w="992" w:type="dxa"/>
            <w:tcBorders>
              <w:left w:val="single" w:sz="4" w:space="0" w:color="FFFFFF" w:themeColor="background1"/>
              <w:right w:val="single" w:sz="4" w:space="0" w:color="FFFFFF" w:themeColor="background1"/>
            </w:tcBorders>
          </w:tcPr>
          <w:p w14:paraId="2025BABA" w14:textId="39D3F4B7" w:rsidR="0081624F" w:rsidRDefault="005514C1"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62793F7E" w14:textId="0FBABF41" w:rsidR="0081624F" w:rsidRPr="00D7547F" w:rsidRDefault="001D1C69"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Inconclusive evidence exists for the effect of cigarette advertising bans on youth smoking behaviour</w:t>
            </w:r>
          </w:p>
        </w:tc>
        <w:tc>
          <w:tcPr>
            <w:tcW w:w="1333" w:type="dxa"/>
            <w:tcBorders>
              <w:left w:val="single" w:sz="4" w:space="0" w:color="FFFFFF" w:themeColor="background1"/>
              <w:right w:val="single" w:sz="4" w:space="0" w:color="FFFFFF" w:themeColor="background1"/>
            </w:tcBorders>
            <w:shd w:val="clear" w:color="auto" w:fill="auto"/>
          </w:tcPr>
          <w:p w14:paraId="065882B4" w14:textId="0A47CCF9" w:rsidR="0081624F" w:rsidRDefault="004C4F33" w:rsidP="00A16911">
            <w:pPr>
              <w:rPr>
                <w:rFonts w:ascii="Calibri" w:hAnsi="Calibri"/>
                <w:sz w:val="18"/>
                <w:szCs w:val="18"/>
              </w:rPr>
            </w:pPr>
            <w:r>
              <w:rPr>
                <w:rFonts w:ascii="Calibri" w:hAnsi="Calibri"/>
                <w:sz w:val="18"/>
                <w:szCs w:val="18"/>
              </w:rPr>
              <w:t>1/10 (Authors)</w:t>
            </w:r>
          </w:p>
        </w:tc>
      </w:tr>
      <w:tr w:rsidR="0081624F" w:rsidRPr="005573A3" w14:paraId="4D508162"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250BA0E3" w14:textId="2C48C6E3" w:rsidR="0081624F" w:rsidRPr="00F0774B" w:rsidRDefault="0081624F" w:rsidP="006B26F8">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A27F04B" w14:textId="7B94CC79" w:rsidR="0081624F" w:rsidRPr="005A002D" w:rsidRDefault="0081624F" w:rsidP="00A16911">
            <w:pPr>
              <w:rPr>
                <w:rFonts w:ascii="Calibri" w:hAnsi="Calibri"/>
                <w:sz w:val="18"/>
                <w:szCs w:val="18"/>
              </w:rPr>
            </w:pPr>
            <w:r>
              <w:rPr>
                <w:rFonts w:ascii="Calibri" w:hAnsi="Calibri"/>
                <w:sz w:val="18"/>
                <w:szCs w:val="18"/>
              </w:rPr>
              <w:t xml:space="preserve">Quentin </w:t>
            </w:r>
            <w:r w:rsidRPr="00160CC4">
              <w:rPr>
                <w:rFonts w:ascii="Calibri" w:hAnsi="Calibri"/>
                <w:i/>
                <w:sz w:val="18"/>
                <w:szCs w:val="18"/>
              </w:rPr>
              <w:t>et al</w:t>
            </w:r>
            <w:r>
              <w:rPr>
                <w:rFonts w:ascii="Calibri" w:hAnsi="Calibri"/>
                <w:i/>
                <w:sz w:val="18"/>
                <w:szCs w:val="18"/>
              </w:rPr>
              <w:t>.</w:t>
            </w:r>
            <w:r>
              <w:rPr>
                <w:rFonts w:ascii="Calibri" w:hAnsi="Calibri"/>
                <w:sz w:val="18"/>
                <w:szCs w:val="18"/>
              </w:rPr>
              <w:t xml:space="preserve"> 2007</w:t>
            </w:r>
          </w:p>
        </w:tc>
        <w:tc>
          <w:tcPr>
            <w:tcW w:w="992" w:type="dxa"/>
            <w:tcBorders>
              <w:left w:val="single" w:sz="4" w:space="0" w:color="FFFFFF" w:themeColor="background1"/>
              <w:right w:val="single" w:sz="4" w:space="0" w:color="FFFFFF" w:themeColor="background1"/>
            </w:tcBorders>
          </w:tcPr>
          <w:p w14:paraId="793A4030" w14:textId="12DD452B" w:rsidR="0081624F" w:rsidRDefault="0081624F" w:rsidP="00D7547F">
            <w:pPr>
              <w:jc w:val="center"/>
              <w:rPr>
                <w:rFonts w:ascii="Calibri" w:hAnsi="Calibri"/>
                <w:sz w:val="18"/>
                <w:szCs w:val="18"/>
              </w:rPr>
            </w:pPr>
            <w:r>
              <w:rPr>
                <w:rFonts w:ascii="Calibri" w:hAnsi="Calibri"/>
                <w:sz w:val="18"/>
                <w:szCs w:val="18"/>
              </w:rPr>
              <w:t>24</w:t>
            </w:r>
          </w:p>
        </w:tc>
        <w:tc>
          <w:tcPr>
            <w:tcW w:w="992" w:type="dxa"/>
            <w:tcBorders>
              <w:left w:val="single" w:sz="4" w:space="0" w:color="FFFFFF" w:themeColor="background1"/>
              <w:right w:val="single" w:sz="4" w:space="0" w:color="FFFFFF" w:themeColor="background1"/>
            </w:tcBorders>
          </w:tcPr>
          <w:p w14:paraId="4ABD7490" w14:textId="061C3946" w:rsidR="0081624F" w:rsidRDefault="0081624F" w:rsidP="00D7547F">
            <w:pPr>
              <w:jc w:val="center"/>
              <w:rPr>
                <w:rFonts w:ascii="Calibri" w:hAnsi="Calibri"/>
                <w:sz w:val="18"/>
                <w:szCs w:val="18"/>
              </w:rPr>
            </w:pPr>
            <w:r>
              <w:rPr>
                <w:rFonts w:ascii="Calibri" w:hAnsi="Calibri"/>
                <w:sz w:val="18"/>
                <w:szCs w:val="18"/>
              </w:rPr>
              <w:t>2004</w:t>
            </w:r>
          </w:p>
        </w:tc>
        <w:tc>
          <w:tcPr>
            <w:tcW w:w="7796" w:type="dxa"/>
            <w:tcBorders>
              <w:left w:val="single" w:sz="4" w:space="0" w:color="FFFFFF" w:themeColor="background1"/>
              <w:right w:val="single" w:sz="4" w:space="0" w:color="FFFFFF" w:themeColor="background1"/>
            </w:tcBorders>
          </w:tcPr>
          <w:p w14:paraId="142EF9A5" w14:textId="77777777"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Ten of the 24 studies found advertising bans significantly and negatively influenced tobacco consumption, but the effect size was often narrow</w:t>
            </w:r>
          </w:p>
          <w:p w14:paraId="612D8D5B" w14:textId="692BDA66"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Eight studies found insignificant negative effects</w:t>
            </w:r>
          </w:p>
        </w:tc>
        <w:tc>
          <w:tcPr>
            <w:tcW w:w="1333" w:type="dxa"/>
            <w:tcBorders>
              <w:left w:val="single" w:sz="4" w:space="0" w:color="FFFFFF" w:themeColor="background1"/>
              <w:right w:val="single" w:sz="4" w:space="0" w:color="FFFFFF" w:themeColor="background1"/>
            </w:tcBorders>
          </w:tcPr>
          <w:p w14:paraId="04019F7F" w14:textId="7F8F344F" w:rsidR="0081624F" w:rsidRDefault="004C4F33" w:rsidP="00A16911">
            <w:pPr>
              <w:rPr>
                <w:rFonts w:ascii="Calibri" w:hAnsi="Calibri"/>
                <w:sz w:val="18"/>
                <w:szCs w:val="18"/>
              </w:rPr>
            </w:pPr>
            <w:r>
              <w:rPr>
                <w:rFonts w:ascii="Calibri" w:hAnsi="Calibri"/>
                <w:sz w:val="18"/>
                <w:szCs w:val="18"/>
              </w:rPr>
              <w:t>5/10 (HE)</w:t>
            </w:r>
          </w:p>
        </w:tc>
      </w:tr>
      <w:tr w:rsidR="0081624F" w:rsidRPr="005573A3" w14:paraId="6921E31B"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5A2A580F" w14:textId="46DE3328"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258127EB" w14:textId="1675340C" w:rsidR="0081624F" w:rsidRPr="00160CC4" w:rsidRDefault="0081624F">
            <w:pPr>
              <w:rPr>
                <w:rFonts w:ascii="Calibri" w:hAnsi="Calibri"/>
                <w:sz w:val="18"/>
                <w:szCs w:val="18"/>
              </w:rPr>
            </w:pPr>
            <w:r>
              <w:rPr>
                <w:rFonts w:ascii="Calibri" w:hAnsi="Calibri"/>
                <w:sz w:val="18"/>
                <w:szCs w:val="18"/>
              </w:rPr>
              <w:t xml:space="preserve">Capella </w:t>
            </w:r>
            <w:r>
              <w:rPr>
                <w:rFonts w:ascii="Calibri" w:hAnsi="Calibri"/>
                <w:i/>
                <w:sz w:val="18"/>
                <w:szCs w:val="18"/>
              </w:rPr>
              <w:t>et al.</w:t>
            </w:r>
            <w:r>
              <w:rPr>
                <w:rFonts w:ascii="Calibri" w:hAnsi="Calibri"/>
                <w:sz w:val="18"/>
                <w:szCs w:val="18"/>
              </w:rPr>
              <w:t xml:space="preserve"> 2008</w:t>
            </w:r>
          </w:p>
        </w:tc>
        <w:tc>
          <w:tcPr>
            <w:tcW w:w="992" w:type="dxa"/>
            <w:tcBorders>
              <w:left w:val="single" w:sz="4" w:space="0" w:color="FFFFFF" w:themeColor="background1"/>
              <w:right w:val="single" w:sz="4" w:space="0" w:color="FFFFFF" w:themeColor="background1"/>
            </w:tcBorders>
          </w:tcPr>
          <w:p w14:paraId="50E2D1B5" w14:textId="4DB3387E" w:rsidR="0081624F" w:rsidRDefault="0081624F" w:rsidP="00D7547F">
            <w:pPr>
              <w:jc w:val="center"/>
              <w:rPr>
                <w:rFonts w:ascii="Calibri" w:hAnsi="Calibri"/>
                <w:sz w:val="18"/>
                <w:szCs w:val="18"/>
              </w:rPr>
            </w:pPr>
            <w:r>
              <w:rPr>
                <w:rFonts w:ascii="Calibri" w:hAnsi="Calibri"/>
                <w:sz w:val="18"/>
                <w:szCs w:val="18"/>
              </w:rPr>
              <w:t>27</w:t>
            </w:r>
          </w:p>
        </w:tc>
        <w:tc>
          <w:tcPr>
            <w:tcW w:w="992" w:type="dxa"/>
            <w:tcBorders>
              <w:left w:val="single" w:sz="4" w:space="0" w:color="FFFFFF" w:themeColor="background1"/>
              <w:right w:val="single" w:sz="4" w:space="0" w:color="FFFFFF" w:themeColor="background1"/>
            </w:tcBorders>
          </w:tcPr>
          <w:p w14:paraId="0135ACF6" w14:textId="135FE47A" w:rsidR="0081624F" w:rsidRPr="005573A3" w:rsidRDefault="005514C1"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3CA6438D" w14:textId="75A30225"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Tobacco advertising bans do not reduce cigarette consumption in mature markets (</w:t>
            </w:r>
            <w:r w:rsidR="001D1C69">
              <w:rPr>
                <w:rFonts w:ascii="Calibri" w:hAnsi="Calibri"/>
                <w:sz w:val="18"/>
                <w:szCs w:val="18"/>
              </w:rPr>
              <w:t xml:space="preserve">i.e., </w:t>
            </w:r>
            <w:r w:rsidRPr="0097597C">
              <w:rPr>
                <w:rFonts w:ascii="Calibri" w:hAnsi="Calibri"/>
                <w:sz w:val="18"/>
                <w:szCs w:val="18"/>
              </w:rPr>
              <w:t>in the later stages of the product life cycle)</w:t>
            </w:r>
          </w:p>
          <w:p w14:paraId="517A47C2" w14:textId="33D6C252" w:rsidR="0081624F" w:rsidRPr="0097597C"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Full advertising bans are no more effective than partial bans in reducing tobacco consumption</w:t>
            </w:r>
          </w:p>
        </w:tc>
        <w:tc>
          <w:tcPr>
            <w:tcW w:w="1333" w:type="dxa"/>
            <w:tcBorders>
              <w:left w:val="single" w:sz="4" w:space="0" w:color="FFFFFF" w:themeColor="background1"/>
              <w:right w:val="single" w:sz="4" w:space="0" w:color="FFFFFF" w:themeColor="background1"/>
            </w:tcBorders>
          </w:tcPr>
          <w:p w14:paraId="5B1FAC4D" w14:textId="50E994F0" w:rsidR="0081624F" w:rsidRPr="005573A3" w:rsidRDefault="004C4F33">
            <w:pPr>
              <w:rPr>
                <w:rFonts w:ascii="Calibri" w:hAnsi="Calibri"/>
                <w:sz w:val="18"/>
                <w:szCs w:val="18"/>
              </w:rPr>
            </w:pPr>
            <w:r>
              <w:rPr>
                <w:rFonts w:ascii="Calibri" w:hAnsi="Calibri"/>
                <w:sz w:val="18"/>
                <w:szCs w:val="18"/>
              </w:rPr>
              <w:t>6/10 (HE)</w:t>
            </w:r>
          </w:p>
        </w:tc>
      </w:tr>
      <w:tr w:rsidR="0081624F" w:rsidRPr="005573A3" w14:paraId="490565CD"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07A12371"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BD95C99" w14:textId="295A6E07" w:rsidR="0081624F" w:rsidRPr="009C48CE" w:rsidRDefault="0081624F">
            <w:pPr>
              <w:rPr>
                <w:rFonts w:ascii="Calibri" w:hAnsi="Calibri"/>
                <w:sz w:val="18"/>
                <w:szCs w:val="18"/>
              </w:rPr>
            </w:pPr>
            <w:r w:rsidRPr="009C48CE">
              <w:rPr>
                <w:rFonts w:ascii="Calibri" w:hAnsi="Calibri"/>
                <w:sz w:val="18"/>
                <w:szCs w:val="18"/>
              </w:rPr>
              <w:t xml:space="preserve">Thomas </w:t>
            </w:r>
            <w:r w:rsidRPr="009C48CE">
              <w:rPr>
                <w:rFonts w:ascii="Calibri" w:hAnsi="Calibri"/>
                <w:i/>
                <w:sz w:val="18"/>
                <w:szCs w:val="18"/>
              </w:rPr>
              <w:t>et al</w:t>
            </w:r>
            <w:r>
              <w:rPr>
                <w:rFonts w:ascii="Calibri" w:hAnsi="Calibri"/>
                <w:i/>
                <w:sz w:val="18"/>
                <w:szCs w:val="18"/>
              </w:rPr>
              <w:t>.</w:t>
            </w:r>
            <w:r w:rsidRPr="009C48CE">
              <w:rPr>
                <w:rFonts w:ascii="Calibri" w:hAnsi="Calibri"/>
                <w:sz w:val="18"/>
                <w:szCs w:val="18"/>
              </w:rPr>
              <w:t xml:space="preserve"> 2008</w:t>
            </w:r>
          </w:p>
        </w:tc>
        <w:tc>
          <w:tcPr>
            <w:tcW w:w="992" w:type="dxa"/>
            <w:tcBorders>
              <w:left w:val="single" w:sz="4" w:space="0" w:color="FFFFFF" w:themeColor="background1"/>
              <w:right w:val="single" w:sz="4" w:space="0" w:color="FFFFFF" w:themeColor="background1"/>
            </w:tcBorders>
          </w:tcPr>
          <w:p w14:paraId="4FB9C798" w14:textId="299010BD" w:rsidR="0081624F" w:rsidRDefault="0081624F" w:rsidP="00D7547F">
            <w:pPr>
              <w:jc w:val="center"/>
              <w:rPr>
                <w:rFonts w:ascii="Calibri" w:hAnsi="Calibri"/>
                <w:sz w:val="18"/>
                <w:szCs w:val="18"/>
              </w:rPr>
            </w:pPr>
            <w:r>
              <w:rPr>
                <w:rFonts w:ascii="Calibri" w:hAnsi="Calibri"/>
                <w:sz w:val="18"/>
                <w:szCs w:val="18"/>
              </w:rPr>
              <w:t>2</w:t>
            </w:r>
          </w:p>
        </w:tc>
        <w:tc>
          <w:tcPr>
            <w:tcW w:w="992" w:type="dxa"/>
            <w:tcBorders>
              <w:left w:val="single" w:sz="4" w:space="0" w:color="FFFFFF" w:themeColor="background1"/>
              <w:right w:val="single" w:sz="4" w:space="0" w:color="FFFFFF" w:themeColor="background1"/>
            </w:tcBorders>
          </w:tcPr>
          <w:p w14:paraId="72947862" w14:textId="2893F8BA" w:rsidR="0081624F" w:rsidRDefault="0081624F" w:rsidP="00D7547F">
            <w:pPr>
              <w:jc w:val="center"/>
              <w:rPr>
                <w:rFonts w:ascii="Calibri" w:hAnsi="Calibri"/>
                <w:sz w:val="18"/>
                <w:szCs w:val="18"/>
              </w:rPr>
            </w:pPr>
            <w:r>
              <w:rPr>
                <w:rFonts w:ascii="Calibri" w:hAnsi="Calibri"/>
                <w:sz w:val="18"/>
                <w:szCs w:val="18"/>
              </w:rPr>
              <w:t>2006</w:t>
            </w:r>
          </w:p>
        </w:tc>
        <w:tc>
          <w:tcPr>
            <w:tcW w:w="7796" w:type="dxa"/>
            <w:tcBorders>
              <w:left w:val="single" w:sz="4" w:space="0" w:color="FFFFFF" w:themeColor="background1"/>
              <w:right w:val="single" w:sz="4" w:space="0" w:color="FFFFFF" w:themeColor="background1"/>
            </w:tcBorders>
          </w:tcPr>
          <w:p w14:paraId="1FFA4CB9" w14:textId="102AEF92"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The effects of tobacco advertising restrictions do not differ by gender or age</w:t>
            </w:r>
          </w:p>
          <w:p w14:paraId="44DB4BB3" w14:textId="63DE096A"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Insufficient evidence exists for </w:t>
            </w:r>
            <w:r w:rsidR="001D1C69">
              <w:rPr>
                <w:rFonts w:ascii="Calibri" w:hAnsi="Calibri"/>
                <w:sz w:val="18"/>
                <w:szCs w:val="18"/>
              </w:rPr>
              <w:t xml:space="preserve">their </w:t>
            </w:r>
            <w:r w:rsidRPr="0097597C">
              <w:rPr>
                <w:rFonts w:ascii="Calibri" w:hAnsi="Calibri"/>
                <w:sz w:val="18"/>
                <w:szCs w:val="18"/>
              </w:rPr>
              <w:t>effects on other social inequalities in smoking</w:t>
            </w:r>
          </w:p>
        </w:tc>
        <w:tc>
          <w:tcPr>
            <w:tcW w:w="1333" w:type="dxa"/>
            <w:tcBorders>
              <w:left w:val="single" w:sz="4" w:space="0" w:color="FFFFFF" w:themeColor="background1"/>
              <w:right w:val="single" w:sz="4" w:space="0" w:color="FFFFFF" w:themeColor="background1"/>
            </w:tcBorders>
          </w:tcPr>
          <w:p w14:paraId="2BF3F4DC" w14:textId="1ED831F8" w:rsidR="0081624F" w:rsidRDefault="004C4F33">
            <w:pPr>
              <w:rPr>
                <w:rFonts w:ascii="Calibri" w:hAnsi="Calibri"/>
                <w:sz w:val="18"/>
                <w:szCs w:val="18"/>
              </w:rPr>
            </w:pPr>
            <w:r>
              <w:rPr>
                <w:rFonts w:ascii="Calibri" w:hAnsi="Calibri"/>
                <w:sz w:val="18"/>
                <w:szCs w:val="18"/>
              </w:rPr>
              <w:t>5/10 (HE)</w:t>
            </w:r>
          </w:p>
        </w:tc>
      </w:tr>
      <w:tr w:rsidR="002B09D2" w:rsidRPr="005573A3" w14:paraId="281BB473"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5C80D9C6" w14:textId="77777777" w:rsidR="002B09D2" w:rsidRPr="00F0774B" w:rsidRDefault="002B09D2">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62F5A8B" w14:textId="07CCBE84" w:rsidR="002B09D2" w:rsidRPr="002B09D2" w:rsidRDefault="002B09D2">
            <w:pPr>
              <w:rPr>
                <w:rFonts w:ascii="Calibri" w:hAnsi="Calibri"/>
                <w:sz w:val="18"/>
                <w:szCs w:val="18"/>
              </w:rPr>
            </w:pPr>
            <w:r>
              <w:rPr>
                <w:rFonts w:ascii="Calibri" w:hAnsi="Calibri"/>
                <w:sz w:val="18"/>
                <w:szCs w:val="18"/>
              </w:rPr>
              <w:t xml:space="preserve">Oncken </w:t>
            </w:r>
            <w:r>
              <w:rPr>
                <w:rFonts w:ascii="Calibri" w:hAnsi="Calibri"/>
                <w:i/>
                <w:sz w:val="18"/>
                <w:szCs w:val="18"/>
              </w:rPr>
              <w:t xml:space="preserve">et al. </w:t>
            </w:r>
            <w:r>
              <w:rPr>
                <w:rFonts w:ascii="Calibri" w:hAnsi="Calibri"/>
                <w:sz w:val="18"/>
                <w:szCs w:val="18"/>
              </w:rPr>
              <w:t>2010</w:t>
            </w:r>
          </w:p>
        </w:tc>
        <w:tc>
          <w:tcPr>
            <w:tcW w:w="992" w:type="dxa"/>
            <w:tcBorders>
              <w:left w:val="single" w:sz="4" w:space="0" w:color="FFFFFF" w:themeColor="background1"/>
              <w:right w:val="single" w:sz="4" w:space="0" w:color="FFFFFF" w:themeColor="background1"/>
            </w:tcBorders>
          </w:tcPr>
          <w:p w14:paraId="71B169A0" w14:textId="54B578BC" w:rsidR="002B09D2" w:rsidRDefault="002B09D2" w:rsidP="00D7547F">
            <w:pPr>
              <w:jc w:val="center"/>
              <w:rPr>
                <w:rFonts w:ascii="Calibri" w:hAnsi="Calibri"/>
                <w:sz w:val="18"/>
                <w:szCs w:val="18"/>
              </w:rPr>
            </w:pPr>
            <w:r>
              <w:rPr>
                <w:rFonts w:ascii="Calibri" w:hAnsi="Calibri"/>
                <w:sz w:val="18"/>
                <w:szCs w:val="18"/>
              </w:rPr>
              <w:t>1</w:t>
            </w:r>
          </w:p>
        </w:tc>
        <w:tc>
          <w:tcPr>
            <w:tcW w:w="992" w:type="dxa"/>
            <w:tcBorders>
              <w:left w:val="single" w:sz="4" w:space="0" w:color="FFFFFF" w:themeColor="background1"/>
              <w:right w:val="single" w:sz="4" w:space="0" w:color="FFFFFF" w:themeColor="background1"/>
            </w:tcBorders>
          </w:tcPr>
          <w:p w14:paraId="3E2E04E1" w14:textId="50E5B9A2" w:rsidR="002B09D2" w:rsidRDefault="002B09D2" w:rsidP="00D7547F">
            <w:pPr>
              <w:jc w:val="center"/>
              <w:rPr>
                <w:rFonts w:ascii="Calibri" w:hAnsi="Calibri"/>
                <w:sz w:val="18"/>
                <w:szCs w:val="18"/>
              </w:rPr>
            </w:pPr>
            <w:r>
              <w:rPr>
                <w:rFonts w:ascii="Calibri" w:hAnsi="Calibri"/>
                <w:sz w:val="18"/>
                <w:szCs w:val="18"/>
              </w:rPr>
              <w:t>2009</w:t>
            </w:r>
          </w:p>
        </w:tc>
        <w:tc>
          <w:tcPr>
            <w:tcW w:w="7796" w:type="dxa"/>
            <w:tcBorders>
              <w:left w:val="single" w:sz="4" w:space="0" w:color="FFFFFF" w:themeColor="background1"/>
              <w:right w:val="single" w:sz="4" w:space="0" w:color="FFFFFF" w:themeColor="background1"/>
            </w:tcBorders>
          </w:tcPr>
          <w:p w14:paraId="067DF8FE" w14:textId="31D5D7E8" w:rsidR="002B09D2" w:rsidRPr="0097597C" w:rsidRDefault="002B09D2"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 xml:space="preserve">One review on tobacco advertising bans in different countries found that comprehensive bans reduce cigarette consumption, but partial bans are not effective </w:t>
            </w:r>
          </w:p>
        </w:tc>
        <w:tc>
          <w:tcPr>
            <w:tcW w:w="1333" w:type="dxa"/>
            <w:tcBorders>
              <w:left w:val="single" w:sz="4" w:space="0" w:color="FFFFFF" w:themeColor="background1"/>
              <w:right w:val="single" w:sz="4" w:space="0" w:color="FFFFFF" w:themeColor="background1"/>
            </w:tcBorders>
          </w:tcPr>
          <w:p w14:paraId="29C5E62A" w14:textId="73C8A749" w:rsidR="002B09D2" w:rsidRDefault="002B09D2">
            <w:pPr>
              <w:rPr>
                <w:rFonts w:ascii="Calibri" w:hAnsi="Calibri"/>
                <w:sz w:val="18"/>
                <w:szCs w:val="18"/>
              </w:rPr>
            </w:pPr>
            <w:r>
              <w:rPr>
                <w:rFonts w:ascii="Calibri" w:hAnsi="Calibri"/>
                <w:sz w:val="18"/>
                <w:szCs w:val="18"/>
              </w:rPr>
              <w:t>2/10 (HE)</w:t>
            </w:r>
          </w:p>
        </w:tc>
      </w:tr>
      <w:tr w:rsidR="0081624F" w:rsidRPr="005573A3" w14:paraId="5A802EAB"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11EB2D75" w14:textId="77777777" w:rsidR="0081624F" w:rsidRPr="00F0774B" w:rsidRDefault="0081624F">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063B8A45" w14:textId="0D3BC8D4" w:rsidR="0081624F" w:rsidRPr="00872BEE" w:rsidRDefault="0081624F">
            <w:pPr>
              <w:rPr>
                <w:rFonts w:ascii="Calibri" w:hAnsi="Calibri"/>
                <w:sz w:val="18"/>
                <w:szCs w:val="18"/>
              </w:rPr>
            </w:pPr>
            <w:r>
              <w:rPr>
                <w:rFonts w:ascii="Calibri" w:hAnsi="Calibri"/>
                <w:sz w:val="18"/>
                <w:szCs w:val="18"/>
              </w:rPr>
              <w:t xml:space="preserve">Wilson </w:t>
            </w:r>
            <w:r>
              <w:rPr>
                <w:rFonts w:ascii="Calibri" w:hAnsi="Calibri"/>
                <w:i/>
                <w:sz w:val="18"/>
                <w:szCs w:val="18"/>
              </w:rPr>
              <w:t>et al.</w:t>
            </w:r>
            <w:r>
              <w:rPr>
                <w:rFonts w:ascii="Calibri" w:hAnsi="Calibri"/>
                <w:sz w:val="18"/>
                <w:szCs w:val="18"/>
              </w:rPr>
              <w:t xml:space="preserve"> 2012</w:t>
            </w:r>
          </w:p>
        </w:tc>
        <w:tc>
          <w:tcPr>
            <w:tcW w:w="992" w:type="dxa"/>
            <w:tcBorders>
              <w:left w:val="single" w:sz="4" w:space="0" w:color="FFFFFF" w:themeColor="background1"/>
              <w:right w:val="single" w:sz="4" w:space="0" w:color="FFFFFF" w:themeColor="background1"/>
            </w:tcBorders>
            <w:shd w:val="clear" w:color="auto" w:fill="FFFFFF" w:themeFill="background1"/>
          </w:tcPr>
          <w:p w14:paraId="3534255A" w14:textId="462B5418" w:rsidR="0081624F" w:rsidRDefault="0081624F" w:rsidP="00D7547F">
            <w:pPr>
              <w:jc w:val="center"/>
              <w:rPr>
                <w:rFonts w:ascii="Calibri" w:hAnsi="Calibri"/>
                <w:sz w:val="18"/>
                <w:szCs w:val="18"/>
              </w:rPr>
            </w:pPr>
            <w:r>
              <w:rPr>
                <w:rFonts w:ascii="Calibri" w:hAnsi="Calibri"/>
                <w:sz w:val="18"/>
                <w:szCs w:val="18"/>
              </w:rPr>
              <w:t>5</w:t>
            </w:r>
          </w:p>
        </w:tc>
        <w:tc>
          <w:tcPr>
            <w:tcW w:w="992" w:type="dxa"/>
            <w:tcBorders>
              <w:left w:val="single" w:sz="4" w:space="0" w:color="FFFFFF" w:themeColor="background1"/>
              <w:right w:val="single" w:sz="4" w:space="0" w:color="FFFFFF" w:themeColor="background1"/>
            </w:tcBorders>
          </w:tcPr>
          <w:p w14:paraId="2C89AE96" w14:textId="1BED019D" w:rsidR="0081624F" w:rsidRDefault="0081624F" w:rsidP="00D7547F">
            <w:pPr>
              <w:jc w:val="center"/>
              <w:rPr>
                <w:rFonts w:ascii="Calibri" w:hAnsi="Calibri"/>
                <w:sz w:val="18"/>
                <w:szCs w:val="18"/>
              </w:rPr>
            </w:pPr>
            <w:r>
              <w:rPr>
                <w:rFonts w:ascii="Calibri" w:hAnsi="Calibri"/>
                <w:sz w:val="18"/>
                <w:szCs w:val="18"/>
              </w:rPr>
              <w:t>2009, 2012</w:t>
            </w:r>
          </w:p>
        </w:tc>
        <w:tc>
          <w:tcPr>
            <w:tcW w:w="7796" w:type="dxa"/>
            <w:tcBorders>
              <w:left w:val="single" w:sz="4" w:space="0" w:color="FFFFFF" w:themeColor="background1"/>
              <w:right w:val="single" w:sz="4" w:space="0" w:color="FFFFFF" w:themeColor="background1"/>
            </w:tcBorders>
          </w:tcPr>
          <w:p w14:paraId="38FB6F82" w14:textId="269139B7" w:rsidR="0081624F" w:rsidRPr="0097597C" w:rsidRDefault="0081624F"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Insufficient evidence exists for the effect of advertising bans on smoking behaviour</w:t>
            </w:r>
          </w:p>
        </w:tc>
        <w:tc>
          <w:tcPr>
            <w:tcW w:w="1333" w:type="dxa"/>
            <w:tcBorders>
              <w:left w:val="single" w:sz="4" w:space="0" w:color="FFFFFF" w:themeColor="background1"/>
              <w:right w:val="single" w:sz="4" w:space="0" w:color="FFFFFF" w:themeColor="background1"/>
            </w:tcBorders>
          </w:tcPr>
          <w:p w14:paraId="7067D5C1" w14:textId="6701C039" w:rsidR="0081624F" w:rsidRDefault="004C4F33">
            <w:pPr>
              <w:rPr>
                <w:rFonts w:ascii="Calibri" w:hAnsi="Calibri"/>
                <w:sz w:val="18"/>
                <w:szCs w:val="18"/>
              </w:rPr>
            </w:pPr>
            <w:r>
              <w:rPr>
                <w:rFonts w:ascii="Calibri" w:hAnsi="Calibri"/>
                <w:sz w:val="18"/>
                <w:szCs w:val="18"/>
              </w:rPr>
              <w:t>4/10 (HE)</w:t>
            </w:r>
          </w:p>
        </w:tc>
      </w:tr>
      <w:tr w:rsidR="0081624F" w:rsidRPr="005573A3" w14:paraId="187DFCAE" w14:textId="77777777" w:rsidTr="00A923F0">
        <w:trPr>
          <w:cantSplit/>
          <w:trHeight w:val="75"/>
          <w:jc w:val="center"/>
        </w:trPr>
        <w:tc>
          <w:tcPr>
            <w:tcW w:w="1172" w:type="dxa"/>
            <w:vMerge/>
            <w:tcBorders>
              <w:left w:val="single" w:sz="4" w:space="0" w:color="FFFFFF" w:themeColor="background1"/>
              <w:bottom w:val="single" w:sz="12" w:space="0" w:color="auto"/>
              <w:right w:val="single" w:sz="4" w:space="0" w:color="FFFFFF" w:themeColor="background1"/>
            </w:tcBorders>
          </w:tcPr>
          <w:p w14:paraId="0ED40B15" w14:textId="77777777" w:rsidR="0081624F" w:rsidRPr="00F0774B" w:rsidRDefault="0081624F">
            <w:pPr>
              <w:rPr>
                <w:rFonts w:ascii="Calibri" w:hAnsi="Calibri"/>
                <w:b/>
                <w:sz w:val="18"/>
                <w:szCs w:val="18"/>
              </w:rPr>
            </w:pPr>
          </w:p>
        </w:tc>
        <w:tc>
          <w:tcPr>
            <w:tcW w:w="1235" w:type="dxa"/>
            <w:tcBorders>
              <w:left w:val="single" w:sz="4" w:space="0" w:color="FFFFFF" w:themeColor="background1"/>
              <w:bottom w:val="single" w:sz="12" w:space="0" w:color="auto"/>
              <w:right w:val="single" w:sz="4" w:space="0" w:color="FFFFFF" w:themeColor="background1"/>
            </w:tcBorders>
          </w:tcPr>
          <w:p w14:paraId="77B9D75A" w14:textId="49942F07" w:rsidR="0081624F" w:rsidRPr="0014657A" w:rsidRDefault="0081624F" w:rsidP="0043784E">
            <w:pPr>
              <w:pStyle w:val="ListParagraph"/>
              <w:tabs>
                <w:tab w:val="left" w:pos="255"/>
              </w:tabs>
              <w:ind w:left="0"/>
              <w:rPr>
                <w:rFonts w:ascii="Calibri" w:hAnsi="Calibri"/>
                <w:sz w:val="18"/>
                <w:szCs w:val="18"/>
              </w:rPr>
            </w:pPr>
            <w:r w:rsidRPr="0014657A">
              <w:rPr>
                <w:rFonts w:ascii="Calibri" w:hAnsi="Calibri"/>
                <w:sz w:val="18"/>
                <w:szCs w:val="18"/>
              </w:rPr>
              <w:t xml:space="preserve">Mozaffarian </w:t>
            </w:r>
            <w:r w:rsidRPr="0014657A">
              <w:rPr>
                <w:rFonts w:ascii="Calibri" w:hAnsi="Calibri"/>
                <w:i/>
                <w:sz w:val="18"/>
                <w:szCs w:val="18"/>
              </w:rPr>
              <w:t>et al</w:t>
            </w:r>
            <w:r>
              <w:rPr>
                <w:rFonts w:ascii="Calibri" w:hAnsi="Calibri"/>
                <w:i/>
                <w:sz w:val="18"/>
                <w:szCs w:val="18"/>
              </w:rPr>
              <w:t>.</w:t>
            </w:r>
            <w:r w:rsidRPr="0014657A">
              <w:rPr>
                <w:rFonts w:ascii="Calibri" w:hAnsi="Calibri"/>
                <w:sz w:val="18"/>
                <w:szCs w:val="18"/>
              </w:rPr>
              <w:t xml:space="preserve"> 2012</w:t>
            </w:r>
          </w:p>
        </w:tc>
        <w:tc>
          <w:tcPr>
            <w:tcW w:w="992" w:type="dxa"/>
            <w:tcBorders>
              <w:left w:val="single" w:sz="4" w:space="0" w:color="FFFFFF" w:themeColor="background1"/>
              <w:bottom w:val="single" w:sz="12" w:space="0" w:color="auto"/>
              <w:right w:val="single" w:sz="4" w:space="0" w:color="FFFFFF" w:themeColor="background1"/>
            </w:tcBorders>
          </w:tcPr>
          <w:p w14:paraId="7AA34DA3" w14:textId="48B232A4" w:rsidR="0081624F" w:rsidRDefault="0081624F" w:rsidP="00D7547F">
            <w:pPr>
              <w:jc w:val="center"/>
              <w:rPr>
                <w:rFonts w:ascii="Calibri" w:hAnsi="Calibri"/>
                <w:sz w:val="18"/>
                <w:szCs w:val="18"/>
              </w:rPr>
            </w:pPr>
            <w:r>
              <w:rPr>
                <w:rFonts w:ascii="Calibri" w:hAnsi="Calibri"/>
                <w:sz w:val="18"/>
                <w:szCs w:val="18"/>
              </w:rPr>
              <w:t>6</w:t>
            </w:r>
          </w:p>
        </w:tc>
        <w:tc>
          <w:tcPr>
            <w:tcW w:w="992" w:type="dxa"/>
            <w:tcBorders>
              <w:left w:val="single" w:sz="4" w:space="0" w:color="FFFFFF" w:themeColor="background1"/>
              <w:bottom w:val="single" w:sz="12" w:space="0" w:color="auto"/>
              <w:right w:val="single" w:sz="4" w:space="0" w:color="FFFFFF" w:themeColor="background1"/>
            </w:tcBorders>
          </w:tcPr>
          <w:p w14:paraId="7FB0062A" w14:textId="252AEBC3" w:rsidR="0081624F" w:rsidRPr="005573A3" w:rsidRDefault="0081624F"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bottom w:val="single" w:sz="12" w:space="0" w:color="auto"/>
              <w:right w:val="single" w:sz="4" w:space="0" w:color="FFFFFF" w:themeColor="background1"/>
            </w:tcBorders>
          </w:tcPr>
          <w:p w14:paraId="77ED6FE0" w14:textId="77777777"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Based on well-established relationships between exposure to tobacco advertisements and cigarette use, limiting such advertising likely reduces their pro-tobacco effects</w:t>
            </w:r>
          </w:p>
          <w:p w14:paraId="1EE96A1A" w14:textId="37E05331" w:rsidR="0081624F" w:rsidRPr="0097597C" w:rsidRDefault="0081624F"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Since advertising restrictions are large</w:t>
            </w:r>
            <w:r w:rsidR="00C8513B">
              <w:rPr>
                <w:rFonts w:ascii="Calibri" w:hAnsi="Calibri"/>
                <w:sz w:val="18"/>
                <w:szCs w:val="18"/>
              </w:rPr>
              <w:t>ly implemented as part of multi</w:t>
            </w:r>
            <w:r w:rsidRPr="0097597C">
              <w:rPr>
                <w:rFonts w:ascii="Calibri" w:hAnsi="Calibri"/>
                <w:sz w:val="18"/>
                <w:szCs w:val="18"/>
              </w:rPr>
              <w:t xml:space="preserve">component strategies, their independent effect cannot be quantified </w:t>
            </w:r>
          </w:p>
        </w:tc>
        <w:tc>
          <w:tcPr>
            <w:tcW w:w="1333" w:type="dxa"/>
            <w:tcBorders>
              <w:left w:val="single" w:sz="4" w:space="0" w:color="FFFFFF" w:themeColor="background1"/>
              <w:bottom w:val="single" w:sz="12" w:space="0" w:color="auto"/>
              <w:right w:val="single" w:sz="4" w:space="0" w:color="FFFFFF" w:themeColor="background1"/>
            </w:tcBorders>
          </w:tcPr>
          <w:p w14:paraId="7B983033" w14:textId="49382F56" w:rsidR="0081624F" w:rsidRPr="005573A3" w:rsidRDefault="004C4F33">
            <w:pPr>
              <w:rPr>
                <w:rFonts w:ascii="Calibri" w:hAnsi="Calibri"/>
                <w:sz w:val="18"/>
                <w:szCs w:val="18"/>
              </w:rPr>
            </w:pPr>
            <w:r>
              <w:rPr>
                <w:rFonts w:ascii="Calibri" w:hAnsi="Calibri"/>
                <w:sz w:val="18"/>
                <w:szCs w:val="18"/>
              </w:rPr>
              <w:t>6/10 (HE)</w:t>
            </w:r>
          </w:p>
        </w:tc>
      </w:tr>
      <w:tr w:rsidR="001329EA" w:rsidRPr="005573A3" w14:paraId="758CDFDB" w14:textId="77777777" w:rsidTr="00A923F0">
        <w:trPr>
          <w:cantSplit/>
          <w:trHeight w:val="104"/>
          <w:jc w:val="center"/>
        </w:trPr>
        <w:tc>
          <w:tcPr>
            <w:tcW w:w="1172" w:type="dxa"/>
            <w:vMerge w:val="restart"/>
            <w:tcBorders>
              <w:top w:val="single" w:sz="12" w:space="0" w:color="auto"/>
              <w:left w:val="single" w:sz="4" w:space="0" w:color="FFFFFF" w:themeColor="background1"/>
              <w:right w:val="single" w:sz="4" w:space="0" w:color="FFFFFF" w:themeColor="background1"/>
            </w:tcBorders>
          </w:tcPr>
          <w:p w14:paraId="5074BC44" w14:textId="2CE6287C" w:rsidR="001329EA" w:rsidRPr="00F0774B" w:rsidRDefault="001329EA" w:rsidP="00A705DA">
            <w:pPr>
              <w:rPr>
                <w:rFonts w:ascii="Calibri" w:hAnsi="Calibri"/>
                <w:b/>
                <w:sz w:val="18"/>
                <w:szCs w:val="18"/>
              </w:rPr>
            </w:pPr>
            <w:r w:rsidRPr="00F0774B">
              <w:rPr>
                <w:rFonts w:ascii="Calibri" w:hAnsi="Calibri"/>
                <w:b/>
                <w:sz w:val="18"/>
                <w:szCs w:val="18"/>
              </w:rPr>
              <w:t>Raise taxes on tobacco</w:t>
            </w:r>
          </w:p>
        </w:tc>
        <w:tc>
          <w:tcPr>
            <w:tcW w:w="1235" w:type="dxa"/>
            <w:tcBorders>
              <w:top w:val="single" w:sz="12" w:space="0" w:color="auto"/>
              <w:left w:val="single" w:sz="4" w:space="0" w:color="FFFFFF" w:themeColor="background1"/>
              <w:right w:val="single" w:sz="4" w:space="0" w:color="FFFFFF" w:themeColor="background1"/>
            </w:tcBorders>
          </w:tcPr>
          <w:p w14:paraId="296767ED" w14:textId="0B7CCDE9" w:rsidR="001329EA" w:rsidRPr="0025010C" w:rsidRDefault="001329EA" w:rsidP="004C4F33">
            <w:pPr>
              <w:pStyle w:val="ListParagraph"/>
              <w:tabs>
                <w:tab w:val="left" w:pos="255"/>
              </w:tabs>
              <w:ind w:left="0"/>
              <w:rPr>
                <w:rFonts w:ascii="Calibri" w:hAnsi="Calibri"/>
                <w:sz w:val="18"/>
                <w:szCs w:val="18"/>
              </w:rPr>
            </w:pPr>
            <w:r>
              <w:rPr>
                <w:rFonts w:ascii="Calibri" w:hAnsi="Calibri"/>
                <w:sz w:val="18"/>
                <w:szCs w:val="18"/>
              </w:rPr>
              <w:t>Willemsen &amp; de Zwart 1999</w:t>
            </w:r>
          </w:p>
        </w:tc>
        <w:tc>
          <w:tcPr>
            <w:tcW w:w="992" w:type="dxa"/>
            <w:tcBorders>
              <w:top w:val="single" w:sz="12" w:space="0" w:color="auto"/>
              <w:left w:val="single" w:sz="4" w:space="0" w:color="FFFFFF" w:themeColor="background1"/>
              <w:right w:val="single" w:sz="4" w:space="0" w:color="FFFFFF" w:themeColor="background1"/>
            </w:tcBorders>
            <w:shd w:val="clear" w:color="auto" w:fill="auto"/>
          </w:tcPr>
          <w:p w14:paraId="7F0AC629" w14:textId="60CCE78C" w:rsidR="001329EA" w:rsidRDefault="001329EA" w:rsidP="00D7547F">
            <w:pPr>
              <w:jc w:val="center"/>
              <w:rPr>
                <w:rFonts w:ascii="Calibri" w:hAnsi="Calibri"/>
                <w:sz w:val="18"/>
                <w:szCs w:val="18"/>
              </w:rPr>
            </w:pPr>
            <w:r>
              <w:rPr>
                <w:rFonts w:ascii="Calibri" w:hAnsi="Calibri"/>
                <w:sz w:val="18"/>
                <w:szCs w:val="18"/>
              </w:rPr>
              <w:t>?</w:t>
            </w:r>
          </w:p>
        </w:tc>
        <w:tc>
          <w:tcPr>
            <w:tcW w:w="992" w:type="dxa"/>
            <w:tcBorders>
              <w:top w:val="single" w:sz="12" w:space="0" w:color="auto"/>
              <w:left w:val="single" w:sz="4" w:space="0" w:color="FFFFFF" w:themeColor="background1"/>
              <w:right w:val="single" w:sz="4" w:space="0" w:color="FFFFFF" w:themeColor="background1"/>
            </w:tcBorders>
          </w:tcPr>
          <w:p w14:paraId="5B6115A5" w14:textId="0108F3BC" w:rsidR="001329EA" w:rsidRDefault="001329EA" w:rsidP="00D7547F">
            <w:pPr>
              <w:jc w:val="center"/>
              <w:rPr>
                <w:rFonts w:ascii="Calibri" w:hAnsi="Calibri"/>
                <w:sz w:val="18"/>
                <w:szCs w:val="18"/>
              </w:rPr>
            </w:pPr>
            <w:r>
              <w:rPr>
                <w:rFonts w:ascii="Calibri" w:hAnsi="Calibri"/>
                <w:sz w:val="18"/>
                <w:szCs w:val="18"/>
              </w:rPr>
              <w:t>1998</w:t>
            </w:r>
          </w:p>
        </w:tc>
        <w:tc>
          <w:tcPr>
            <w:tcW w:w="7796" w:type="dxa"/>
            <w:tcBorders>
              <w:top w:val="single" w:sz="12" w:space="0" w:color="auto"/>
              <w:left w:val="single" w:sz="4" w:space="0" w:color="FFFFFF" w:themeColor="background1"/>
              <w:right w:val="single" w:sz="4" w:space="0" w:color="FFFFFF" w:themeColor="background1"/>
            </w:tcBorders>
          </w:tcPr>
          <w:p w14:paraId="4F7B195C" w14:textId="21D75292"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Increasing the price of tobacco products is the single most effective tobacco control measure</w:t>
            </w:r>
          </w:p>
          <w:p w14:paraId="3688336F" w14:textId="19FB26F0" w:rsidR="001329EA" w:rsidRPr="0097597C"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A 10% increase in price reduces tobacco consumption among adolescents by 15 to 20%, and reduces smoking prevalence by at least 6%</w:t>
            </w:r>
          </w:p>
        </w:tc>
        <w:tc>
          <w:tcPr>
            <w:tcW w:w="1333" w:type="dxa"/>
            <w:tcBorders>
              <w:top w:val="single" w:sz="12" w:space="0" w:color="auto"/>
              <w:left w:val="single" w:sz="4" w:space="0" w:color="FFFFFF" w:themeColor="background1"/>
              <w:right w:val="single" w:sz="4" w:space="0" w:color="FFFFFF" w:themeColor="background1"/>
            </w:tcBorders>
          </w:tcPr>
          <w:p w14:paraId="3E0233E0" w14:textId="4DF42B0D" w:rsidR="001329EA" w:rsidRDefault="001329EA" w:rsidP="005023B5">
            <w:pPr>
              <w:rPr>
                <w:rFonts w:ascii="Calibri" w:hAnsi="Calibri"/>
                <w:sz w:val="18"/>
                <w:szCs w:val="18"/>
              </w:rPr>
            </w:pPr>
            <w:r>
              <w:rPr>
                <w:rFonts w:ascii="Calibri" w:hAnsi="Calibri"/>
                <w:sz w:val="18"/>
                <w:szCs w:val="18"/>
              </w:rPr>
              <w:t>2/10 (HE)</w:t>
            </w:r>
          </w:p>
        </w:tc>
      </w:tr>
      <w:tr w:rsidR="001329EA" w:rsidRPr="005573A3" w14:paraId="4F4DB377" w14:textId="77777777" w:rsidTr="00A923F0">
        <w:trPr>
          <w:cantSplit/>
          <w:trHeight w:val="104"/>
          <w:jc w:val="center"/>
        </w:trPr>
        <w:tc>
          <w:tcPr>
            <w:tcW w:w="1172" w:type="dxa"/>
            <w:vMerge/>
            <w:tcBorders>
              <w:left w:val="single" w:sz="4" w:space="0" w:color="FFFFFF" w:themeColor="background1"/>
              <w:right w:val="single" w:sz="4" w:space="0" w:color="FFFFFF" w:themeColor="background1"/>
            </w:tcBorders>
          </w:tcPr>
          <w:p w14:paraId="6BA54E09" w14:textId="77777777" w:rsidR="001329EA" w:rsidRPr="00F0774B" w:rsidRDefault="001329EA" w:rsidP="00A705D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3FAFAA61" w14:textId="54DCFA5B" w:rsidR="001329EA" w:rsidRPr="0058492E" w:rsidRDefault="001329EA" w:rsidP="0043784E">
            <w:pPr>
              <w:pStyle w:val="ListParagraph"/>
              <w:tabs>
                <w:tab w:val="left" w:pos="255"/>
              </w:tabs>
              <w:ind w:left="0"/>
              <w:rPr>
                <w:rFonts w:ascii="Calibri" w:hAnsi="Calibri"/>
                <w:sz w:val="18"/>
                <w:szCs w:val="18"/>
              </w:rPr>
            </w:pPr>
            <w:r>
              <w:rPr>
                <w:rFonts w:ascii="Calibri" w:hAnsi="Calibri"/>
                <w:sz w:val="18"/>
                <w:szCs w:val="18"/>
              </w:rPr>
              <w:t xml:space="preserve">Lantz </w:t>
            </w:r>
            <w:r>
              <w:rPr>
                <w:rFonts w:ascii="Calibri" w:hAnsi="Calibri"/>
                <w:i/>
                <w:sz w:val="18"/>
                <w:szCs w:val="18"/>
              </w:rPr>
              <w:t>et al.</w:t>
            </w:r>
            <w:r>
              <w:rPr>
                <w:rFonts w:ascii="Calibri" w:hAnsi="Calibri"/>
                <w:sz w:val="18"/>
                <w:szCs w:val="18"/>
              </w:rPr>
              <w:t xml:space="preserve"> 2000</w:t>
            </w:r>
          </w:p>
        </w:tc>
        <w:tc>
          <w:tcPr>
            <w:tcW w:w="992" w:type="dxa"/>
            <w:tcBorders>
              <w:left w:val="single" w:sz="4" w:space="0" w:color="FFFFFF" w:themeColor="background1"/>
              <w:right w:val="single" w:sz="4" w:space="0" w:color="FFFFFF" w:themeColor="background1"/>
            </w:tcBorders>
            <w:shd w:val="clear" w:color="auto" w:fill="auto"/>
          </w:tcPr>
          <w:p w14:paraId="51280F7F" w14:textId="2FDBCDC9" w:rsidR="001329EA" w:rsidRDefault="001329EA" w:rsidP="00D7547F">
            <w:pPr>
              <w:jc w:val="center"/>
              <w:rPr>
                <w:rFonts w:ascii="Calibri" w:hAnsi="Calibri"/>
                <w:sz w:val="18"/>
                <w:szCs w:val="18"/>
              </w:rPr>
            </w:pPr>
            <w:r>
              <w:rPr>
                <w:rFonts w:ascii="Calibri" w:hAnsi="Calibri"/>
                <w:sz w:val="18"/>
                <w:szCs w:val="18"/>
              </w:rPr>
              <w:t>?</w:t>
            </w:r>
          </w:p>
        </w:tc>
        <w:tc>
          <w:tcPr>
            <w:tcW w:w="992" w:type="dxa"/>
            <w:tcBorders>
              <w:left w:val="single" w:sz="4" w:space="0" w:color="FFFFFF" w:themeColor="background1"/>
              <w:right w:val="single" w:sz="4" w:space="0" w:color="FFFFFF" w:themeColor="background1"/>
            </w:tcBorders>
          </w:tcPr>
          <w:p w14:paraId="08E76730" w14:textId="1E726F63" w:rsidR="001329EA" w:rsidRDefault="001329EA"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795BEFDD" w14:textId="77777777"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Increasing the price of tobacco likely reduces youth smoking behaviour</w:t>
            </w:r>
          </w:p>
          <w:p w14:paraId="306E4D11" w14:textId="58F543E0" w:rsidR="001329EA" w:rsidRPr="0058492E"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 xml:space="preserve">Youths are likely more responsive than adults to changes in cigarette prices due to the addictive nature of cigarettes: youths, who have been smoking for a relatively shorter time, are more likely to alter their smoking behaviour than adults, who have been smoking for longer </w:t>
            </w:r>
          </w:p>
        </w:tc>
        <w:tc>
          <w:tcPr>
            <w:tcW w:w="1333" w:type="dxa"/>
            <w:tcBorders>
              <w:left w:val="single" w:sz="4" w:space="0" w:color="FFFFFF" w:themeColor="background1"/>
              <w:right w:val="single" w:sz="4" w:space="0" w:color="FFFFFF" w:themeColor="background1"/>
            </w:tcBorders>
            <w:shd w:val="clear" w:color="auto" w:fill="auto"/>
          </w:tcPr>
          <w:p w14:paraId="209355C2" w14:textId="2B246F89" w:rsidR="001329EA" w:rsidRDefault="001329EA" w:rsidP="005023B5">
            <w:pPr>
              <w:rPr>
                <w:rFonts w:ascii="Calibri" w:hAnsi="Calibri"/>
                <w:sz w:val="18"/>
                <w:szCs w:val="18"/>
              </w:rPr>
            </w:pPr>
            <w:r>
              <w:rPr>
                <w:rFonts w:ascii="Calibri" w:hAnsi="Calibri"/>
                <w:sz w:val="18"/>
                <w:szCs w:val="18"/>
              </w:rPr>
              <w:t>1/10 (Authors)</w:t>
            </w:r>
          </w:p>
        </w:tc>
      </w:tr>
      <w:tr w:rsidR="001329EA" w:rsidRPr="005573A3" w14:paraId="00D00C60" w14:textId="77777777" w:rsidTr="00A923F0">
        <w:trPr>
          <w:cantSplit/>
          <w:trHeight w:val="104"/>
          <w:jc w:val="center"/>
        </w:trPr>
        <w:tc>
          <w:tcPr>
            <w:tcW w:w="1172" w:type="dxa"/>
            <w:vMerge/>
            <w:tcBorders>
              <w:left w:val="single" w:sz="4" w:space="0" w:color="FFFFFF" w:themeColor="background1"/>
              <w:right w:val="single" w:sz="4" w:space="0" w:color="FFFFFF" w:themeColor="background1"/>
            </w:tcBorders>
          </w:tcPr>
          <w:p w14:paraId="1F8F73A3" w14:textId="570DF994" w:rsidR="001329EA" w:rsidRPr="00F0774B" w:rsidRDefault="001329EA" w:rsidP="00A705D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D5400A4" w14:textId="2FD79E22" w:rsidR="001329EA" w:rsidRDefault="001329EA" w:rsidP="004C4F33">
            <w:pPr>
              <w:pStyle w:val="ListParagraph"/>
              <w:tabs>
                <w:tab w:val="left" w:pos="255"/>
              </w:tabs>
              <w:ind w:left="0"/>
              <w:rPr>
                <w:rFonts w:ascii="Calibri" w:hAnsi="Calibri"/>
                <w:sz w:val="18"/>
                <w:szCs w:val="18"/>
              </w:rPr>
            </w:pPr>
            <w:r>
              <w:rPr>
                <w:rFonts w:ascii="Calibri" w:hAnsi="Calibri"/>
                <w:sz w:val="18"/>
                <w:szCs w:val="18"/>
              </w:rPr>
              <w:t>Wakefield &amp; Chaloupka 2000</w:t>
            </w:r>
          </w:p>
        </w:tc>
        <w:tc>
          <w:tcPr>
            <w:tcW w:w="992" w:type="dxa"/>
            <w:tcBorders>
              <w:left w:val="single" w:sz="4" w:space="0" w:color="FFFFFF" w:themeColor="background1"/>
              <w:right w:val="single" w:sz="4" w:space="0" w:color="FFFFFF" w:themeColor="background1"/>
            </w:tcBorders>
            <w:shd w:val="clear" w:color="auto" w:fill="auto"/>
          </w:tcPr>
          <w:p w14:paraId="7AA977E7" w14:textId="2727FADD" w:rsidR="001329EA" w:rsidRDefault="001329EA" w:rsidP="00D7547F">
            <w:pPr>
              <w:jc w:val="center"/>
              <w:rPr>
                <w:rFonts w:ascii="Calibri" w:hAnsi="Calibri"/>
                <w:sz w:val="18"/>
                <w:szCs w:val="18"/>
              </w:rPr>
            </w:pPr>
            <w:r>
              <w:rPr>
                <w:rFonts w:ascii="Calibri" w:hAnsi="Calibri"/>
                <w:sz w:val="18"/>
                <w:szCs w:val="18"/>
              </w:rPr>
              <w:t>?</w:t>
            </w:r>
          </w:p>
        </w:tc>
        <w:tc>
          <w:tcPr>
            <w:tcW w:w="992" w:type="dxa"/>
            <w:tcBorders>
              <w:left w:val="single" w:sz="4" w:space="0" w:color="FFFFFF" w:themeColor="background1"/>
              <w:right w:val="single" w:sz="4" w:space="0" w:color="FFFFFF" w:themeColor="background1"/>
            </w:tcBorders>
          </w:tcPr>
          <w:p w14:paraId="5269E170" w14:textId="4F151430" w:rsidR="001329EA" w:rsidRDefault="001329EA" w:rsidP="00D7547F">
            <w:pPr>
              <w:jc w:val="center"/>
              <w:rPr>
                <w:rFonts w:ascii="Calibri" w:hAnsi="Calibri"/>
                <w:sz w:val="18"/>
                <w:szCs w:val="18"/>
              </w:rPr>
            </w:pPr>
            <w:r>
              <w:rPr>
                <w:rFonts w:ascii="Calibri" w:hAnsi="Calibri"/>
                <w:sz w:val="18"/>
                <w:szCs w:val="18"/>
              </w:rPr>
              <w:t>1999</w:t>
            </w:r>
          </w:p>
        </w:tc>
        <w:tc>
          <w:tcPr>
            <w:tcW w:w="7796" w:type="dxa"/>
            <w:tcBorders>
              <w:left w:val="single" w:sz="4" w:space="0" w:color="FFFFFF" w:themeColor="background1"/>
              <w:right w:val="single" w:sz="4" w:space="0" w:color="FFFFFF" w:themeColor="background1"/>
            </w:tcBorders>
          </w:tcPr>
          <w:p w14:paraId="28362F8B" w14:textId="7DDA3D23"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Based on surveys of five statewide tobacco control programs in the US, tobacco taxation decreases tobacco consumption in adolescents and among all citizens</w:t>
            </w:r>
          </w:p>
          <w:p w14:paraId="42FA5DBA" w14:textId="76B474E5"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The effect of taxation is strengthened if it is combined with other tobacco control interventions</w:t>
            </w:r>
          </w:p>
        </w:tc>
        <w:tc>
          <w:tcPr>
            <w:tcW w:w="1333" w:type="dxa"/>
            <w:tcBorders>
              <w:left w:val="single" w:sz="4" w:space="0" w:color="FFFFFF" w:themeColor="background1"/>
              <w:right w:val="single" w:sz="4" w:space="0" w:color="FFFFFF" w:themeColor="background1"/>
            </w:tcBorders>
          </w:tcPr>
          <w:p w14:paraId="570F4B7E" w14:textId="38687029" w:rsidR="001329EA" w:rsidRDefault="001329EA" w:rsidP="005023B5">
            <w:pPr>
              <w:rPr>
                <w:rFonts w:ascii="Calibri" w:hAnsi="Calibri"/>
                <w:sz w:val="18"/>
                <w:szCs w:val="18"/>
              </w:rPr>
            </w:pPr>
            <w:r>
              <w:rPr>
                <w:rFonts w:ascii="Calibri" w:hAnsi="Calibri"/>
                <w:sz w:val="18"/>
                <w:szCs w:val="18"/>
              </w:rPr>
              <w:t>4/10 (HE)</w:t>
            </w:r>
          </w:p>
        </w:tc>
      </w:tr>
      <w:tr w:rsidR="001329EA" w:rsidRPr="005573A3" w14:paraId="06B23247" w14:textId="77777777" w:rsidTr="00A923F0">
        <w:trPr>
          <w:cantSplit/>
          <w:trHeight w:val="104"/>
          <w:jc w:val="center"/>
        </w:trPr>
        <w:tc>
          <w:tcPr>
            <w:tcW w:w="1172" w:type="dxa"/>
            <w:vMerge/>
            <w:tcBorders>
              <w:left w:val="single" w:sz="4" w:space="0" w:color="FFFFFF" w:themeColor="background1"/>
              <w:right w:val="single" w:sz="4" w:space="0" w:color="FFFFFF" w:themeColor="background1"/>
            </w:tcBorders>
          </w:tcPr>
          <w:p w14:paraId="15F0933D" w14:textId="4088C2C1" w:rsidR="001329EA" w:rsidRPr="00F0774B" w:rsidRDefault="001329E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494D4C46" w14:textId="3C7D5498" w:rsidR="001329EA" w:rsidRPr="0025010C" w:rsidRDefault="001329EA" w:rsidP="0043784E">
            <w:pPr>
              <w:pStyle w:val="ListParagraph"/>
              <w:tabs>
                <w:tab w:val="left" w:pos="255"/>
              </w:tabs>
              <w:ind w:left="0"/>
              <w:rPr>
                <w:rFonts w:ascii="Calibri" w:hAnsi="Calibri"/>
                <w:sz w:val="18"/>
                <w:szCs w:val="18"/>
              </w:rPr>
            </w:pPr>
            <w:r w:rsidRPr="0025010C">
              <w:rPr>
                <w:rFonts w:ascii="Calibri" w:hAnsi="Calibri"/>
                <w:sz w:val="18"/>
                <w:szCs w:val="18"/>
              </w:rPr>
              <w:t xml:space="preserve">Hopkins </w:t>
            </w:r>
            <w:r w:rsidRPr="0025010C">
              <w:rPr>
                <w:rFonts w:ascii="Calibri" w:hAnsi="Calibri"/>
                <w:i/>
                <w:sz w:val="18"/>
                <w:szCs w:val="18"/>
              </w:rPr>
              <w:t>et al</w:t>
            </w:r>
            <w:r>
              <w:rPr>
                <w:rFonts w:ascii="Calibri" w:hAnsi="Calibri"/>
                <w:i/>
                <w:sz w:val="18"/>
                <w:szCs w:val="18"/>
              </w:rPr>
              <w:t>.</w:t>
            </w:r>
            <w:r w:rsidRPr="0025010C">
              <w:rPr>
                <w:rFonts w:ascii="Calibri" w:hAnsi="Calibri"/>
                <w:sz w:val="18"/>
                <w:szCs w:val="18"/>
              </w:rPr>
              <w:t xml:space="preserve"> 2001</w:t>
            </w:r>
          </w:p>
        </w:tc>
        <w:tc>
          <w:tcPr>
            <w:tcW w:w="992" w:type="dxa"/>
            <w:tcBorders>
              <w:left w:val="single" w:sz="4" w:space="0" w:color="FFFFFF" w:themeColor="background1"/>
              <w:right w:val="single" w:sz="4" w:space="0" w:color="FFFFFF" w:themeColor="background1"/>
            </w:tcBorders>
          </w:tcPr>
          <w:p w14:paraId="4F9B4F28" w14:textId="025758D5" w:rsidR="001329EA" w:rsidRDefault="001329EA" w:rsidP="00D7547F">
            <w:pPr>
              <w:jc w:val="center"/>
              <w:rPr>
                <w:rFonts w:ascii="Calibri" w:hAnsi="Calibri"/>
                <w:sz w:val="18"/>
                <w:szCs w:val="18"/>
              </w:rPr>
            </w:pPr>
            <w:r>
              <w:rPr>
                <w:rFonts w:ascii="Calibri" w:hAnsi="Calibri"/>
                <w:sz w:val="18"/>
                <w:szCs w:val="18"/>
              </w:rPr>
              <w:t>25</w:t>
            </w:r>
          </w:p>
        </w:tc>
        <w:tc>
          <w:tcPr>
            <w:tcW w:w="992" w:type="dxa"/>
            <w:tcBorders>
              <w:left w:val="single" w:sz="4" w:space="0" w:color="FFFFFF" w:themeColor="background1"/>
              <w:right w:val="single" w:sz="4" w:space="0" w:color="FFFFFF" w:themeColor="background1"/>
            </w:tcBorders>
          </w:tcPr>
          <w:p w14:paraId="3573ED5A" w14:textId="65E65016" w:rsidR="001329EA" w:rsidRDefault="001329EA" w:rsidP="00D7547F">
            <w:pPr>
              <w:jc w:val="center"/>
              <w:rPr>
                <w:rFonts w:ascii="Calibri" w:hAnsi="Calibri"/>
                <w:sz w:val="18"/>
                <w:szCs w:val="18"/>
              </w:rPr>
            </w:pPr>
            <w:r>
              <w:rPr>
                <w:rFonts w:ascii="Calibri" w:hAnsi="Calibri"/>
                <w:sz w:val="18"/>
                <w:szCs w:val="18"/>
              </w:rPr>
              <w:t>2000</w:t>
            </w:r>
          </w:p>
        </w:tc>
        <w:tc>
          <w:tcPr>
            <w:tcW w:w="7796" w:type="dxa"/>
            <w:tcBorders>
              <w:left w:val="single" w:sz="4" w:space="0" w:color="FFFFFF" w:themeColor="background1"/>
              <w:right w:val="single" w:sz="4" w:space="0" w:color="FFFFFF" w:themeColor="background1"/>
            </w:tcBorders>
          </w:tcPr>
          <w:p w14:paraId="3B6559F5" w14:textId="100C7090"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Increasing tobacco price reduces </w:t>
            </w:r>
            <w:r>
              <w:rPr>
                <w:rFonts w:ascii="Calibri" w:hAnsi="Calibri"/>
                <w:sz w:val="18"/>
                <w:szCs w:val="18"/>
              </w:rPr>
              <w:t xml:space="preserve">smoking </w:t>
            </w:r>
            <w:r w:rsidRPr="0097597C">
              <w:rPr>
                <w:rFonts w:ascii="Calibri" w:hAnsi="Calibri"/>
                <w:sz w:val="18"/>
                <w:szCs w:val="18"/>
              </w:rPr>
              <w:t xml:space="preserve">prevalence and </w:t>
            </w:r>
            <w:r>
              <w:rPr>
                <w:rFonts w:ascii="Calibri" w:hAnsi="Calibri"/>
                <w:sz w:val="18"/>
                <w:szCs w:val="18"/>
              </w:rPr>
              <w:t>cigarette consumption</w:t>
            </w:r>
            <w:r w:rsidRPr="0097597C">
              <w:rPr>
                <w:rFonts w:ascii="Calibri" w:hAnsi="Calibri"/>
                <w:sz w:val="18"/>
                <w:szCs w:val="18"/>
              </w:rPr>
              <w:t xml:space="preserve">, and </w:t>
            </w:r>
            <w:r>
              <w:rPr>
                <w:rFonts w:ascii="Calibri" w:hAnsi="Calibri"/>
                <w:sz w:val="18"/>
                <w:szCs w:val="18"/>
              </w:rPr>
              <w:t xml:space="preserve">promotes smoking cessation, with a median price elasticities of -0.37 (range = not statistically significant to -1.19) and -0.23 (range = </w:t>
            </w:r>
            <w:r w:rsidR="00312134">
              <w:rPr>
                <w:rFonts w:ascii="Calibri" w:hAnsi="Calibri"/>
                <w:sz w:val="18"/>
                <w:szCs w:val="18"/>
              </w:rPr>
              <w:t>-0.68 to 0</w:t>
            </w:r>
            <w:r>
              <w:rPr>
                <w:rFonts w:ascii="Calibri" w:hAnsi="Calibri"/>
                <w:sz w:val="18"/>
                <w:szCs w:val="18"/>
              </w:rPr>
              <w:t>) for prevalence and consumption, respectively</w:t>
            </w:r>
          </w:p>
        </w:tc>
        <w:tc>
          <w:tcPr>
            <w:tcW w:w="1333" w:type="dxa"/>
            <w:tcBorders>
              <w:left w:val="single" w:sz="4" w:space="0" w:color="FFFFFF" w:themeColor="background1"/>
              <w:right w:val="single" w:sz="4" w:space="0" w:color="FFFFFF" w:themeColor="background1"/>
            </w:tcBorders>
          </w:tcPr>
          <w:p w14:paraId="625C36E1" w14:textId="3E6A0453" w:rsidR="001329EA" w:rsidRDefault="001329EA" w:rsidP="00344E27">
            <w:pPr>
              <w:rPr>
                <w:rFonts w:ascii="Calibri" w:hAnsi="Calibri"/>
                <w:sz w:val="18"/>
                <w:szCs w:val="18"/>
              </w:rPr>
            </w:pPr>
            <w:r>
              <w:rPr>
                <w:rFonts w:ascii="Calibri" w:hAnsi="Calibri"/>
                <w:sz w:val="18"/>
                <w:szCs w:val="18"/>
              </w:rPr>
              <w:t>10/10 (HE)</w:t>
            </w:r>
          </w:p>
        </w:tc>
      </w:tr>
      <w:tr w:rsidR="001329EA" w:rsidRPr="005573A3" w14:paraId="02715B4B" w14:textId="77777777" w:rsidTr="00A923F0">
        <w:trPr>
          <w:cantSplit/>
          <w:trHeight w:val="104"/>
          <w:jc w:val="center"/>
        </w:trPr>
        <w:tc>
          <w:tcPr>
            <w:tcW w:w="1172" w:type="dxa"/>
            <w:vMerge/>
            <w:tcBorders>
              <w:left w:val="single" w:sz="4" w:space="0" w:color="FFFFFF" w:themeColor="background1"/>
              <w:right w:val="single" w:sz="4" w:space="0" w:color="FFFFFF" w:themeColor="background1"/>
            </w:tcBorders>
          </w:tcPr>
          <w:p w14:paraId="7AA9DEBE" w14:textId="77777777" w:rsidR="001329EA" w:rsidRPr="00F0774B" w:rsidRDefault="001329E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61D3170F" w14:textId="51C7F42F" w:rsidR="001329EA" w:rsidRPr="0025010C" w:rsidRDefault="001329EA" w:rsidP="0043784E">
            <w:pPr>
              <w:pStyle w:val="ListParagraph"/>
              <w:tabs>
                <w:tab w:val="left" w:pos="255"/>
              </w:tabs>
              <w:ind w:left="0"/>
              <w:rPr>
                <w:rFonts w:ascii="Calibri" w:hAnsi="Calibri"/>
                <w:sz w:val="18"/>
                <w:szCs w:val="18"/>
              </w:rPr>
            </w:pPr>
            <w:r>
              <w:rPr>
                <w:rFonts w:ascii="Calibri" w:hAnsi="Calibri"/>
                <w:sz w:val="18"/>
                <w:szCs w:val="18"/>
              </w:rPr>
              <w:t>Gallet &amp; List 2003</w:t>
            </w:r>
          </w:p>
        </w:tc>
        <w:tc>
          <w:tcPr>
            <w:tcW w:w="992" w:type="dxa"/>
            <w:tcBorders>
              <w:left w:val="single" w:sz="4" w:space="0" w:color="FFFFFF" w:themeColor="background1"/>
              <w:right w:val="single" w:sz="4" w:space="0" w:color="FFFFFF" w:themeColor="background1"/>
            </w:tcBorders>
          </w:tcPr>
          <w:p w14:paraId="7A2873FC" w14:textId="7EEF81CB" w:rsidR="001329EA" w:rsidRDefault="001329EA" w:rsidP="00D7547F">
            <w:pPr>
              <w:jc w:val="center"/>
              <w:rPr>
                <w:rFonts w:ascii="Calibri" w:hAnsi="Calibri"/>
                <w:sz w:val="18"/>
                <w:szCs w:val="18"/>
              </w:rPr>
            </w:pPr>
            <w:r>
              <w:rPr>
                <w:rFonts w:ascii="Calibri" w:hAnsi="Calibri"/>
                <w:sz w:val="18"/>
                <w:szCs w:val="18"/>
              </w:rPr>
              <w:t>86</w:t>
            </w:r>
          </w:p>
        </w:tc>
        <w:tc>
          <w:tcPr>
            <w:tcW w:w="992" w:type="dxa"/>
            <w:tcBorders>
              <w:left w:val="single" w:sz="4" w:space="0" w:color="FFFFFF" w:themeColor="background1"/>
              <w:right w:val="single" w:sz="4" w:space="0" w:color="FFFFFF" w:themeColor="background1"/>
            </w:tcBorders>
          </w:tcPr>
          <w:p w14:paraId="7CF68D12" w14:textId="45534DF8" w:rsidR="001329EA" w:rsidRDefault="001329EA"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49D4B115" w14:textId="77777777"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A meta-analysis of price elasticities of demand found increases in tobacco price reduces cigarette consumption, with demand more responsive to price in the long-run</w:t>
            </w:r>
          </w:p>
          <w:p w14:paraId="198ED591" w14:textId="6DB46823" w:rsidR="001329EA" w:rsidRPr="0097597C"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Teens are more sensitive to price, and more recent studies tend to report more inelastic estimates</w:t>
            </w:r>
          </w:p>
        </w:tc>
        <w:tc>
          <w:tcPr>
            <w:tcW w:w="1333" w:type="dxa"/>
            <w:tcBorders>
              <w:left w:val="single" w:sz="4" w:space="0" w:color="FFFFFF" w:themeColor="background1"/>
              <w:right w:val="single" w:sz="4" w:space="0" w:color="FFFFFF" w:themeColor="background1"/>
            </w:tcBorders>
          </w:tcPr>
          <w:p w14:paraId="17A3D00E" w14:textId="7EBEC4ED" w:rsidR="001329EA" w:rsidRDefault="00C520D7" w:rsidP="00344E27">
            <w:pPr>
              <w:rPr>
                <w:rFonts w:ascii="Calibri" w:hAnsi="Calibri"/>
                <w:sz w:val="18"/>
                <w:szCs w:val="18"/>
              </w:rPr>
            </w:pPr>
            <w:r>
              <w:rPr>
                <w:rFonts w:ascii="Calibri" w:hAnsi="Calibri"/>
                <w:sz w:val="18"/>
                <w:szCs w:val="18"/>
              </w:rPr>
              <w:t>1/11 (Authors)</w:t>
            </w:r>
          </w:p>
        </w:tc>
      </w:tr>
      <w:tr w:rsidR="001329EA" w:rsidRPr="005573A3" w14:paraId="6848C3A4"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0AB905CF" w14:textId="7F9A51B6" w:rsidR="001329EA" w:rsidRPr="00F0774B" w:rsidRDefault="001329E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77209A3B" w14:textId="2F231566" w:rsidR="001329EA" w:rsidRPr="00A705DA" w:rsidRDefault="001329EA" w:rsidP="0043784E">
            <w:pPr>
              <w:pStyle w:val="ListParagraph"/>
              <w:tabs>
                <w:tab w:val="left" w:pos="255"/>
              </w:tabs>
              <w:ind w:left="0"/>
              <w:rPr>
                <w:rFonts w:ascii="Calibri" w:hAnsi="Calibri"/>
                <w:sz w:val="18"/>
                <w:szCs w:val="18"/>
              </w:rPr>
            </w:pPr>
            <w:r>
              <w:rPr>
                <w:rFonts w:ascii="Calibri" w:hAnsi="Calibri"/>
                <w:sz w:val="18"/>
                <w:szCs w:val="18"/>
              </w:rPr>
              <w:t xml:space="preserve">Greaves </w:t>
            </w:r>
            <w:r>
              <w:rPr>
                <w:rFonts w:ascii="Calibri" w:hAnsi="Calibri"/>
                <w:i/>
                <w:sz w:val="18"/>
                <w:szCs w:val="18"/>
              </w:rPr>
              <w:t>et al.</w:t>
            </w:r>
            <w:r>
              <w:rPr>
                <w:rFonts w:ascii="Calibri" w:hAnsi="Calibri"/>
                <w:sz w:val="18"/>
                <w:szCs w:val="18"/>
              </w:rPr>
              <w:t xml:space="preserve"> 2006</w:t>
            </w:r>
          </w:p>
        </w:tc>
        <w:tc>
          <w:tcPr>
            <w:tcW w:w="992" w:type="dxa"/>
            <w:tcBorders>
              <w:left w:val="single" w:sz="4" w:space="0" w:color="FFFFFF" w:themeColor="background1"/>
              <w:right w:val="single" w:sz="4" w:space="0" w:color="FFFFFF" w:themeColor="background1"/>
            </w:tcBorders>
            <w:shd w:val="clear" w:color="auto" w:fill="auto"/>
          </w:tcPr>
          <w:p w14:paraId="38C9C6F0" w14:textId="4F62CAA5" w:rsidR="001329EA" w:rsidRDefault="001329EA" w:rsidP="00D7547F">
            <w:pPr>
              <w:jc w:val="center"/>
              <w:rPr>
                <w:rFonts w:ascii="Calibri" w:hAnsi="Calibri"/>
                <w:sz w:val="18"/>
                <w:szCs w:val="18"/>
              </w:rPr>
            </w:pPr>
            <w:r>
              <w:rPr>
                <w:rFonts w:ascii="Calibri" w:hAnsi="Calibri"/>
                <w:sz w:val="18"/>
                <w:szCs w:val="18"/>
              </w:rPr>
              <w:t>18</w:t>
            </w:r>
          </w:p>
        </w:tc>
        <w:tc>
          <w:tcPr>
            <w:tcW w:w="992" w:type="dxa"/>
            <w:tcBorders>
              <w:left w:val="single" w:sz="4" w:space="0" w:color="FFFFFF" w:themeColor="background1"/>
              <w:right w:val="single" w:sz="4" w:space="0" w:color="FFFFFF" w:themeColor="background1"/>
            </w:tcBorders>
          </w:tcPr>
          <w:p w14:paraId="2FE1C89E" w14:textId="1186CE18" w:rsidR="001329EA" w:rsidRDefault="001329EA" w:rsidP="005514C1">
            <w:pPr>
              <w:jc w:val="center"/>
              <w:rPr>
                <w:rFonts w:ascii="Calibri" w:hAnsi="Calibri"/>
                <w:sz w:val="18"/>
                <w:szCs w:val="18"/>
              </w:rPr>
            </w:pPr>
            <w:r>
              <w:rPr>
                <w:rFonts w:ascii="Calibri" w:hAnsi="Calibri"/>
                <w:sz w:val="18"/>
                <w:szCs w:val="18"/>
              </w:rPr>
              <w:t>2004</w:t>
            </w:r>
          </w:p>
        </w:tc>
        <w:tc>
          <w:tcPr>
            <w:tcW w:w="7796" w:type="dxa"/>
            <w:tcBorders>
              <w:left w:val="single" w:sz="4" w:space="0" w:color="FFFFFF" w:themeColor="background1"/>
              <w:right w:val="single" w:sz="4" w:space="0" w:color="FFFFFF" w:themeColor="background1"/>
            </w:tcBorders>
          </w:tcPr>
          <w:p w14:paraId="3A3EA355" w14:textId="77777777"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Increasing tobacco price through taxation significantly reduces smoking behaviour</w:t>
            </w:r>
          </w:p>
          <w:p w14:paraId="03DA30AA" w14:textId="492D71CF" w:rsidR="001329EA" w:rsidRPr="0097597C"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Among adolescents, tax increases reduce smoking initiation and cigarette consumption; the effect on smoking cessation is not clear</w:t>
            </w:r>
          </w:p>
        </w:tc>
        <w:tc>
          <w:tcPr>
            <w:tcW w:w="1333" w:type="dxa"/>
            <w:tcBorders>
              <w:left w:val="single" w:sz="4" w:space="0" w:color="FFFFFF" w:themeColor="background1"/>
              <w:right w:val="single" w:sz="4" w:space="0" w:color="FFFFFF" w:themeColor="background1"/>
            </w:tcBorders>
          </w:tcPr>
          <w:p w14:paraId="0FC088B2" w14:textId="0434C14B" w:rsidR="001329EA" w:rsidRDefault="001329EA">
            <w:pPr>
              <w:rPr>
                <w:rFonts w:ascii="Calibri" w:hAnsi="Calibri"/>
                <w:sz w:val="18"/>
                <w:szCs w:val="18"/>
              </w:rPr>
            </w:pPr>
            <w:r>
              <w:rPr>
                <w:rFonts w:ascii="Calibri" w:hAnsi="Calibri"/>
                <w:sz w:val="18"/>
                <w:szCs w:val="18"/>
              </w:rPr>
              <w:t>3/10 (HE)</w:t>
            </w:r>
          </w:p>
        </w:tc>
      </w:tr>
      <w:tr w:rsidR="001329EA" w:rsidRPr="005573A3" w14:paraId="0CD1C0FE"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4F5CA9B3" w14:textId="77777777" w:rsidR="001329EA" w:rsidRPr="00F0774B" w:rsidRDefault="001329E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30E71EE8" w14:textId="65E59595" w:rsidR="001329EA" w:rsidRDefault="001329EA" w:rsidP="0043784E">
            <w:pPr>
              <w:pStyle w:val="ListParagraph"/>
              <w:tabs>
                <w:tab w:val="left" w:pos="255"/>
              </w:tabs>
              <w:ind w:left="0"/>
              <w:rPr>
                <w:rFonts w:ascii="Calibri" w:hAnsi="Calibri"/>
                <w:sz w:val="18"/>
                <w:szCs w:val="18"/>
              </w:rPr>
            </w:pPr>
            <w:r>
              <w:rPr>
                <w:rFonts w:ascii="Calibri" w:hAnsi="Calibri"/>
                <w:sz w:val="18"/>
                <w:szCs w:val="18"/>
              </w:rPr>
              <w:t>Laporte 2006</w:t>
            </w:r>
          </w:p>
        </w:tc>
        <w:tc>
          <w:tcPr>
            <w:tcW w:w="992" w:type="dxa"/>
            <w:tcBorders>
              <w:left w:val="single" w:sz="4" w:space="0" w:color="FFFFFF" w:themeColor="background1"/>
              <w:right w:val="single" w:sz="4" w:space="0" w:color="FFFFFF" w:themeColor="background1"/>
            </w:tcBorders>
            <w:shd w:val="clear" w:color="auto" w:fill="auto"/>
          </w:tcPr>
          <w:p w14:paraId="2D996CD2" w14:textId="33A85B25" w:rsidR="001329EA" w:rsidRDefault="001329EA" w:rsidP="00D7547F">
            <w:pPr>
              <w:jc w:val="center"/>
              <w:rPr>
                <w:rFonts w:ascii="Calibri" w:hAnsi="Calibri"/>
                <w:sz w:val="18"/>
                <w:szCs w:val="18"/>
              </w:rPr>
            </w:pPr>
            <w:r>
              <w:rPr>
                <w:rFonts w:ascii="Calibri" w:hAnsi="Calibri"/>
                <w:sz w:val="18"/>
                <w:szCs w:val="18"/>
              </w:rPr>
              <w:t>36</w:t>
            </w:r>
          </w:p>
        </w:tc>
        <w:tc>
          <w:tcPr>
            <w:tcW w:w="992" w:type="dxa"/>
            <w:tcBorders>
              <w:left w:val="single" w:sz="4" w:space="0" w:color="FFFFFF" w:themeColor="background1"/>
              <w:right w:val="single" w:sz="4" w:space="0" w:color="FFFFFF" w:themeColor="background1"/>
            </w:tcBorders>
          </w:tcPr>
          <w:p w14:paraId="71F07327" w14:textId="5CBD6CB6" w:rsidR="001329EA" w:rsidRDefault="001329EA" w:rsidP="005514C1">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307E8838" w14:textId="12F51C88"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A meta-analysis of price-elasticities of demand reported an average elasticity of -0.69, indicating a 6.9% decrease in cigarette consumption for every 10% increase in price</w:t>
            </w:r>
          </w:p>
        </w:tc>
        <w:tc>
          <w:tcPr>
            <w:tcW w:w="1333" w:type="dxa"/>
            <w:tcBorders>
              <w:left w:val="single" w:sz="4" w:space="0" w:color="FFFFFF" w:themeColor="background1"/>
              <w:right w:val="single" w:sz="4" w:space="0" w:color="FFFFFF" w:themeColor="background1"/>
            </w:tcBorders>
          </w:tcPr>
          <w:p w14:paraId="013C994D" w14:textId="7795C064" w:rsidR="001329EA" w:rsidRDefault="00C520D7">
            <w:pPr>
              <w:rPr>
                <w:rFonts w:ascii="Calibri" w:hAnsi="Calibri"/>
                <w:sz w:val="18"/>
                <w:szCs w:val="18"/>
              </w:rPr>
            </w:pPr>
            <w:r>
              <w:rPr>
                <w:rFonts w:ascii="Calibri" w:hAnsi="Calibri"/>
                <w:sz w:val="18"/>
                <w:szCs w:val="18"/>
              </w:rPr>
              <w:t>1/11 (Authors)</w:t>
            </w:r>
          </w:p>
        </w:tc>
      </w:tr>
      <w:tr w:rsidR="001329EA" w:rsidRPr="005573A3" w14:paraId="7C7A850E"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0BED2E4E" w14:textId="7F4BDCF5" w:rsidR="001329EA" w:rsidRPr="00F0774B" w:rsidRDefault="001329E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2516159E" w14:textId="6FF8BD26" w:rsidR="001329EA" w:rsidRPr="009C48CE" w:rsidRDefault="001329EA" w:rsidP="0043784E">
            <w:pPr>
              <w:pStyle w:val="ListParagraph"/>
              <w:tabs>
                <w:tab w:val="left" w:pos="255"/>
              </w:tabs>
              <w:ind w:left="0"/>
              <w:rPr>
                <w:rFonts w:ascii="Calibri" w:hAnsi="Calibri"/>
                <w:sz w:val="18"/>
                <w:szCs w:val="18"/>
              </w:rPr>
            </w:pPr>
            <w:r w:rsidRPr="009C48CE">
              <w:rPr>
                <w:rFonts w:ascii="Calibri" w:hAnsi="Calibri"/>
                <w:sz w:val="18"/>
                <w:szCs w:val="18"/>
              </w:rPr>
              <w:t xml:space="preserve">Thomas </w:t>
            </w:r>
            <w:r w:rsidRPr="009C48CE">
              <w:rPr>
                <w:rFonts w:ascii="Calibri" w:hAnsi="Calibri"/>
                <w:i/>
                <w:sz w:val="18"/>
                <w:szCs w:val="18"/>
              </w:rPr>
              <w:t>et al</w:t>
            </w:r>
            <w:r>
              <w:rPr>
                <w:rFonts w:ascii="Calibri" w:hAnsi="Calibri"/>
                <w:i/>
                <w:sz w:val="18"/>
                <w:szCs w:val="18"/>
              </w:rPr>
              <w:t>.</w:t>
            </w:r>
            <w:r w:rsidRPr="009C48CE">
              <w:rPr>
                <w:rFonts w:ascii="Calibri" w:hAnsi="Calibri"/>
                <w:sz w:val="18"/>
                <w:szCs w:val="18"/>
              </w:rPr>
              <w:t xml:space="preserve"> 2008</w:t>
            </w:r>
          </w:p>
        </w:tc>
        <w:tc>
          <w:tcPr>
            <w:tcW w:w="992" w:type="dxa"/>
            <w:tcBorders>
              <w:left w:val="single" w:sz="4" w:space="0" w:color="FFFFFF" w:themeColor="background1"/>
              <w:right w:val="single" w:sz="4" w:space="0" w:color="FFFFFF" w:themeColor="background1"/>
            </w:tcBorders>
          </w:tcPr>
          <w:p w14:paraId="5952E128" w14:textId="16DEFA1B" w:rsidR="001329EA" w:rsidRDefault="001329EA" w:rsidP="00D7547F">
            <w:pPr>
              <w:jc w:val="center"/>
              <w:rPr>
                <w:rFonts w:ascii="Calibri" w:hAnsi="Calibri"/>
                <w:sz w:val="18"/>
                <w:szCs w:val="18"/>
              </w:rPr>
            </w:pPr>
            <w:r>
              <w:rPr>
                <w:rFonts w:ascii="Calibri" w:hAnsi="Calibri"/>
                <w:sz w:val="18"/>
                <w:szCs w:val="18"/>
              </w:rPr>
              <w:t>42</w:t>
            </w:r>
          </w:p>
        </w:tc>
        <w:tc>
          <w:tcPr>
            <w:tcW w:w="992" w:type="dxa"/>
            <w:tcBorders>
              <w:left w:val="single" w:sz="4" w:space="0" w:color="FFFFFF" w:themeColor="background1"/>
              <w:right w:val="single" w:sz="4" w:space="0" w:color="FFFFFF" w:themeColor="background1"/>
            </w:tcBorders>
          </w:tcPr>
          <w:p w14:paraId="5B48197A" w14:textId="14389257" w:rsidR="001329EA" w:rsidRDefault="001329EA" w:rsidP="00D7547F">
            <w:pPr>
              <w:jc w:val="center"/>
              <w:rPr>
                <w:rFonts w:ascii="Calibri" w:hAnsi="Calibri"/>
                <w:sz w:val="18"/>
                <w:szCs w:val="18"/>
              </w:rPr>
            </w:pPr>
            <w:r>
              <w:rPr>
                <w:rFonts w:ascii="Calibri" w:hAnsi="Calibri"/>
                <w:sz w:val="18"/>
                <w:szCs w:val="18"/>
              </w:rPr>
              <w:t>2006</w:t>
            </w:r>
          </w:p>
        </w:tc>
        <w:tc>
          <w:tcPr>
            <w:tcW w:w="7796" w:type="dxa"/>
            <w:tcBorders>
              <w:left w:val="single" w:sz="4" w:space="0" w:color="FFFFFF" w:themeColor="background1"/>
              <w:right w:val="single" w:sz="4" w:space="0" w:color="FFFFFF" w:themeColor="background1"/>
            </w:tcBorders>
          </w:tcPr>
          <w:p w14:paraId="4AC43D28" w14:textId="285812C6"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Increasing tobacco price has a greater effect on adults with low incomes or manual occupations</w:t>
            </w:r>
          </w:p>
          <w:p w14:paraId="7806374E" w14:textId="3AB88A38"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Price increases are effective in reducing youth smoking, with the effect potentially</w:t>
            </w:r>
            <w:r>
              <w:rPr>
                <w:rFonts w:ascii="Calibri" w:hAnsi="Calibri"/>
                <w:sz w:val="18"/>
                <w:szCs w:val="18"/>
              </w:rPr>
              <w:t xml:space="preserve"> stronger in older youths, boys</w:t>
            </w:r>
            <w:r w:rsidRPr="0097597C">
              <w:rPr>
                <w:rFonts w:ascii="Calibri" w:hAnsi="Calibri"/>
                <w:sz w:val="18"/>
                <w:szCs w:val="18"/>
              </w:rPr>
              <w:t xml:space="preserve"> and black or Hispanic adolescents</w:t>
            </w:r>
          </w:p>
        </w:tc>
        <w:tc>
          <w:tcPr>
            <w:tcW w:w="1333" w:type="dxa"/>
            <w:tcBorders>
              <w:left w:val="single" w:sz="4" w:space="0" w:color="FFFFFF" w:themeColor="background1"/>
              <w:right w:val="single" w:sz="4" w:space="0" w:color="FFFFFF" w:themeColor="background1"/>
            </w:tcBorders>
          </w:tcPr>
          <w:p w14:paraId="72C7F7CE" w14:textId="76E80540" w:rsidR="001329EA" w:rsidRDefault="001329EA">
            <w:pPr>
              <w:rPr>
                <w:rFonts w:ascii="Calibri" w:hAnsi="Calibri"/>
                <w:sz w:val="18"/>
                <w:szCs w:val="18"/>
              </w:rPr>
            </w:pPr>
            <w:r>
              <w:rPr>
                <w:rFonts w:ascii="Calibri" w:hAnsi="Calibri"/>
                <w:sz w:val="18"/>
                <w:szCs w:val="18"/>
              </w:rPr>
              <w:t>5/10 (HE)</w:t>
            </w:r>
          </w:p>
        </w:tc>
      </w:tr>
      <w:tr w:rsidR="001329EA" w:rsidRPr="005573A3" w14:paraId="79F8C9DE"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0F16019F" w14:textId="77777777" w:rsidR="001329EA" w:rsidRPr="00F0774B" w:rsidRDefault="001329E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A48F7F1" w14:textId="746AE440" w:rsidR="001329EA" w:rsidRPr="002B09D2" w:rsidRDefault="001329EA" w:rsidP="0043784E">
            <w:pPr>
              <w:pStyle w:val="ListParagraph"/>
              <w:tabs>
                <w:tab w:val="left" w:pos="255"/>
              </w:tabs>
              <w:ind w:left="0"/>
              <w:rPr>
                <w:rFonts w:ascii="Calibri" w:hAnsi="Calibri"/>
                <w:sz w:val="18"/>
                <w:szCs w:val="18"/>
              </w:rPr>
            </w:pPr>
            <w:r>
              <w:rPr>
                <w:rFonts w:ascii="Calibri" w:hAnsi="Calibri"/>
                <w:sz w:val="18"/>
                <w:szCs w:val="18"/>
              </w:rPr>
              <w:t xml:space="preserve">Oncken </w:t>
            </w:r>
            <w:r>
              <w:rPr>
                <w:rFonts w:ascii="Calibri" w:hAnsi="Calibri"/>
                <w:i/>
                <w:sz w:val="18"/>
                <w:szCs w:val="18"/>
              </w:rPr>
              <w:t xml:space="preserve">et al. </w:t>
            </w:r>
            <w:r>
              <w:rPr>
                <w:rFonts w:ascii="Calibri" w:hAnsi="Calibri"/>
                <w:sz w:val="18"/>
                <w:szCs w:val="18"/>
              </w:rPr>
              <w:t>2010</w:t>
            </w:r>
          </w:p>
        </w:tc>
        <w:tc>
          <w:tcPr>
            <w:tcW w:w="992" w:type="dxa"/>
            <w:tcBorders>
              <w:left w:val="single" w:sz="4" w:space="0" w:color="FFFFFF" w:themeColor="background1"/>
              <w:right w:val="single" w:sz="4" w:space="0" w:color="FFFFFF" w:themeColor="background1"/>
            </w:tcBorders>
          </w:tcPr>
          <w:p w14:paraId="3C5CC7D2" w14:textId="43C3635C" w:rsidR="001329EA" w:rsidRDefault="001329EA" w:rsidP="00D7547F">
            <w:pPr>
              <w:jc w:val="center"/>
              <w:rPr>
                <w:rFonts w:ascii="Calibri" w:hAnsi="Calibri"/>
                <w:sz w:val="18"/>
                <w:szCs w:val="18"/>
              </w:rPr>
            </w:pPr>
            <w:r>
              <w:rPr>
                <w:rFonts w:ascii="Calibri" w:hAnsi="Calibri"/>
                <w:sz w:val="18"/>
                <w:szCs w:val="18"/>
              </w:rPr>
              <w:t>12</w:t>
            </w:r>
          </w:p>
        </w:tc>
        <w:tc>
          <w:tcPr>
            <w:tcW w:w="992" w:type="dxa"/>
            <w:tcBorders>
              <w:left w:val="single" w:sz="4" w:space="0" w:color="FFFFFF" w:themeColor="background1"/>
              <w:right w:val="single" w:sz="4" w:space="0" w:color="FFFFFF" w:themeColor="background1"/>
            </w:tcBorders>
          </w:tcPr>
          <w:p w14:paraId="4E6A9303" w14:textId="39C7A0DB" w:rsidR="001329EA" w:rsidRDefault="001329EA" w:rsidP="00D7547F">
            <w:pPr>
              <w:jc w:val="center"/>
              <w:rPr>
                <w:rFonts w:ascii="Calibri" w:hAnsi="Calibri"/>
                <w:sz w:val="18"/>
                <w:szCs w:val="18"/>
              </w:rPr>
            </w:pPr>
            <w:r>
              <w:rPr>
                <w:rFonts w:ascii="Calibri" w:hAnsi="Calibri"/>
                <w:sz w:val="18"/>
                <w:szCs w:val="18"/>
              </w:rPr>
              <w:t>2009</w:t>
            </w:r>
          </w:p>
        </w:tc>
        <w:tc>
          <w:tcPr>
            <w:tcW w:w="7796" w:type="dxa"/>
            <w:tcBorders>
              <w:left w:val="single" w:sz="4" w:space="0" w:color="FFFFFF" w:themeColor="background1"/>
              <w:right w:val="single" w:sz="4" w:space="0" w:color="FFFFFF" w:themeColor="background1"/>
            </w:tcBorders>
          </w:tcPr>
          <w:p w14:paraId="0E81D1C9" w14:textId="77777777"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Increasing tobacco price reduces cigarette consumption in both high-income and low- and middle-income countries, and may have a greater impact in low- and middle-income countries</w:t>
            </w:r>
          </w:p>
          <w:p w14:paraId="6996BE1E" w14:textId="7312EE2C" w:rsidR="001329EA" w:rsidRPr="0097597C"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 xml:space="preserve">Price increases reduce smoking in pregnancy and deaths due to sudden infant death syndrome </w:t>
            </w:r>
          </w:p>
        </w:tc>
        <w:tc>
          <w:tcPr>
            <w:tcW w:w="1333" w:type="dxa"/>
            <w:tcBorders>
              <w:left w:val="single" w:sz="4" w:space="0" w:color="FFFFFF" w:themeColor="background1"/>
              <w:right w:val="single" w:sz="4" w:space="0" w:color="FFFFFF" w:themeColor="background1"/>
            </w:tcBorders>
          </w:tcPr>
          <w:p w14:paraId="5708718B" w14:textId="3848093E" w:rsidR="001329EA" w:rsidRDefault="001329EA">
            <w:pPr>
              <w:rPr>
                <w:rFonts w:ascii="Calibri" w:hAnsi="Calibri"/>
                <w:sz w:val="18"/>
                <w:szCs w:val="18"/>
              </w:rPr>
            </w:pPr>
            <w:r>
              <w:rPr>
                <w:rFonts w:ascii="Calibri" w:hAnsi="Calibri"/>
                <w:sz w:val="18"/>
                <w:szCs w:val="18"/>
              </w:rPr>
              <w:t>2/10 (HE)</w:t>
            </w:r>
          </w:p>
        </w:tc>
      </w:tr>
      <w:tr w:rsidR="001329EA" w:rsidRPr="005573A3" w14:paraId="236572C8"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473BF67D" w14:textId="77777777" w:rsidR="001329EA" w:rsidRPr="00F0774B" w:rsidRDefault="001329E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626BF87E" w14:textId="228BBB3B" w:rsidR="001329EA" w:rsidRPr="00845318" w:rsidRDefault="001329EA" w:rsidP="0043784E">
            <w:pPr>
              <w:pStyle w:val="ListParagraph"/>
              <w:tabs>
                <w:tab w:val="left" w:pos="255"/>
              </w:tabs>
              <w:ind w:left="0"/>
              <w:rPr>
                <w:rFonts w:ascii="Calibri" w:hAnsi="Calibri"/>
                <w:sz w:val="18"/>
                <w:szCs w:val="18"/>
              </w:rPr>
            </w:pPr>
            <w:r>
              <w:rPr>
                <w:rFonts w:ascii="Calibri" w:hAnsi="Calibri"/>
                <w:sz w:val="18"/>
                <w:szCs w:val="18"/>
              </w:rPr>
              <w:t xml:space="preserve">Rice </w:t>
            </w:r>
            <w:r>
              <w:rPr>
                <w:rFonts w:ascii="Calibri" w:hAnsi="Calibri"/>
                <w:i/>
                <w:sz w:val="18"/>
                <w:szCs w:val="18"/>
              </w:rPr>
              <w:t>et al.</w:t>
            </w:r>
            <w:r>
              <w:rPr>
                <w:rFonts w:ascii="Calibri" w:hAnsi="Calibri"/>
                <w:sz w:val="18"/>
                <w:szCs w:val="18"/>
              </w:rPr>
              <w:t xml:space="preserve"> 2010</w:t>
            </w:r>
          </w:p>
        </w:tc>
        <w:tc>
          <w:tcPr>
            <w:tcW w:w="992" w:type="dxa"/>
            <w:tcBorders>
              <w:left w:val="single" w:sz="4" w:space="0" w:color="FFFFFF" w:themeColor="background1"/>
              <w:right w:val="single" w:sz="4" w:space="0" w:color="FFFFFF" w:themeColor="background1"/>
            </w:tcBorders>
          </w:tcPr>
          <w:p w14:paraId="6328E6DE" w14:textId="659A81A0" w:rsidR="001329EA" w:rsidRDefault="001329EA" w:rsidP="00D7547F">
            <w:pPr>
              <w:jc w:val="center"/>
              <w:rPr>
                <w:rFonts w:ascii="Calibri" w:hAnsi="Calibri"/>
                <w:sz w:val="18"/>
                <w:szCs w:val="18"/>
              </w:rPr>
            </w:pPr>
            <w:r>
              <w:rPr>
                <w:rFonts w:ascii="Calibri" w:hAnsi="Calibri"/>
                <w:sz w:val="18"/>
                <w:szCs w:val="18"/>
              </w:rPr>
              <w:t>45</w:t>
            </w:r>
          </w:p>
        </w:tc>
        <w:tc>
          <w:tcPr>
            <w:tcW w:w="992" w:type="dxa"/>
            <w:tcBorders>
              <w:left w:val="single" w:sz="4" w:space="0" w:color="FFFFFF" w:themeColor="background1"/>
              <w:right w:val="single" w:sz="4" w:space="0" w:color="FFFFFF" w:themeColor="background1"/>
            </w:tcBorders>
          </w:tcPr>
          <w:p w14:paraId="332DBE79" w14:textId="736BC3FE" w:rsidR="001329EA" w:rsidRDefault="001329EA" w:rsidP="00D7547F">
            <w:pPr>
              <w:jc w:val="center"/>
              <w:rPr>
                <w:rFonts w:ascii="Calibri" w:hAnsi="Calibri"/>
                <w:sz w:val="18"/>
                <w:szCs w:val="18"/>
              </w:rPr>
            </w:pPr>
            <w:r>
              <w:rPr>
                <w:rFonts w:ascii="Calibri" w:hAnsi="Calibri"/>
                <w:sz w:val="18"/>
                <w:szCs w:val="18"/>
              </w:rPr>
              <w:t>2007</w:t>
            </w:r>
          </w:p>
        </w:tc>
        <w:tc>
          <w:tcPr>
            <w:tcW w:w="7796" w:type="dxa"/>
            <w:tcBorders>
              <w:left w:val="single" w:sz="4" w:space="0" w:color="FFFFFF" w:themeColor="background1"/>
              <w:right w:val="single" w:sz="4" w:space="0" w:color="FFFFFF" w:themeColor="background1"/>
            </w:tcBorders>
          </w:tcPr>
          <w:p w14:paraId="084AE48F" w14:textId="77777777"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Price increases are effective in reducing smoking behaviour among young people</w:t>
            </w:r>
          </w:p>
          <w:p w14:paraId="7FB5E706" w14:textId="1C194508"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Two longitudinal studies on smoking participation (i.e., likelihood of smoking) reported an average price elasticity of -0.176; seven repeated cross-sectional studies reported an average elasticity of -0.489 (range = -0.77 to -0.126)</w:t>
            </w:r>
          </w:p>
          <w:p w14:paraId="68591D8D" w14:textId="69201CAD"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All three studies on smoking prevalence reported reductions in prevalence with increased tobacco price, with the strongest study finding price elasticities between -0.131 and -0.243</w:t>
            </w:r>
          </w:p>
          <w:p w14:paraId="33C2124A" w14:textId="5D3273B8" w:rsidR="001329EA" w:rsidRPr="00824251" w:rsidRDefault="001329EA" w:rsidP="00E64DAC">
            <w:pPr>
              <w:pStyle w:val="ListParagraph"/>
              <w:numPr>
                <w:ilvl w:val="0"/>
                <w:numId w:val="15"/>
              </w:numPr>
              <w:ind w:left="170" w:hanging="170"/>
              <w:rPr>
                <w:rFonts w:ascii="Calibri" w:hAnsi="Calibri"/>
                <w:sz w:val="18"/>
                <w:szCs w:val="18"/>
              </w:rPr>
            </w:pPr>
            <w:r w:rsidRPr="00824251">
              <w:rPr>
                <w:rFonts w:ascii="Calibri" w:hAnsi="Calibri"/>
                <w:sz w:val="18"/>
                <w:szCs w:val="18"/>
              </w:rPr>
              <w:t>For consumption by individual smokers, one longitudinal study reported a price elasticity of -0.731; five repeated cross-sectional studies found an average elasticity of -0.327 (range = -0.02 to -0.561)</w:t>
            </w:r>
          </w:p>
          <w:p w14:paraId="37446F09" w14:textId="33E29568"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For total consumption (i.e., quantity of cigarettes smoked by an entire population), one longitudinal study reported a price elasticity of -0.844, while five repeated cross-sectional studies found an average elasticity of -0.365 (range = -1.148 to 0.86)</w:t>
            </w:r>
          </w:p>
          <w:p w14:paraId="62B13C37" w14:textId="5D0EB31B"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Increasing tobacco price deters young people from initiating smoking, with an average price elasticity of -0.597 (range = -0.111 to -0.912) reported across five longitudinal studies</w:t>
            </w:r>
          </w:p>
          <w:p w14:paraId="7CF0EA0A" w14:textId="56E13640"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Increasing tobacco price encourages young people to quit smoking, but the effect is moderate for encouraging sustained smoking cessation</w:t>
            </w:r>
          </w:p>
        </w:tc>
        <w:tc>
          <w:tcPr>
            <w:tcW w:w="1333" w:type="dxa"/>
            <w:tcBorders>
              <w:left w:val="single" w:sz="4" w:space="0" w:color="FFFFFF" w:themeColor="background1"/>
              <w:right w:val="single" w:sz="4" w:space="0" w:color="FFFFFF" w:themeColor="background1"/>
            </w:tcBorders>
          </w:tcPr>
          <w:p w14:paraId="414F89C7" w14:textId="4B9DA678" w:rsidR="001329EA" w:rsidRDefault="00C520D7">
            <w:pPr>
              <w:rPr>
                <w:rFonts w:ascii="Calibri" w:hAnsi="Calibri"/>
                <w:sz w:val="18"/>
                <w:szCs w:val="18"/>
              </w:rPr>
            </w:pPr>
            <w:r>
              <w:rPr>
                <w:rFonts w:ascii="Calibri" w:hAnsi="Calibri"/>
                <w:sz w:val="18"/>
                <w:szCs w:val="18"/>
              </w:rPr>
              <w:t>7/10 (Authors)</w:t>
            </w:r>
          </w:p>
        </w:tc>
      </w:tr>
      <w:tr w:rsidR="001329EA" w:rsidRPr="005573A3" w14:paraId="3684A409"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16373BC8" w14:textId="5764710D" w:rsidR="001329EA" w:rsidRPr="00F0774B" w:rsidRDefault="001329E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5FFD258C" w14:textId="347D4581" w:rsidR="001329EA" w:rsidRDefault="001329EA" w:rsidP="0043784E">
            <w:pPr>
              <w:pStyle w:val="ListParagraph"/>
              <w:tabs>
                <w:tab w:val="left" w:pos="255"/>
              </w:tabs>
              <w:ind w:left="0"/>
              <w:rPr>
                <w:rFonts w:ascii="Calibri" w:hAnsi="Calibri"/>
                <w:sz w:val="18"/>
                <w:szCs w:val="18"/>
              </w:rPr>
            </w:pPr>
            <w:r>
              <w:rPr>
                <w:rFonts w:ascii="Calibri" w:hAnsi="Calibri"/>
                <w:sz w:val="18"/>
                <w:szCs w:val="18"/>
              </w:rPr>
              <w:t xml:space="preserve">Bader </w:t>
            </w:r>
            <w:r>
              <w:rPr>
                <w:rFonts w:ascii="Calibri" w:hAnsi="Calibri"/>
                <w:i/>
                <w:sz w:val="18"/>
                <w:szCs w:val="18"/>
              </w:rPr>
              <w:t>et al.</w:t>
            </w:r>
            <w:r>
              <w:rPr>
                <w:rFonts w:ascii="Calibri" w:hAnsi="Calibri"/>
                <w:sz w:val="18"/>
                <w:szCs w:val="18"/>
              </w:rPr>
              <w:t xml:space="preserve"> 2011</w:t>
            </w:r>
          </w:p>
        </w:tc>
        <w:tc>
          <w:tcPr>
            <w:tcW w:w="992" w:type="dxa"/>
            <w:tcBorders>
              <w:left w:val="single" w:sz="4" w:space="0" w:color="FFFFFF" w:themeColor="background1"/>
              <w:right w:val="single" w:sz="4" w:space="0" w:color="FFFFFF" w:themeColor="background1"/>
            </w:tcBorders>
          </w:tcPr>
          <w:p w14:paraId="6E304F4F" w14:textId="6F8B2A9D" w:rsidR="001329EA" w:rsidRDefault="001329EA" w:rsidP="00D7547F">
            <w:pPr>
              <w:jc w:val="center"/>
              <w:rPr>
                <w:rFonts w:ascii="Calibri" w:hAnsi="Calibri"/>
                <w:sz w:val="18"/>
                <w:szCs w:val="18"/>
              </w:rPr>
            </w:pPr>
            <w:r>
              <w:rPr>
                <w:rFonts w:ascii="Calibri" w:hAnsi="Calibri"/>
                <w:sz w:val="18"/>
                <w:szCs w:val="18"/>
              </w:rPr>
              <w:t>108</w:t>
            </w:r>
          </w:p>
        </w:tc>
        <w:tc>
          <w:tcPr>
            <w:tcW w:w="992" w:type="dxa"/>
            <w:tcBorders>
              <w:left w:val="single" w:sz="4" w:space="0" w:color="FFFFFF" w:themeColor="background1"/>
              <w:right w:val="single" w:sz="4" w:space="0" w:color="FFFFFF" w:themeColor="background1"/>
            </w:tcBorders>
          </w:tcPr>
          <w:p w14:paraId="0D96470D" w14:textId="5B94954B" w:rsidR="001329EA" w:rsidRDefault="001329EA" w:rsidP="00D7547F">
            <w:pPr>
              <w:jc w:val="center"/>
              <w:rPr>
                <w:rFonts w:ascii="Calibri" w:hAnsi="Calibri"/>
                <w:sz w:val="18"/>
                <w:szCs w:val="18"/>
              </w:rPr>
            </w:pPr>
            <w:r>
              <w:rPr>
                <w:rFonts w:ascii="Calibri" w:hAnsi="Calibri"/>
                <w:sz w:val="18"/>
                <w:szCs w:val="18"/>
              </w:rPr>
              <w:t>2010</w:t>
            </w:r>
          </w:p>
        </w:tc>
        <w:tc>
          <w:tcPr>
            <w:tcW w:w="7796" w:type="dxa"/>
            <w:tcBorders>
              <w:left w:val="single" w:sz="4" w:space="0" w:color="FFFFFF" w:themeColor="background1"/>
              <w:right w:val="single" w:sz="4" w:space="0" w:color="FFFFFF" w:themeColor="background1"/>
            </w:tcBorders>
          </w:tcPr>
          <w:p w14:paraId="6141F00C" w14:textId="78C9E731"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Increasing tobacco price decreases </w:t>
            </w:r>
            <w:r>
              <w:rPr>
                <w:rFonts w:ascii="Calibri" w:hAnsi="Calibri"/>
                <w:sz w:val="18"/>
                <w:szCs w:val="18"/>
              </w:rPr>
              <w:t>smoking prevalence</w:t>
            </w:r>
            <w:r w:rsidRPr="0097597C">
              <w:rPr>
                <w:rFonts w:ascii="Calibri" w:hAnsi="Calibri"/>
                <w:sz w:val="18"/>
                <w:szCs w:val="18"/>
              </w:rPr>
              <w:t xml:space="preserve"> and cigarette consumption</w:t>
            </w:r>
            <w:r>
              <w:rPr>
                <w:rFonts w:ascii="Calibri" w:hAnsi="Calibri"/>
                <w:sz w:val="18"/>
                <w:szCs w:val="18"/>
              </w:rPr>
              <w:t xml:space="preserve"> and promotes smoking cessation</w:t>
            </w:r>
            <w:r w:rsidRPr="0097597C">
              <w:rPr>
                <w:rFonts w:ascii="Calibri" w:hAnsi="Calibri"/>
                <w:sz w:val="18"/>
                <w:szCs w:val="18"/>
              </w:rPr>
              <w:t xml:space="preserve"> in youths (&lt;19 years) and young adults (18 – 24 years)</w:t>
            </w:r>
          </w:p>
          <w:p w14:paraId="39A2D7C6" w14:textId="77777777"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Evidence on smoking initiation in these two groups is inconclusive</w:t>
            </w:r>
          </w:p>
          <w:p w14:paraId="373C917C" w14:textId="11DE83B1"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Increasing price reduces smoking</w:t>
            </w:r>
            <w:r>
              <w:rPr>
                <w:rFonts w:ascii="Calibri" w:hAnsi="Calibri"/>
                <w:sz w:val="18"/>
                <w:szCs w:val="18"/>
              </w:rPr>
              <w:t xml:space="preserve"> behaviour</w:t>
            </w:r>
            <w:r w:rsidRPr="0097597C">
              <w:rPr>
                <w:rFonts w:ascii="Calibri" w:hAnsi="Calibri"/>
                <w:sz w:val="18"/>
                <w:szCs w:val="18"/>
              </w:rPr>
              <w:t xml:space="preserve"> in persons of low socioeconomic status</w:t>
            </w:r>
          </w:p>
          <w:p w14:paraId="5930735F" w14:textId="3E1E727E"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Insufficient evidence exists for impact</w:t>
            </w:r>
            <w:r>
              <w:rPr>
                <w:rFonts w:ascii="Calibri" w:hAnsi="Calibri"/>
                <w:sz w:val="18"/>
                <w:szCs w:val="18"/>
              </w:rPr>
              <w:t>s</w:t>
            </w:r>
            <w:r w:rsidRPr="0097597C">
              <w:rPr>
                <w:rFonts w:ascii="Calibri" w:hAnsi="Calibri"/>
                <w:sz w:val="18"/>
                <w:szCs w:val="18"/>
              </w:rPr>
              <w:t xml:space="preserve"> on heavy/long-term smokers, persons with dual diagnoses (</w:t>
            </w:r>
            <w:r>
              <w:rPr>
                <w:rFonts w:ascii="Calibri" w:hAnsi="Calibri"/>
                <w:sz w:val="18"/>
                <w:szCs w:val="18"/>
              </w:rPr>
              <w:t xml:space="preserve">i.e., with concomitant </w:t>
            </w:r>
            <w:r w:rsidRPr="0097597C">
              <w:rPr>
                <w:rFonts w:ascii="Calibri" w:hAnsi="Calibri"/>
                <w:sz w:val="18"/>
                <w:szCs w:val="18"/>
              </w:rPr>
              <w:t>mental health disorders</w:t>
            </w:r>
            <w:r>
              <w:rPr>
                <w:rFonts w:ascii="Calibri" w:hAnsi="Calibri"/>
                <w:sz w:val="18"/>
                <w:szCs w:val="18"/>
              </w:rPr>
              <w:t xml:space="preserve"> or </w:t>
            </w:r>
            <w:r w:rsidRPr="0097597C">
              <w:rPr>
                <w:rFonts w:ascii="Calibri" w:hAnsi="Calibri"/>
                <w:sz w:val="18"/>
                <w:szCs w:val="18"/>
              </w:rPr>
              <w:t>substance abuse disorders) and Aboriginals</w:t>
            </w:r>
          </w:p>
        </w:tc>
        <w:tc>
          <w:tcPr>
            <w:tcW w:w="1333" w:type="dxa"/>
            <w:tcBorders>
              <w:left w:val="single" w:sz="4" w:space="0" w:color="FFFFFF" w:themeColor="background1"/>
              <w:right w:val="single" w:sz="4" w:space="0" w:color="FFFFFF" w:themeColor="background1"/>
            </w:tcBorders>
          </w:tcPr>
          <w:p w14:paraId="7D3D5F79" w14:textId="7E344AEC" w:rsidR="001329EA" w:rsidRDefault="001329EA">
            <w:pPr>
              <w:rPr>
                <w:rFonts w:ascii="Calibri" w:hAnsi="Calibri"/>
                <w:sz w:val="18"/>
                <w:szCs w:val="18"/>
              </w:rPr>
            </w:pPr>
            <w:r>
              <w:rPr>
                <w:rFonts w:ascii="Calibri" w:hAnsi="Calibri"/>
                <w:sz w:val="18"/>
                <w:szCs w:val="18"/>
              </w:rPr>
              <w:t>5/9 (HSE)</w:t>
            </w:r>
          </w:p>
        </w:tc>
      </w:tr>
      <w:tr w:rsidR="001329EA" w:rsidRPr="005573A3" w14:paraId="623364FF"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26621C07" w14:textId="77777777" w:rsidR="001329EA" w:rsidRPr="00F0774B" w:rsidRDefault="001329E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1CD9FC5B" w14:textId="5B1ED6C5" w:rsidR="001329EA" w:rsidRDefault="001329EA" w:rsidP="0043784E">
            <w:pPr>
              <w:pStyle w:val="ListParagraph"/>
              <w:tabs>
                <w:tab w:val="left" w:pos="255"/>
              </w:tabs>
              <w:ind w:left="0"/>
              <w:rPr>
                <w:rFonts w:ascii="Calibri" w:hAnsi="Calibri"/>
                <w:sz w:val="18"/>
                <w:szCs w:val="18"/>
              </w:rPr>
            </w:pPr>
            <w:r>
              <w:rPr>
                <w:rFonts w:ascii="Calibri" w:hAnsi="Calibri"/>
                <w:sz w:val="18"/>
                <w:szCs w:val="18"/>
              </w:rPr>
              <w:t>IARC 2011</w:t>
            </w:r>
          </w:p>
        </w:tc>
        <w:tc>
          <w:tcPr>
            <w:tcW w:w="992" w:type="dxa"/>
            <w:tcBorders>
              <w:left w:val="single" w:sz="4" w:space="0" w:color="FFFFFF" w:themeColor="background1"/>
              <w:right w:val="single" w:sz="4" w:space="0" w:color="FFFFFF" w:themeColor="background1"/>
            </w:tcBorders>
          </w:tcPr>
          <w:p w14:paraId="71B2F14B" w14:textId="0956393F" w:rsidR="001329EA" w:rsidRDefault="00D411CB" w:rsidP="00D7547F">
            <w:pPr>
              <w:jc w:val="center"/>
              <w:rPr>
                <w:rFonts w:ascii="Calibri" w:hAnsi="Calibri"/>
                <w:sz w:val="18"/>
                <w:szCs w:val="18"/>
              </w:rPr>
            </w:pPr>
            <w:r>
              <w:rPr>
                <w:rFonts w:ascii="Calibri" w:hAnsi="Calibri"/>
                <w:sz w:val="18"/>
                <w:szCs w:val="18"/>
              </w:rPr>
              <w:t>90</w:t>
            </w:r>
          </w:p>
        </w:tc>
        <w:tc>
          <w:tcPr>
            <w:tcW w:w="992" w:type="dxa"/>
            <w:tcBorders>
              <w:left w:val="single" w:sz="4" w:space="0" w:color="FFFFFF" w:themeColor="background1"/>
              <w:right w:val="single" w:sz="4" w:space="0" w:color="FFFFFF" w:themeColor="background1"/>
            </w:tcBorders>
          </w:tcPr>
          <w:p w14:paraId="78DFB9F6" w14:textId="64926A5B" w:rsidR="001329EA" w:rsidRDefault="00D411CB" w:rsidP="00D7547F">
            <w:pPr>
              <w:jc w:val="center"/>
              <w:rPr>
                <w:rFonts w:ascii="Calibri" w:hAnsi="Calibri"/>
                <w:sz w:val="18"/>
                <w:szCs w:val="18"/>
              </w:rPr>
            </w:pPr>
            <w:r>
              <w:rPr>
                <w:rFonts w:ascii="Calibri" w:hAnsi="Calibri"/>
                <w:sz w:val="18"/>
                <w:szCs w:val="18"/>
              </w:rPr>
              <w:t>2010</w:t>
            </w:r>
          </w:p>
        </w:tc>
        <w:tc>
          <w:tcPr>
            <w:tcW w:w="7796" w:type="dxa"/>
            <w:tcBorders>
              <w:left w:val="single" w:sz="4" w:space="0" w:color="FFFFFF" w:themeColor="background1"/>
              <w:right w:val="single" w:sz="4" w:space="0" w:color="FFFFFF" w:themeColor="background1"/>
            </w:tcBorders>
          </w:tcPr>
          <w:p w14:paraId="3412BC17" w14:textId="77777777"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Increasing tobacco price decreases cigarette consumption in countries at all levels of income</w:t>
            </w:r>
          </w:p>
          <w:p w14:paraId="5DB4B5FA" w14:textId="77777777"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Price elasticities of cigarette consumption appear to be more elastic in low-income countries</w:t>
            </w:r>
          </w:p>
          <w:p w14:paraId="432ABD08" w14:textId="759999FC"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Increasing tobacco price decreases smoking prevalence and cigarette consumption in individual smokers, with the price elasticity of prevalence ranging from -</w:t>
            </w:r>
            <w:r w:rsidR="00312134">
              <w:rPr>
                <w:rFonts w:ascii="Calibri" w:hAnsi="Calibri"/>
                <w:sz w:val="18"/>
                <w:szCs w:val="18"/>
              </w:rPr>
              <w:t>0.6 to -0.2</w:t>
            </w:r>
          </w:p>
          <w:p w14:paraId="1EF96BF6" w14:textId="77777777"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Increasing tobacco price decreases smoking prevalence, cigarette consumption, and smoking initiation in young people, and young people appear to be more price sensitive than adults</w:t>
            </w:r>
          </w:p>
          <w:p w14:paraId="416233DA" w14:textId="77777777"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People of low socioeconomic status are more sensitive to tobacco price in high-income countries, while the relationship in middle- and low-income countries is mixed</w:t>
            </w:r>
          </w:p>
          <w:p w14:paraId="39EE0BFA" w14:textId="0F807000" w:rsidR="001329EA" w:rsidRPr="00E64DAC"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Increasing tobacco price decreases premature deaths and morbidities attributable to smoking</w:t>
            </w:r>
          </w:p>
        </w:tc>
        <w:tc>
          <w:tcPr>
            <w:tcW w:w="1333" w:type="dxa"/>
            <w:tcBorders>
              <w:left w:val="single" w:sz="4" w:space="0" w:color="FFFFFF" w:themeColor="background1"/>
              <w:right w:val="single" w:sz="4" w:space="0" w:color="FFFFFF" w:themeColor="background1"/>
            </w:tcBorders>
          </w:tcPr>
          <w:p w14:paraId="7C4E482A" w14:textId="7A081CC3" w:rsidR="001329EA" w:rsidRDefault="00C520D7">
            <w:pPr>
              <w:rPr>
                <w:rFonts w:ascii="Calibri" w:hAnsi="Calibri"/>
                <w:sz w:val="18"/>
                <w:szCs w:val="18"/>
              </w:rPr>
            </w:pPr>
            <w:r>
              <w:rPr>
                <w:rFonts w:ascii="Calibri" w:hAnsi="Calibri"/>
                <w:sz w:val="18"/>
                <w:szCs w:val="18"/>
              </w:rPr>
              <w:t>2/10 (Authors)</w:t>
            </w:r>
          </w:p>
        </w:tc>
      </w:tr>
      <w:tr w:rsidR="001329EA" w:rsidRPr="005573A3" w14:paraId="134B893C"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04320AB2" w14:textId="42DACE13" w:rsidR="001329EA" w:rsidRPr="00F0774B" w:rsidRDefault="001329EA">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0ED0F9FA" w14:textId="48943D4E" w:rsidR="001329EA" w:rsidRPr="000403F9" w:rsidRDefault="001329EA" w:rsidP="0043784E">
            <w:pPr>
              <w:pStyle w:val="ListParagraph"/>
              <w:tabs>
                <w:tab w:val="left" w:pos="255"/>
              </w:tabs>
              <w:ind w:left="0"/>
              <w:rPr>
                <w:rFonts w:ascii="Calibri" w:hAnsi="Calibri"/>
                <w:sz w:val="18"/>
                <w:szCs w:val="18"/>
              </w:rPr>
            </w:pPr>
            <w:r w:rsidRPr="00122D55">
              <w:rPr>
                <w:rFonts w:ascii="Calibri" w:hAnsi="Calibri"/>
                <w:sz w:val="18"/>
                <w:szCs w:val="18"/>
              </w:rPr>
              <w:t xml:space="preserve">Mozaffarian </w:t>
            </w:r>
            <w:r w:rsidRPr="00122D55">
              <w:rPr>
                <w:rFonts w:ascii="Calibri" w:hAnsi="Calibri"/>
                <w:i/>
                <w:sz w:val="18"/>
                <w:szCs w:val="18"/>
              </w:rPr>
              <w:t>et al</w:t>
            </w:r>
            <w:r>
              <w:rPr>
                <w:rFonts w:ascii="Calibri" w:hAnsi="Calibri"/>
                <w:i/>
                <w:sz w:val="18"/>
                <w:szCs w:val="18"/>
              </w:rPr>
              <w:t>.</w:t>
            </w:r>
            <w:r w:rsidRPr="00122D55">
              <w:rPr>
                <w:rFonts w:ascii="Calibri" w:hAnsi="Calibri"/>
                <w:sz w:val="18"/>
                <w:szCs w:val="18"/>
              </w:rPr>
              <w:t xml:space="preserve"> 2012</w:t>
            </w:r>
          </w:p>
        </w:tc>
        <w:tc>
          <w:tcPr>
            <w:tcW w:w="992" w:type="dxa"/>
            <w:tcBorders>
              <w:left w:val="single" w:sz="4" w:space="0" w:color="FFFFFF" w:themeColor="background1"/>
              <w:right w:val="single" w:sz="4" w:space="0" w:color="FFFFFF" w:themeColor="background1"/>
            </w:tcBorders>
            <w:shd w:val="clear" w:color="auto" w:fill="FFFFFF" w:themeFill="background1"/>
          </w:tcPr>
          <w:p w14:paraId="02129EDA" w14:textId="7A00B0C6" w:rsidR="001329EA" w:rsidRDefault="001329EA" w:rsidP="00D7547F">
            <w:pPr>
              <w:jc w:val="center"/>
              <w:rPr>
                <w:rFonts w:ascii="Calibri" w:hAnsi="Calibri"/>
                <w:sz w:val="18"/>
                <w:szCs w:val="18"/>
              </w:rPr>
            </w:pPr>
            <w:r>
              <w:rPr>
                <w:rFonts w:ascii="Calibri" w:hAnsi="Calibri"/>
                <w:sz w:val="18"/>
                <w:szCs w:val="18"/>
              </w:rPr>
              <w:t>5</w:t>
            </w:r>
          </w:p>
        </w:tc>
        <w:tc>
          <w:tcPr>
            <w:tcW w:w="992" w:type="dxa"/>
            <w:tcBorders>
              <w:left w:val="single" w:sz="4" w:space="0" w:color="FFFFFF" w:themeColor="background1"/>
              <w:right w:val="single" w:sz="4" w:space="0" w:color="FFFFFF" w:themeColor="background1"/>
            </w:tcBorders>
          </w:tcPr>
          <w:p w14:paraId="1F64B90F" w14:textId="078A9B29" w:rsidR="001329EA" w:rsidRDefault="001329EA" w:rsidP="00D7547F">
            <w:pPr>
              <w:jc w:val="center"/>
              <w:rPr>
                <w:rFonts w:ascii="Calibri" w:hAnsi="Calibri"/>
                <w:sz w:val="18"/>
                <w:szCs w:val="18"/>
              </w:rPr>
            </w:pPr>
            <w:r>
              <w:rPr>
                <w:rFonts w:ascii="Calibri" w:hAnsi="Calibri"/>
                <w:sz w:val="18"/>
                <w:szCs w:val="18"/>
              </w:rPr>
              <w:t>2011</w:t>
            </w:r>
          </w:p>
        </w:tc>
        <w:tc>
          <w:tcPr>
            <w:tcW w:w="7796" w:type="dxa"/>
            <w:tcBorders>
              <w:left w:val="single" w:sz="4" w:space="0" w:color="FFFFFF" w:themeColor="background1"/>
              <w:right w:val="single" w:sz="4" w:space="0" w:color="FFFFFF" w:themeColor="background1"/>
            </w:tcBorders>
          </w:tcPr>
          <w:p w14:paraId="761C4033" w14:textId="6B6F37DA"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Strong evidence exists for tobacco taxation </w:t>
            </w:r>
            <w:r>
              <w:rPr>
                <w:rFonts w:ascii="Calibri" w:hAnsi="Calibri"/>
                <w:sz w:val="18"/>
                <w:szCs w:val="18"/>
              </w:rPr>
              <w:t xml:space="preserve">in </w:t>
            </w:r>
            <w:r w:rsidRPr="0097597C">
              <w:rPr>
                <w:rFonts w:ascii="Calibri" w:hAnsi="Calibri"/>
                <w:sz w:val="18"/>
                <w:szCs w:val="18"/>
              </w:rPr>
              <w:t xml:space="preserve">reducing smoking behaviour, particularly </w:t>
            </w:r>
            <w:r>
              <w:rPr>
                <w:rFonts w:ascii="Calibri" w:hAnsi="Calibri"/>
                <w:sz w:val="18"/>
                <w:szCs w:val="18"/>
              </w:rPr>
              <w:t>in</w:t>
            </w:r>
            <w:r w:rsidRPr="0097597C">
              <w:rPr>
                <w:rFonts w:ascii="Calibri" w:hAnsi="Calibri"/>
                <w:sz w:val="18"/>
                <w:szCs w:val="18"/>
              </w:rPr>
              <w:t xml:space="preserve"> youths</w:t>
            </w:r>
          </w:p>
        </w:tc>
        <w:tc>
          <w:tcPr>
            <w:tcW w:w="1333" w:type="dxa"/>
            <w:tcBorders>
              <w:left w:val="single" w:sz="4" w:space="0" w:color="FFFFFF" w:themeColor="background1"/>
              <w:right w:val="single" w:sz="4" w:space="0" w:color="FFFFFF" w:themeColor="background1"/>
            </w:tcBorders>
          </w:tcPr>
          <w:p w14:paraId="5ACD5BE7" w14:textId="24BE9CBC" w:rsidR="001329EA" w:rsidRDefault="001329EA">
            <w:pPr>
              <w:rPr>
                <w:rFonts w:ascii="Calibri" w:hAnsi="Calibri"/>
                <w:sz w:val="18"/>
                <w:szCs w:val="18"/>
              </w:rPr>
            </w:pPr>
            <w:r>
              <w:rPr>
                <w:rFonts w:ascii="Calibri" w:hAnsi="Calibri"/>
                <w:sz w:val="18"/>
                <w:szCs w:val="18"/>
              </w:rPr>
              <w:t>6/10 (HE)</w:t>
            </w:r>
          </w:p>
        </w:tc>
      </w:tr>
      <w:tr w:rsidR="001329EA" w:rsidRPr="005573A3" w14:paraId="3EEC5863" w14:textId="77777777" w:rsidTr="00AE0D46">
        <w:trPr>
          <w:cantSplit/>
          <w:trHeight w:val="75"/>
          <w:jc w:val="center"/>
        </w:trPr>
        <w:tc>
          <w:tcPr>
            <w:tcW w:w="1172" w:type="dxa"/>
            <w:vMerge/>
            <w:tcBorders>
              <w:left w:val="single" w:sz="4" w:space="0" w:color="FFFFFF" w:themeColor="background1"/>
              <w:right w:val="single" w:sz="4" w:space="0" w:color="FFFFFF" w:themeColor="background1"/>
            </w:tcBorders>
          </w:tcPr>
          <w:p w14:paraId="68958323" w14:textId="77777777" w:rsidR="001329EA" w:rsidRPr="00F0774B" w:rsidRDefault="001329EA">
            <w:pPr>
              <w:rPr>
                <w:rFonts w:ascii="Calibri" w:hAnsi="Calibri"/>
                <w:b/>
                <w:sz w:val="18"/>
                <w:szCs w:val="18"/>
              </w:rPr>
            </w:pPr>
          </w:p>
        </w:tc>
        <w:tc>
          <w:tcPr>
            <w:tcW w:w="1235" w:type="dxa"/>
            <w:tcBorders>
              <w:left w:val="single" w:sz="4" w:space="0" w:color="FFFFFF" w:themeColor="background1"/>
              <w:bottom w:val="single" w:sz="12" w:space="0" w:color="auto"/>
              <w:right w:val="single" w:sz="4" w:space="0" w:color="FFFFFF" w:themeColor="background1"/>
            </w:tcBorders>
          </w:tcPr>
          <w:p w14:paraId="4AD4B506" w14:textId="751CF83E" w:rsidR="001329EA" w:rsidRPr="00122D55" w:rsidRDefault="001329EA" w:rsidP="0043784E">
            <w:pPr>
              <w:pStyle w:val="ListParagraph"/>
              <w:tabs>
                <w:tab w:val="left" w:pos="255"/>
              </w:tabs>
              <w:ind w:left="0"/>
              <w:rPr>
                <w:rFonts w:ascii="Calibri" w:hAnsi="Calibri"/>
                <w:sz w:val="18"/>
                <w:szCs w:val="18"/>
              </w:rPr>
            </w:pPr>
            <w:r>
              <w:rPr>
                <w:rFonts w:ascii="Calibri" w:hAnsi="Calibri"/>
                <w:sz w:val="18"/>
                <w:szCs w:val="18"/>
              </w:rPr>
              <w:t xml:space="preserve">Wilson </w:t>
            </w:r>
            <w:r>
              <w:rPr>
                <w:rFonts w:ascii="Calibri" w:hAnsi="Calibri"/>
                <w:i/>
                <w:sz w:val="18"/>
                <w:szCs w:val="18"/>
              </w:rPr>
              <w:t>et al.</w:t>
            </w:r>
            <w:r>
              <w:rPr>
                <w:rFonts w:ascii="Calibri" w:hAnsi="Calibri"/>
                <w:sz w:val="18"/>
                <w:szCs w:val="18"/>
              </w:rPr>
              <w:t xml:space="preserve"> 2012</w:t>
            </w:r>
          </w:p>
        </w:tc>
        <w:tc>
          <w:tcPr>
            <w:tcW w:w="992" w:type="dxa"/>
            <w:tcBorders>
              <w:left w:val="single" w:sz="4" w:space="0" w:color="FFFFFF" w:themeColor="background1"/>
              <w:bottom w:val="single" w:sz="12" w:space="0" w:color="auto"/>
              <w:right w:val="single" w:sz="4" w:space="0" w:color="FFFFFF" w:themeColor="background1"/>
            </w:tcBorders>
          </w:tcPr>
          <w:p w14:paraId="42C70E41" w14:textId="736C5263" w:rsidR="001329EA" w:rsidRDefault="001329EA" w:rsidP="00D7547F">
            <w:pPr>
              <w:jc w:val="center"/>
              <w:rPr>
                <w:rFonts w:ascii="Calibri" w:hAnsi="Calibri"/>
                <w:sz w:val="18"/>
                <w:szCs w:val="18"/>
              </w:rPr>
            </w:pPr>
            <w:r>
              <w:rPr>
                <w:rFonts w:ascii="Calibri" w:hAnsi="Calibri"/>
                <w:sz w:val="18"/>
                <w:szCs w:val="18"/>
              </w:rPr>
              <w:t>36</w:t>
            </w:r>
          </w:p>
        </w:tc>
        <w:tc>
          <w:tcPr>
            <w:tcW w:w="992" w:type="dxa"/>
            <w:tcBorders>
              <w:left w:val="single" w:sz="4" w:space="0" w:color="FFFFFF" w:themeColor="background1"/>
              <w:bottom w:val="single" w:sz="12" w:space="0" w:color="auto"/>
              <w:right w:val="single" w:sz="4" w:space="0" w:color="FFFFFF" w:themeColor="background1"/>
            </w:tcBorders>
          </w:tcPr>
          <w:p w14:paraId="5D3182D1" w14:textId="1DA1A783" w:rsidR="001329EA" w:rsidRDefault="001329EA" w:rsidP="00D7547F">
            <w:pPr>
              <w:jc w:val="center"/>
              <w:rPr>
                <w:rFonts w:ascii="Calibri" w:hAnsi="Calibri"/>
                <w:sz w:val="18"/>
                <w:szCs w:val="18"/>
              </w:rPr>
            </w:pPr>
            <w:r>
              <w:rPr>
                <w:rFonts w:ascii="Calibri" w:hAnsi="Calibri"/>
                <w:sz w:val="18"/>
                <w:szCs w:val="18"/>
              </w:rPr>
              <w:t>2009, 2012</w:t>
            </w:r>
          </w:p>
        </w:tc>
        <w:tc>
          <w:tcPr>
            <w:tcW w:w="7796" w:type="dxa"/>
            <w:tcBorders>
              <w:left w:val="single" w:sz="4" w:space="0" w:color="FFFFFF" w:themeColor="background1"/>
              <w:bottom w:val="single" w:sz="12" w:space="0" w:color="auto"/>
              <w:right w:val="single" w:sz="4" w:space="0" w:color="FFFFFF" w:themeColor="background1"/>
            </w:tcBorders>
          </w:tcPr>
          <w:p w14:paraId="5DA416B1" w14:textId="77777777"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Tobacco taxation decreases smoking behaviour and has a stronger impact on youths</w:t>
            </w:r>
          </w:p>
          <w:p w14:paraId="7B0776CA" w14:textId="77777777"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Strong evidence exists for reducing smoking prevalence and moderate evidence exists for preventing smoking initiation and increasing smoking cessation</w:t>
            </w:r>
          </w:p>
          <w:p w14:paraId="4F746B62" w14:textId="68651233" w:rsidR="001329EA" w:rsidRPr="00D7547F"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Every 10% increase in price decreases smoking initiation by 0.9 to 6.5%, increases cessation by 3.75 to 11.7%, and decreases prevalence by 1 to 14.1% in youths and up to 4.5% in adults.</w:t>
            </w:r>
          </w:p>
        </w:tc>
        <w:tc>
          <w:tcPr>
            <w:tcW w:w="1333" w:type="dxa"/>
            <w:tcBorders>
              <w:left w:val="single" w:sz="4" w:space="0" w:color="FFFFFF" w:themeColor="background1"/>
              <w:bottom w:val="single" w:sz="12" w:space="0" w:color="auto"/>
              <w:right w:val="single" w:sz="4" w:space="0" w:color="FFFFFF" w:themeColor="background1"/>
            </w:tcBorders>
          </w:tcPr>
          <w:p w14:paraId="5ADBD7A2" w14:textId="0878213F" w:rsidR="001329EA" w:rsidRDefault="001329EA">
            <w:pPr>
              <w:rPr>
                <w:rFonts w:ascii="Calibri" w:hAnsi="Calibri"/>
                <w:sz w:val="18"/>
                <w:szCs w:val="18"/>
              </w:rPr>
            </w:pPr>
            <w:r>
              <w:rPr>
                <w:rFonts w:ascii="Calibri" w:hAnsi="Calibri"/>
                <w:sz w:val="18"/>
                <w:szCs w:val="18"/>
              </w:rPr>
              <w:t>4/10 (HE)</w:t>
            </w:r>
          </w:p>
        </w:tc>
      </w:tr>
      <w:tr w:rsidR="0082133B" w:rsidRPr="005573A3" w14:paraId="09CDA35E" w14:textId="77777777" w:rsidTr="00AE0D46">
        <w:trPr>
          <w:cantSplit/>
          <w:trHeight w:val="75"/>
          <w:jc w:val="center"/>
        </w:trPr>
        <w:tc>
          <w:tcPr>
            <w:tcW w:w="1172" w:type="dxa"/>
            <w:vMerge/>
            <w:tcBorders>
              <w:left w:val="single" w:sz="4" w:space="0" w:color="FFFFFF" w:themeColor="background1"/>
              <w:right w:val="single" w:sz="4" w:space="0" w:color="FFFFFF" w:themeColor="background1"/>
            </w:tcBorders>
          </w:tcPr>
          <w:p w14:paraId="1D0F574C" w14:textId="77777777" w:rsidR="0082133B" w:rsidRPr="00F0774B" w:rsidRDefault="0082133B">
            <w:pPr>
              <w:rPr>
                <w:rFonts w:ascii="Calibri" w:hAnsi="Calibri"/>
                <w:b/>
                <w:sz w:val="18"/>
                <w:szCs w:val="18"/>
              </w:rPr>
            </w:pPr>
          </w:p>
        </w:tc>
        <w:tc>
          <w:tcPr>
            <w:tcW w:w="1235" w:type="dxa"/>
            <w:tcBorders>
              <w:left w:val="single" w:sz="4" w:space="0" w:color="FFFFFF" w:themeColor="background1"/>
              <w:bottom w:val="single" w:sz="12" w:space="0" w:color="auto"/>
              <w:right w:val="single" w:sz="4" w:space="0" w:color="FFFFFF" w:themeColor="background1"/>
            </w:tcBorders>
          </w:tcPr>
          <w:p w14:paraId="7094C6EA" w14:textId="2570F5E2" w:rsidR="0082133B" w:rsidRDefault="0082133B" w:rsidP="0043784E">
            <w:pPr>
              <w:pStyle w:val="ListParagraph"/>
              <w:tabs>
                <w:tab w:val="left" w:pos="255"/>
              </w:tabs>
              <w:ind w:left="0"/>
              <w:rPr>
                <w:rFonts w:ascii="Calibri" w:hAnsi="Calibri"/>
                <w:sz w:val="18"/>
                <w:szCs w:val="18"/>
              </w:rPr>
            </w:pPr>
            <w:r>
              <w:rPr>
                <w:rFonts w:ascii="Calibri" w:hAnsi="Calibri"/>
                <w:sz w:val="18"/>
                <w:szCs w:val="18"/>
              </w:rPr>
              <w:t>CPSTF 2012</w:t>
            </w:r>
            <w:r w:rsidR="00900790">
              <w:rPr>
                <w:rFonts w:ascii="Calibri" w:hAnsi="Calibri"/>
                <w:sz w:val="18"/>
                <w:szCs w:val="18"/>
              </w:rPr>
              <w:t>b</w:t>
            </w:r>
          </w:p>
        </w:tc>
        <w:tc>
          <w:tcPr>
            <w:tcW w:w="992" w:type="dxa"/>
            <w:tcBorders>
              <w:left w:val="single" w:sz="4" w:space="0" w:color="FFFFFF" w:themeColor="background1"/>
              <w:bottom w:val="single" w:sz="12" w:space="0" w:color="auto"/>
              <w:right w:val="single" w:sz="4" w:space="0" w:color="FFFFFF" w:themeColor="background1"/>
            </w:tcBorders>
          </w:tcPr>
          <w:p w14:paraId="169FE3B7" w14:textId="3964386B" w:rsidR="0082133B" w:rsidRDefault="0082133B" w:rsidP="00D7547F">
            <w:pPr>
              <w:jc w:val="center"/>
              <w:rPr>
                <w:rFonts w:ascii="Calibri" w:hAnsi="Calibri"/>
                <w:sz w:val="18"/>
                <w:szCs w:val="18"/>
              </w:rPr>
            </w:pPr>
            <w:r>
              <w:rPr>
                <w:rFonts w:ascii="Calibri" w:hAnsi="Calibri"/>
                <w:sz w:val="18"/>
                <w:szCs w:val="18"/>
              </w:rPr>
              <w:t>116</w:t>
            </w:r>
          </w:p>
        </w:tc>
        <w:tc>
          <w:tcPr>
            <w:tcW w:w="992" w:type="dxa"/>
            <w:tcBorders>
              <w:left w:val="single" w:sz="4" w:space="0" w:color="FFFFFF" w:themeColor="background1"/>
              <w:bottom w:val="single" w:sz="12" w:space="0" w:color="auto"/>
              <w:right w:val="single" w:sz="4" w:space="0" w:color="FFFFFF" w:themeColor="background1"/>
            </w:tcBorders>
          </w:tcPr>
          <w:p w14:paraId="0EEF9BC1" w14:textId="4BDECEDF" w:rsidR="0082133B" w:rsidRDefault="00D411CB" w:rsidP="00D7547F">
            <w:pPr>
              <w:jc w:val="center"/>
              <w:rPr>
                <w:rFonts w:ascii="Calibri" w:hAnsi="Calibri"/>
                <w:sz w:val="18"/>
                <w:szCs w:val="18"/>
              </w:rPr>
            </w:pPr>
            <w:r>
              <w:rPr>
                <w:rFonts w:ascii="Calibri" w:hAnsi="Calibri"/>
                <w:sz w:val="18"/>
                <w:szCs w:val="18"/>
              </w:rPr>
              <w:t>2012</w:t>
            </w:r>
          </w:p>
        </w:tc>
        <w:tc>
          <w:tcPr>
            <w:tcW w:w="7796" w:type="dxa"/>
            <w:tcBorders>
              <w:left w:val="single" w:sz="4" w:space="0" w:color="FFFFFF" w:themeColor="background1"/>
              <w:bottom w:val="single" w:sz="12" w:space="0" w:color="auto"/>
              <w:right w:val="single" w:sz="4" w:space="0" w:color="FFFFFF" w:themeColor="background1"/>
            </w:tcBorders>
          </w:tcPr>
          <w:p w14:paraId="5075F8C7" w14:textId="7D98B102" w:rsidR="00D411CB" w:rsidRDefault="00D411CB" w:rsidP="00E64DAC">
            <w:pPr>
              <w:pStyle w:val="ListParagraph"/>
              <w:numPr>
                <w:ilvl w:val="0"/>
                <w:numId w:val="15"/>
              </w:numPr>
              <w:ind w:left="170" w:hanging="170"/>
              <w:rPr>
                <w:rFonts w:ascii="Calibri" w:hAnsi="Calibri"/>
                <w:sz w:val="18"/>
                <w:szCs w:val="18"/>
              </w:rPr>
            </w:pPr>
            <w:r>
              <w:rPr>
                <w:rFonts w:ascii="Calibri" w:hAnsi="Calibri"/>
                <w:sz w:val="18"/>
                <w:szCs w:val="18"/>
              </w:rPr>
              <w:t xml:space="preserve">This update to IARC 2011 and Wilson </w:t>
            </w:r>
            <w:r>
              <w:rPr>
                <w:rFonts w:ascii="Calibri" w:hAnsi="Calibri"/>
                <w:i/>
                <w:sz w:val="18"/>
                <w:szCs w:val="18"/>
              </w:rPr>
              <w:t>et al.</w:t>
            </w:r>
            <w:r>
              <w:rPr>
                <w:rFonts w:ascii="Calibri" w:hAnsi="Calibri"/>
                <w:sz w:val="18"/>
                <w:szCs w:val="18"/>
              </w:rPr>
              <w:t xml:space="preserve"> 2012 found that a 10% increase in tobacco price:</w:t>
            </w:r>
          </w:p>
          <w:p w14:paraId="089CDB20" w14:textId="3FBC1674" w:rsidR="00D411CB" w:rsidRDefault="00D411CB" w:rsidP="00E64DAC">
            <w:pPr>
              <w:pStyle w:val="ListParagraph"/>
              <w:numPr>
                <w:ilvl w:val="0"/>
                <w:numId w:val="11"/>
              </w:numPr>
              <w:ind w:left="340" w:hanging="170"/>
              <w:rPr>
                <w:rFonts w:ascii="Calibri" w:hAnsi="Calibri"/>
                <w:sz w:val="18"/>
                <w:szCs w:val="18"/>
              </w:rPr>
            </w:pPr>
            <w:r>
              <w:rPr>
                <w:rFonts w:ascii="Calibri" w:hAnsi="Calibri"/>
                <w:sz w:val="18"/>
                <w:szCs w:val="18"/>
              </w:rPr>
              <w:t>Reduces total demand of tobacco produc</w:t>
            </w:r>
            <w:r w:rsidR="00797E8E">
              <w:rPr>
                <w:rFonts w:ascii="Calibri" w:hAnsi="Calibri"/>
                <w:sz w:val="18"/>
                <w:szCs w:val="18"/>
              </w:rPr>
              <w:t>ts by 3.7% in adults (IQR = -</w:t>
            </w:r>
            <w:r w:rsidR="00312134">
              <w:rPr>
                <w:rFonts w:ascii="Calibri" w:hAnsi="Calibri"/>
                <w:sz w:val="18"/>
                <w:szCs w:val="18"/>
              </w:rPr>
              <w:t>4.7 to -2.9</w:t>
            </w:r>
            <w:r>
              <w:rPr>
                <w:rFonts w:ascii="Calibri" w:hAnsi="Calibri"/>
                <w:sz w:val="18"/>
                <w:szCs w:val="18"/>
              </w:rPr>
              <w:t>) and 7.4% in young people (i.e.</w:t>
            </w:r>
            <w:r w:rsidR="00AC5ABA">
              <w:rPr>
                <w:rFonts w:ascii="Calibri" w:hAnsi="Calibri"/>
                <w:sz w:val="18"/>
                <w:szCs w:val="18"/>
              </w:rPr>
              <w:t>,</w:t>
            </w:r>
            <w:r>
              <w:rPr>
                <w:rFonts w:ascii="Calibri" w:hAnsi="Calibri"/>
                <w:sz w:val="18"/>
                <w:szCs w:val="18"/>
              </w:rPr>
              <w:t xml:space="preserve"> &lt;30 years of age) (IQR = -</w:t>
            </w:r>
            <w:r w:rsidR="00312134">
              <w:rPr>
                <w:rFonts w:ascii="Calibri" w:hAnsi="Calibri"/>
                <w:sz w:val="18"/>
                <w:szCs w:val="18"/>
              </w:rPr>
              <w:t>11.3 to -5.7</w:t>
            </w:r>
            <w:r>
              <w:rPr>
                <w:rFonts w:ascii="Calibri" w:hAnsi="Calibri"/>
                <w:sz w:val="18"/>
                <w:szCs w:val="18"/>
              </w:rPr>
              <w:t>)</w:t>
            </w:r>
          </w:p>
          <w:p w14:paraId="4E190EFF" w14:textId="1C8AAF64" w:rsidR="00D411CB" w:rsidRDefault="00D411CB" w:rsidP="00E64DAC">
            <w:pPr>
              <w:pStyle w:val="ListParagraph"/>
              <w:numPr>
                <w:ilvl w:val="0"/>
                <w:numId w:val="11"/>
              </w:numPr>
              <w:ind w:left="340" w:hanging="170"/>
              <w:rPr>
                <w:rFonts w:ascii="Calibri" w:hAnsi="Calibri"/>
                <w:sz w:val="18"/>
                <w:szCs w:val="18"/>
              </w:rPr>
            </w:pPr>
            <w:r>
              <w:rPr>
                <w:rFonts w:ascii="Calibri" w:hAnsi="Calibri"/>
                <w:sz w:val="18"/>
                <w:szCs w:val="18"/>
              </w:rPr>
              <w:t xml:space="preserve">Reduces prevalence of tobacco use by 1.8% in adults (IQR = </w:t>
            </w:r>
            <w:r w:rsidR="00312134">
              <w:rPr>
                <w:rFonts w:ascii="Calibri" w:hAnsi="Calibri"/>
                <w:sz w:val="18"/>
                <w:szCs w:val="18"/>
              </w:rPr>
              <w:t>-3.1 to -1.1</w:t>
            </w:r>
            <w:r>
              <w:rPr>
                <w:rFonts w:ascii="Calibri" w:hAnsi="Calibri"/>
                <w:sz w:val="18"/>
                <w:szCs w:val="18"/>
              </w:rPr>
              <w:t xml:space="preserve">) and 3.6% in young people (IQR = </w:t>
            </w:r>
            <w:r w:rsidR="00312134">
              <w:rPr>
                <w:rFonts w:ascii="Calibri" w:hAnsi="Calibri"/>
                <w:sz w:val="18"/>
                <w:szCs w:val="18"/>
              </w:rPr>
              <w:t>-7.3 to -2.4</w:t>
            </w:r>
            <w:r>
              <w:rPr>
                <w:rFonts w:ascii="Calibri" w:hAnsi="Calibri"/>
                <w:sz w:val="18"/>
                <w:szCs w:val="18"/>
              </w:rPr>
              <w:t>)</w:t>
            </w:r>
          </w:p>
          <w:p w14:paraId="788E4683" w14:textId="052E9307" w:rsidR="00D411CB" w:rsidRDefault="00D411CB" w:rsidP="00E64DAC">
            <w:pPr>
              <w:pStyle w:val="ListParagraph"/>
              <w:numPr>
                <w:ilvl w:val="0"/>
                <w:numId w:val="11"/>
              </w:numPr>
              <w:ind w:left="340" w:hanging="170"/>
              <w:rPr>
                <w:rFonts w:ascii="Calibri" w:hAnsi="Calibri"/>
                <w:sz w:val="18"/>
                <w:szCs w:val="18"/>
              </w:rPr>
            </w:pPr>
            <w:r>
              <w:rPr>
                <w:rFonts w:ascii="Calibri" w:hAnsi="Calibri"/>
                <w:sz w:val="18"/>
                <w:szCs w:val="18"/>
              </w:rPr>
              <w:t xml:space="preserve">Increases cessation by 3.75% in adults and 9.3% in young people (IQR = </w:t>
            </w:r>
            <w:r w:rsidR="00312134">
              <w:rPr>
                <w:rFonts w:ascii="Calibri" w:hAnsi="Calibri"/>
                <w:sz w:val="18"/>
                <w:szCs w:val="18"/>
              </w:rPr>
              <w:t>3.7</w:t>
            </w:r>
            <w:r w:rsidR="00797E8E">
              <w:rPr>
                <w:rFonts w:ascii="Calibri" w:hAnsi="Calibri"/>
                <w:sz w:val="18"/>
                <w:szCs w:val="18"/>
              </w:rPr>
              <w:t xml:space="preserve"> to 1</w:t>
            </w:r>
            <w:r>
              <w:rPr>
                <w:rFonts w:ascii="Calibri" w:hAnsi="Calibri"/>
                <w:sz w:val="18"/>
                <w:szCs w:val="18"/>
              </w:rPr>
              <w:t>0)</w:t>
            </w:r>
          </w:p>
          <w:p w14:paraId="0039A395" w14:textId="426B08E6" w:rsidR="0082133B" w:rsidRDefault="00D411CB" w:rsidP="00E64DAC">
            <w:pPr>
              <w:pStyle w:val="ListParagraph"/>
              <w:numPr>
                <w:ilvl w:val="0"/>
                <w:numId w:val="11"/>
              </w:numPr>
              <w:ind w:left="340" w:hanging="170"/>
              <w:rPr>
                <w:rFonts w:ascii="Calibri" w:hAnsi="Calibri"/>
                <w:sz w:val="18"/>
                <w:szCs w:val="18"/>
              </w:rPr>
            </w:pPr>
            <w:r>
              <w:rPr>
                <w:rFonts w:ascii="Calibri" w:hAnsi="Calibri"/>
                <w:sz w:val="18"/>
                <w:szCs w:val="18"/>
              </w:rPr>
              <w:t xml:space="preserve">Reduces initiation by 4.3% in young people (IQR = </w:t>
            </w:r>
            <w:r w:rsidR="00312134">
              <w:rPr>
                <w:rFonts w:ascii="Calibri" w:hAnsi="Calibri"/>
                <w:sz w:val="18"/>
                <w:szCs w:val="18"/>
              </w:rPr>
              <w:t>-9.0 to 0</w:t>
            </w:r>
            <w:r w:rsidR="00AC5ABA">
              <w:rPr>
                <w:rFonts w:ascii="Calibri" w:hAnsi="Calibri"/>
                <w:sz w:val="18"/>
                <w:szCs w:val="18"/>
              </w:rPr>
              <w:t>)</w:t>
            </w:r>
          </w:p>
          <w:p w14:paraId="43B65A65" w14:textId="16E40BFF" w:rsidR="00D411CB" w:rsidRDefault="00D411CB" w:rsidP="00E64DAC">
            <w:pPr>
              <w:pStyle w:val="ListParagraph"/>
              <w:numPr>
                <w:ilvl w:val="0"/>
                <w:numId w:val="12"/>
              </w:numPr>
              <w:ind w:left="170" w:hanging="170"/>
              <w:rPr>
                <w:rFonts w:ascii="Calibri" w:hAnsi="Calibri"/>
                <w:sz w:val="18"/>
                <w:szCs w:val="18"/>
              </w:rPr>
            </w:pPr>
            <w:r>
              <w:rPr>
                <w:rFonts w:ascii="Calibri" w:hAnsi="Calibri"/>
                <w:sz w:val="18"/>
                <w:szCs w:val="18"/>
              </w:rPr>
              <w:t xml:space="preserve">Included studies that did not </w:t>
            </w:r>
            <w:r w:rsidR="00AC5ABA">
              <w:rPr>
                <w:rFonts w:ascii="Calibri" w:hAnsi="Calibri"/>
                <w:sz w:val="18"/>
                <w:szCs w:val="18"/>
              </w:rPr>
              <w:t>evaluate</w:t>
            </w:r>
            <w:r>
              <w:rPr>
                <w:rFonts w:ascii="Calibri" w:hAnsi="Calibri"/>
                <w:sz w:val="18"/>
                <w:szCs w:val="18"/>
              </w:rPr>
              <w:t xml:space="preserve"> price elasticities reported similar findings</w:t>
            </w:r>
            <w:r w:rsidR="00AC5ABA">
              <w:rPr>
                <w:rFonts w:ascii="Calibri" w:hAnsi="Calibri"/>
                <w:sz w:val="18"/>
                <w:szCs w:val="18"/>
              </w:rPr>
              <w:t>, as well as</w:t>
            </w:r>
            <w:r>
              <w:rPr>
                <w:rFonts w:ascii="Calibri" w:hAnsi="Calibri"/>
                <w:sz w:val="18"/>
                <w:szCs w:val="18"/>
              </w:rPr>
              <w:t xml:space="preserve"> reductions in mortality rates from lung cancer and cardiovascular disease</w:t>
            </w:r>
          </w:p>
          <w:p w14:paraId="1936FE67" w14:textId="51050FD5" w:rsidR="00D411CB" w:rsidRDefault="00D411CB" w:rsidP="00E64DAC">
            <w:pPr>
              <w:pStyle w:val="ListParagraph"/>
              <w:numPr>
                <w:ilvl w:val="0"/>
                <w:numId w:val="12"/>
              </w:numPr>
              <w:ind w:left="170" w:hanging="170"/>
              <w:rPr>
                <w:rFonts w:ascii="Calibri" w:hAnsi="Calibri"/>
                <w:sz w:val="18"/>
                <w:szCs w:val="18"/>
              </w:rPr>
            </w:pPr>
            <w:r>
              <w:rPr>
                <w:rFonts w:ascii="Calibri" w:hAnsi="Calibri"/>
                <w:sz w:val="18"/>
                <w:szCs w:val="18"/>
              </w:rPr>
              <w:t xml:space="preserve">Price increases may be more effective in low-income tobacco users </w:t>
            </w:r>
            <w:r w:rsidR="00797E8E">
              <w:rPr>
                <w:rFonts w:ascii="Calibri" w:hAnsi="Calibri"/>
                <w:sz w:val="18"/>
                <w:szCs w:val="18"/>
              </w:rPr>
              <w:t>and Hispanics</w:t>
            </w:r>
          </w:p>
        </w:tc>
        <w:tc>
          <w:tcPr>
            <w:tcW w:w="1333" w:type="dxa"/>
            <w:tcBorders>
              <w:left w:val="single" w:sz="4" w:space="0" w:color="FFFFFF" w:themeColor="background1"/>
              <w:bottom w:val="single" w:sz="12" w:space="0" w:color="auto"/>
              <w:right w:val="single" w:sz="4" w:space="0" w:color="FFFFFF" w:themeColor="background1"/>
            </w:tcBorders>
          </w:tcPr>
          <w:p w14:paraId="6DCA6D3D" w14:textId="109CF160" w:rsidR="0082133B" w:rsidRDefault="00044318">
            <w:pPr>
              <w:rPr>
                <w:rFonts w:ascii="Calibri" w:hAnsi="Calibri"/>
                <w:sz w:val="18"/>
                <w:szCs w:val="18"/>
              </w:rPr>
            </w:pPr>
            <w:r>
              <w:rPr>
                <w:rFonts w:ascii="Calibri" w:hAnsi="Calibri"/>
                <w:sz w:val="18"/>
                <w:szCs w:val="18"/>
              </w:rPr>
              <w:t>3/10 (Authors)</w:t>
            </w:r>
          </w:p>
        </w:tc>
      </w:tr>
      <w:tr w:rsidR="001329EA" w:rsidRPr="005573A3" w14:paraId="61B25345" w14:textId="77777777" w:rsidTr="00AE0D46">
        <w:trPr>
          <w:cantSplit/>
          <w:trHeight w:val="75"/>
          <w:jc w:val="center"/>
        </w:trPr>
        <w:tc>
          <w:tcPr>
            <w:tcW w:w="1172" w:type="dxa"/>
            <w:vMerge/>
            <w:tcBorders>
              <w:left w:val="single" w:sz="4" w:space="0" w:color="FFFFFF" w:themeColor="background1"/>
              <w:right w:val="single" w:sz="4" w:space="0" w:color="FFFFFF" w:themeColor="background1"/>
            </w:tcBorders>
          </w:tcPr>
          <w:p w14:paraId="05BA3819" w14:textId="58D5C8A0" w:rsidR="001329EA" w:rsidRPr="00F0774B" w:rsidRDefault="001329EA">
            <w:pPr>
              <w:rPr>
                <w:rFonts w:ascii="Calibri" w:hAnsi="Calibri"/>
                <w:b/>
                <w:sz w:val="18"/>
                <w:szCs w:val="18"/>
              </w:rPr>
            </w:pPr>
          </w:p>
        </w:tc>
        <w:tc>
          <w:tcPr>
            <w:tcW w:w="1235" w:type="dxa"/>
            <w:tcBorders>
              <w:left w:val="single" w:sz="4" w:space="0" w:color="FFFFFF" w:themeColor="background1"/>
              <w:bottom w:val="single" w:sz="12" w:space="0" w:color="auto"/>
              <w:right w:val="single" w:sz="4" w:space="0" w:color="FFFFFF" w:themeColor="background1"/>
            </w:tcBorders>
          </w:tcPr>
          <w:p w14:paraId="5406D845" w14:textId="560F4EBD" w:rsidR="001329EA" w:rsidRDefault="001329EA" w:rsidP="0043784E">
            <w:pPr>
              <w:pStyle w:val="ListParagraph"/>
              <w:tabs>
                <w:tab w:val="left" w:pos="255"/>
              </w:tabs>
              <w:ind w:left="0"/>
              <w:rPr>
                <w:rFonts w:ascii="Calibri" w:hAnsi="Calibri"/>
                <w:sz w:val="18"/>
                <w:szCs w:val="18"/>
              </w:rPr>
            </w:pPr>
            <w:r>
              <w:rPr>
                <w:rFonts w:ascii="Calibri" w:hAnsi="Calibri"/>
                <w:sz w:val="18"/>
                <w:szCs w:val="18"/>
              </w:rPr>
              <w:t>Guindon  2013</w:t>
            </w:r>
          </w:p>
        </w:tc>
        <w:tc>
          <w:tcPr>
            <w:tcW w:w="992" w:type="dxa"/>
            <w:tcBorders>
              <w:left w:val="single" w:sz="4" w:space="0" w:color="FFFFFF" w:themeColor="background1"/>
              <w:bottom w:val="single" w:sz="12" w:space="0" w:color="auto"/>
              <w:right w:val="single" w:sz="4" w:space="0" w:color="FFFFFF" w:themeColor="background1"/>
            </w:tcBorders>
          </w:tcPr>
          <w:p w14:paraId="25A3A9F5" w14:textId="244C8DE4" w:rsidR="001329EA" w:rsidRDefault="001329EA" w:rsidP="00D7547F">
            <w:pPr>
              <w:jc w:val="center"/>
              <w:rPr>
                <w:rFonts w:ascii="Calibri" w:hAnsi="Calibri"/>
                <w:sz w:val="18"/>
                <w:szCs w:val="18"/>
              </w:rPr>
            </w:pPr>
            <w:r>
              <w:rPr>
                <w:rFonts w:ascii="Calibri" w:hAnsi="Calibri"/>
                <w:sz w:val="18"/>
                <w:szCs w:val="18"/>
              </w:rPr>
              <w:t>27</w:t>
            </w:r>
          </w:p>
        </w:tc>
        <w:tc>
          <w:tcPr>
            <w:tcW w:w="992" w:type="dxa"/>
            <w:tcBorders>
              <w:left w:val="single" w:sz="4" w:space="0" w:color="FFFFFF" w:themeColor="background1"/>
              <w:bottom w:val="single" w:sz="12" w:space="0" w:color="auto"/>
              <w:right w:val="single" w:sz="4" w:space="0" w:color="FFFFFF" w:themeColor="background1"/>
            </w:tcBorders>
          </w:tcPr>
          <w:p w14:paraId="12BBDC25" w14:textId="27EC2684" w:rsidR="001329EA" w:rsidRDefault="001329EA" w:rsidP="00D7547F">
            <w:pPr>
              <w:jc w:val="center"/>
              <w:rPr>
                <w:rFonts w:ascii="Calibri" w:hAnsi="Calibri"/>
                <w:sz w:val="18"/>
                <w:szCs w:val="18"/>
              </w:rPr>
            </w:pPr>
            <w:r>
              <w:rPr>
                <w:rFonts w:ascii="Calibri" w:hAnsi="Calibri"/>
                <w:sz w:val="18"/>
                <w:szCs w:val="18"/>
              </w:rPr>
              <w:t>2012</w:t>
            </w:r>
          </w:p>
        </w:tc>
        <w:tc>
          <w:tcPr>
            <w:tcW w:w="7796" w:type="dxa"/>
            <w:tcBorders>
              <w:left w:val="single" w:sz="4" w:space="0" w:color="FFFFFF" w:themeColor="background1"/>
              <w:bottom w:val="single" w:sz="12" w:space="0" w:color="auto"/>
              <w:right w:val="single" w:sz="4" w:space="0" w:color="FFFFFF" w:themeColor="background1"/>
            </w:tcBorders>
          </w:tcPr>
          <w:p w14:paraId="4BF93D80" w14:textId="298E62C2" w:rsidR="001329EA" w:rsidRDefault="001329EA" w:rsidP="00E64DAC">
            <w:pPr>
              <w:pStyle w:val="ListParagraph"/>
              <w:numPr>
                <w:ilvl w:val="0"/>
                <w:numId w:val="15"/>
              </w:numPr>
              <w:ind w:left="170" w:hanging="170"/>
              <w:rPr>
                <w:rFonts w:ascii="Calibri" w:hAnsi="Calibri"/>
                <w:sz w:val="18"/>
                <w:szCs w:val="18"/>
              </w:rPr>
            </w:pPr>
            <w:r>
              <w:rPr>
                <w:rFonts w:ascii="Calibri" w:hAnsi="Calibri"/>
                <w:sz w:val="18"/>
                <w:szCs w:val="18"/>
              </w:rPr>
              <w:t>The existing evidence on the effect of tobacco price increases or taxation on smoking onset (i.e., transition between never smoking and smoking) is insufficient due to methodological limitations</w:t>
            </w:r>
          </w:p>
        </w:tc>
        <w:tc>
          <w:tcPr>
            <w:tcW w:w="1333" w:type="dxa"/>
            <w:tcBorders>
              <w:left w:val="single" w:sz="4" w:space="0" w:color="FFFFFF" w:themeColor="background1"/>
              <w:bottom w:val="single" w:sz="12" w:space="0" w:color="auto"/>
              <w:right w:val="single" w:sz="4" w:space="0" w:color="FFFFFF" w:themeColor="background1"/>
            </w:tcBorders>
          </w:tcPr>
          <w:p w14:paraId="33B92AF9" w14:textId="24445682" w:rsidR="001329EA" w:rsidRDefault="00C520D7">
            <w:pPr>
              <w:rPr>
                <w:rFonts w:ascii="Calibri" w:hAnsi="Calibri"/>
                <w:sz w:val="18"/>
                <w:szCs w:val="18"/>
              </w:rPr>
            </w:pPr>
            <w:r>
              <w:rPr>
                <w:rFonts w:ascii="Calibri" w:hAnsi="Calibri"/>
                <w:sz w:val="18"/>
                <w:szCs w:val="18"/>
              </w:rPr>
              <w:t>5/10 (Authors)</w:t>
            </w:r>
          </w:p>
        </w:tc>
      </w:tr>
      <w:tr w:rsidR="001329EA" w:rsidRPr="005573A3" w14:paraId="724BE663" w14:textId="77777777" w:rsidTr="00A923F0">
        <w:trPr>
          <w:cantSplit/>
          <w:trHeight w:val="75"/>
          <w:jc w:val="center"/>
        </w:trPr>
        <w:tc>
          <w:tcPr>
            <w:tcW w:w="1172" w:type="dxa"/>
            <w:vMerge w:val="restart"/>
            <w:tcBorders>
              <w:top w:val="single" w:sz="12" w:space="0" w:color="auto"/>
              <w:left w:val="single" w:sz="4" w:space="0" w:color="FFFFFF" w:themeColor="background1"/>
              <w:right w:val="single" w:sz="4" w:space="0" w:color="FFFFFF" w:themeColor="background1"/>
            </w:tcBorders>
          </w:tcPr>
          <w:p w14:paraId="7309BFD0" w14:textId="224CC541" w:rsidR="001329EA" w:rsidRPr="00AA16D1" w:rsidRDefault="001329EA" w:rsidP="00872BEE">
            <w:pPr>
              <w:rPr>
                <w:rFonts w:ascii="Calibri" w:hAnsi="Calibri"/>
                <w:b/>
                <w:sz w:val="18"/>
                <w:szCs w:val="18"/>
              </w:rPr>
            </w:pPr>
            <w:r>
              <w:rPr>
                <w:rFonts w:ascii="Calibri" w:hAnsi="Calibri"/>
                <w:b/>
                <w:sz w:val="18"/>
                <w:szCs w:val="18"/>
              </w:rPr>
              <w:t>Restrict sales to minors</w:t>
            </w:r>
          </w:p>
        </w:tc>
        <w:tc>
          <w:tcPr>
            <w:tcW w:w="1235" w:type="dxa"/>
            <w:tcBorders>
              <w:top w:val="single" w:sz="12" w:space="0" w:color="auto"/>
              <w:left w:val="single" w:sz="4" w:space="0" w:color="FFFFFF" w:themeColor="background1"/>
              <w:right w:val="single" w:sz="4" w:space="0" w:color="FFFFFF" w:themeColor="background1"/>
            </w:tcBorders>
          </w:tcPr>
          <w:p w14:paraId="5810858C" w14:textId="2EFC8656" w:rsidR="001329EA" w:rsidRPr="009C48CE" w:rsidRDefault="001329EA" w:rsidP="004C4F33">
            <w:pPr>
              <w:rPr>
                <w:rFonts w:ascii="Calibri" w:hAnsi="Calibri"/>
                <w:sz w:val="18"/>
                <w:szCs w:val="18"/>
              </w:rPr>
            </w:pPr>
            <w:r>
              <w:rPr>
                <w:rFonts w:ascii="Calibri" w:hAnsi="Calibri"/>
                <w:sz w:val="18"/>
                <w:szCs w:val="18"/>
              </w:rPr>
              <w:t>Willemsen &amp; de Zwart 1999</w:t>
            </w:r>
          </w:p>
        </w:tc>
        <w:tc>
          <w:tcPr>
            <w:tcW w:w="992" w:type="dxa"/>
            <w:tcBorders>
              <w:top w:val="single" w:sz="12" w:space="0" w:color="auto"/>
              <w:left w:val="single" w:sz="4" w:space="0" w:color="FFFFFF" w:themeColor="background1"/>
              <w:right w:val="single" w:sz="4" w:space="0" w:color="FFFFFF" w:themeColor="background1"/>
            </w:tcBorders>
            <w:shd w:val="clear" w:color="auto" w:fill="auto"/>
          </w:tcPr>
          <w:p w14:paraId="0CE036C9" w14:textId="43CFB837" w:rsidR="001329EA" w:rsidRDefault="001329EA" w:rsidP="00D7547F">
            <w:pPr>
              <w:jc w:val="center"/>
              <w:rPr>
                <w:rFonts w:ascii="Calibri" w:hAnsi="Calibri"/>
                <w:sz w:val="18"/>
                <w:szCs w:val="18"/>
              </w:rPr>
            </w:pPr>
            <w:r>
              <w:rPr>
                <w:rFonts w:ascii="Calibri" w:hAnsi="Calibri"/>
                <w:sz w:val="18"/>
                <w:szCs w:val="18"/>
              </w:rPr>
              <w:t>?</w:t>
            </w:r>
          </w:p>
        </w:tc>
        <w:tc>
          <w:tcPr>
            <w:tcW w:w="992" w:type="dxa"/>
            <w:tcBorders>
              <w:top w:val="single" w:sz="12" w:space="0" w:color="auto"/>
              <w:left w:val="single" w:sz="4" w:space="0" w:color="FFFFFF" w:themeColor="background1"/>
              <w:right w:val="single" w:sz="4" w:space="0" w:color="FFFFFF" w:themeColor="background1"/>
            </w:tcBorders>
          </w:tcPr>
          <w:p w14:paraId="10A27837" w14:textId="3C9733CE" w:rsidR="001329EA" w:rsidRDefault="001329EA" w:rsidP="00D7547F">
            <w:pPr>
              <w:jc w:val="center"/>
              <w:rPr>
                <w:rFonts w:ascii="Calibri" w:hAnsi="Calibri"/>
                <w:sz w:val="18"/>
                <w:szCs w:val="18"/>
              </w:rPr>
            </w:pPr>
            <w:r>
              <w:rPr>
                <w:rFonts w:ascii="Calibri" w:hAnsi="Calibri"/>
                <w:sz w:val="18"/>
                <w:szCs w:val="18"/>
              </w:rPr>
              <w:t>1998</w:t>
            </w:r>
          </w:p>
        </w:tc>
        <w:tc>
          <w:tcPr>
            <w:tcW w:w="7796" w:type="dxa"/>
            <w:tcBorders>
              <w:top w:val="single" w:sz="12" w:space="0" w:color="auto"/>
              <w:left w:val="single" w:sz="4" w:space="0" w:color="FFFFFF" w:themeColor="background1"/>
              <w:right w:val="single" w:sz="4" w:space="0" w:color="FFFFFF" w:themeColor="background1"/>
            </w:tcBorders>
          </w:tcPr>
          <w:p w14:paraId="044B572F" w14:textId="0A25FB05"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Insufficient evidence exists for the effect of youth access restrictions on smoking behaviour</w:t>
            </w:r>
          </w:p>
          <w:p w14:paraId="43EA9C7D" w14:textId="1DC25448" w:rsidR="001329EA" w:rsidRPr="0097597C"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Age limits on tobacco sales are unrealistic since full compliance among tobacconists is required, which is difficult to maintain</w:t>
            </w:r>
          </w:p>
        </w:tc>
        <w:tc>
          <w:tcPr>
            <w:tcW w:w="1333" w:type="dxa"/>
            <w:tcBorders>
              <w:top w:val="single" w:sz="12" w:space="0" w:color="auto"/>
              <w:left w:val="single" w:sz="4" w:space="0" w:color="FFFFFF" w:themeColor="background1"/>
              <w:right w:val="single" w:sz="4" w:space="0" w:color="FFFFFF" w:themeColor="background1"/>
            </w:tcBorders>
          </w:tcPr>
          <w:p w14:paraId="119DEAF8" w14:textId="28BA51E8" w:rsidR="001329EA" w:rsidRDefault="001329EA">
            <w:pPr>
              <w:rPr>
                <w:rFonts w:ascii="Calibri" w:hAnsi="Calibri"/>
                <w:sz w:val="18"/>
                <w:szCs w:val="18"/>
              </w:rPr>
            </w:pPr>
            <w:r>
              <w:rPr>
                <w:rFonts w:ascii="Calibri" w:hAnsi="Calibri"/>
                <w:sz w:val="18"/>
                <w:szCs w:val="18"/>
              </w:rPr>
              <w:t>2/10 (HE)</w:t>
            </w:r>
          </w:p>
        </w:tc>
      </w:tr>
      <w:tr w:rsidR="001329EA" w:rsidRPr="005573A3" w14:paraId="22830141"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644D2D4C" w14:textId="77777777" w:rsidR="001329EA" w:rsidRDefault="001329EA" w:rsidP="00872BEE">
            <w:pPr>
              <w:rPr>
                <w:rFonts w:ascii="Calibri" w:hAnsi="Calibri"/>
                <w:b/>
                <w:sz w:val="18"/>
                <w:szCs w:val="18"/>
              </w:rPr>
            </w:pPr>
          </w:p>
        </w:tc>
        <w:tc>
          <w:tcPr>
            <w:tcW w:w="1235" w:type="dxa"/>
            <w:tcBorders>
              <w:left w:val="single" w:sz="4" w:space="0" w:color="FFFFFF" w:themeColor="background1"/>
              <w:right w:val="single" w:sz="4" w:space="0" w:color="FFFFFF" w:themeColor="background1"/>
            </w:tcBorders>
          </w:tcPr>
          <w:p w14:paraId="7FCFB5B1" w14:textId="33D1A872" w:rsidR="001329EA" w:rsidRPr="005F0FAB" w:rsidRDefault="001329EA" w:rsidP="00A16911">
            <w:pPr>
              <w:rPr>
                <w:rFonts w:ascii="Calibri" w:hAnsi="Calibri"/>
                <w:sz w:val="18"/>
                <w:szCs w:val="18"/>
              </w:rPr>
            </w:pPr>
            <w:r>
              <w:rPr>
                <w:rFonts w:ascii="Calibri" w:hAnsi="Calibri"/>
                <w:sz w:val="18"/>
                <w:szCs w:val="18"/>
              </w:rPr>
              <w:t xml:space="preserve">Lantz </w:t>
            </w:r>
            <w:r>
              <w:rPr>
                <w:rFonts w:ascii="Calibri" w:hAnsi="Calibri"/>
                <w:i/>
                <w:sz w:val="18"/>
                <w:szCs w:val="18"/>
              </w:rPr>
              <w:t>et al.</w:t>
            </w:r>
            <w:r>
              <w:rPr>
                <w:rFonts w:ascii="Calibri" w:hAnsi="Calibri"/>
                <w:sz w:val="18"/>
                <w:szCs w:val="18"/>
              </w:rPr>
              <w:t xml:space="preserve"> 2000</w:t>
            </w:r>
          </w:p>
        </w:tc>
        <w:tc>
          <w:tcPr>
            <w:tcW w:w="992" w:type="dxa"/>
            <w:tcBorders>
              <w:left w:val="single" w:sz="4" w:space="0" w:color="FFFFFF" w:themeColor="background1"/>
              <w:right w:val="single" w:sz="4" w:space="0" w:color="FFFFFF" w:themeColor="background1"/>
            </w:tcBorders>
            <w:shd w:val="clear" w:color="auto" w:fill="auto"/>
          </w:tcPr>
          <w:p w14:paraId="5E7A3585" w14:textId="12DAFE35" w:rsidR="001329EA" w:rsidRDefault="001329EA" w:rsidP="00D7547F">
            <w:pPr>
              <w:jc w:val="center"/>
              <w:rPr>
                <w:rFonts w:ascii="Calibri" w:hAnsi="Calibri"/>
                <w:sz w:val="18"/>
                <w:szCs w:val="18"/>
              </w:rPr>
            </w:pPr>
            <w:r>
              <w:rPr>
                <w:rFonts w:ascii="Calibri" w:hAnsi="Calibri"/>
                <w:sz w:val="18"/>
                <w:szCs w:val="18"/>
              </w:rPr>
              <w:t>?</w:t>
            </w:r>
          </w:p>
        </w:tc>
        <w:tc>
          <w:tcPr>
            <w:tcW w:w="992" w:type="dxa"/>
            <w:tcBorders>
              <w:left w:val="single" w:sz="4" w:space="0" w:color="FFFFFF" w:themeColor="background1"/>
              <w:right w:val="single" w:sz="4" w:space="0" w:color="FFFFFF" w:themeColor="background1"/>
            </w:tcBorders>
          </w:tcPr>
          <w:p w14:paraId="116410A7" w14:textId="76570421" w:rsidR="001329EA" w:rsidRDefault="001329EA" w:rsidP="00D7547F">
            <w:pPr>
              <w:jc w:val="center"/>
              <w:rPr>
                <w:rFonts w:ascii="Calibri" w:hAnsi="Calibri"/>
                <w:sz w:val="18"/>
                <w:szCs w:val="18"/>
              </w:rPr>
            </w:pPr>
            <w:r>
              <w:rPr>
                <w:rFonts w:ascii="Calibri" w:hAnsi="Calibri"/>
                <w:sz w:val="18"/>
                <w:szCs w:val="18"/>
              </w:rPr>
              <w:t>?</w:t>
            </w:r>
          </w:p>
        </w:tc>
        <w:tc>
          <w:tcPr>
            <w:tcW w:w="7796" w:type="dxa"/>
            <w:tcBorders>
              <w:left w:val="single" w:sz="4" w:space="0" w:color="FFFFFF" w:themeColor="background1"/>
              <w:right w:val="single" w:sz="4" w:space="0" w:color="FFFFFF" w:themeColor="background1"/>
            </w:tcBorders>
          </w:tcPr>
          <w:p w14:paraId="46DF8845" w14:textId="2A37D4CE"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The effect of youth access restrictions on youth smoking behaviour is unclear</w:t>
            </w:r>
          </w:p>
        </w:tc>
        <w:tc>
          <w:tcPr>
            <w:tcW w:w="1333" w:type="dxa"/>
            <w:tcBorders>
              <w:left w:val="single" w:sz="4" w:space="0" w:color="FFFFFF" w:themeColor="background1"/>
              <w:right w:val="single" w:sz="4" w:space="0" w:color="FFFFFF" w:themeColor="background1"/>
            </w:tcBorders>
            <w:shd w:val="clear" w:color="auto" w:fill="auto"/>
          </w:tcPr>
          <w:p w14:paraId="0A0FFDA9" w14:textId="0EE501C2" w:rsidR="001329EA" w:rsidRDefault="001329EA" w:rsidP="005F0FAB">
            <w:pPr>
              <w:rPr>
                <w:rFonts w:ascii="Calibri" w:hAnsi="Calibri"/>
                <w:sz w:val="18"/>
                <w:szCs w:val="18"/>
              </w:rPr>
            </w:pPr>
            <w:r>
              <w:rPr>
                <w:rFonts w:ascii="Calibri" w:hAnsi="Calibri"/>
                <w:sz w:val="18"/>
                <w:szCs w:val="18"/>
              </w:rPr>
              <w:t>1/10 (Authors)</w:t>
            </w:r>
          </w:p>
        </w:tc>
      </w:tr>
      <w:tr w:rsidR="001329EA" w:rsidRPr="005573A3" w14:paraId="04146FB8"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34536545" w14:textId="595C523E" w:rsidR="001329EA" w:rsidRPr="00F0774B" w:rsidRDefault="001329EA">
            <w:pPr>
              <w:rPr>
                <w:rFonts w:ascii="Calibri" w:hAnsi="Calibri"/>
                <w:b/>
                <w:i/>
                <w:sz w:val="18"/>
                <w:szCs w:val="18"/>
              </w:rPr>
            </w:pPr>
          </w:p>
        </w:tc>
        <w:tc>
          <w:tcPr>
            <w:tcW w:w="1235" w:type="dxa"/>
            <w:tcBorders>
              <w:left w:val="single" w:sz="4" w:space="0" w:color="FFFFFF" w:themeColor="background1"/>
              <w:right w:val="single" w:sz="4" w:space="0" w:color="FFFFFF" w:themeColor="background1"/>
            </w:tcBorders>
          </w:tcPr>
          <w:p w14:paraId="7E60DB88" w14:textId="0281261A" w:rsidR="001329EA" w:rsidRPr="009C48CE" w:rsidRDefault="001329EA" w:rsidP="004C4F33">
            <w:pPr>
              <w:rPr>
                <w:rFonts w:ascii="Calibri" w:hAnsi="Calibri"/>
                <w:i/>
                <w:sz w:val="18"/>
                <w:szCs w:val="18"/>
              </w:rPr>
            </w:pPr>
            <w:r w:rsidRPr="009C48CE">
              <w:rPr>
                <w:rFonts w:ascii="Calibri" w:hAnsi="Calibri"/>
                <w:sz w:val="18"/>
                <w:szCs w:val="18"/>
              </w:rPr>
              <w:t xml:space="preserve">Fichtenberg </w:t>
            </w:r>
            <w:r>
              <w:rPr>
                <w:rFonts w:ascii="Calibri" w:hAnsi="Calibri"/>
                <w:sz w:val="18"/>
                <w:szCs w:val="18"/>
              </w:rPr>
              <w:t>&amp;</w:t>
            </w:r>
            <w:r w:rsidRPr="009C48CE">
              <w:rPr>
                <w:rFonts w:ascii="Calibri" w:hAnsi="Calibri"/>
                <w:sz w:val="18"/>
                <w:szCs w:val="18"/>
              </w:rPr>
              <w:t xml:space="preserve"> Glantz 2002</w:t>
            </w:r>
            <w:r>
              <w:rPr>
                <w:rFonts w:ascii="Calibri" w:hAnsi="Calibri"/>
                <w:sz w:val="18"/>
                <w:szCs w:val="18"/>
              </w:rPr>
              <w:t>b</w:t>
            </w:r>
          </w:p>
        </w:tc>
        <w:tc>
          <w:tcPr>
            <w:tcW w:w="992" w:type="dxa"/>
            <w:tcBorders>
              <w:left w:val="single" w:sz="4" w:space="0" w:color="FFFFFF" w:themeColor="background1"/>
              <w:right w:val="single" w:sz="4" w:space="0" w:color="FFFFFF" w:themeColor="background1"/>
            </w:tcBorders>
          </w:tcPr>
          <w:p w14:paraId="20C7BF0D" w14:textId="0A7CB623" w:rsidR="001329EA" w:rsidRDefault="001329EA" w:rsidP="00D7547F">
            <w:pPr>
              <w:jc w:val="center"/>
              <w:rPr>
                <w:rFonts w:ascii="Calibri" w:hAnsi="Calibri"/>
                <w:sz w:val="18"/>
                <w:szCs w:val="18"/>
              </w:rPr>
            </w:pPr>
            <w:r>
              <w:rPr>
                <w:rFonts w:ascii="Calibri" w:hAnsi="Calibri"/>
                <w:sz w:val="18"/>
                <w:szCs w:val="18"/>
              </w:rPr>
              <w:t>8</w:t>
            </w:r>
          </w:p>
        </w:tc>
        <w:tc>
          <w:tcPr>
            <w:tcW w:w="992" w:type="dxa"/>
            <w:tcBorders>
              <w:left w:val="single" w:sz="4" w:space="0" w:color="FFFFFF" w:themeColor="background1"/>
              <w:right w:val="single" w:sz="4" w:space="0" w:color="FFFFFF" w:themeColor="background1"/>
            </w:tcBorders>
          </w:tcPr>
          <w:p w14:paraId="0D650B67" w14:textId="697AA2E3" w:rsidR="001329EA" w:rsidRPr="005573A3" w:rsidRDefault="001329EA" w:rsidP="00D7547F">
            <w:pPr>
              <w:jc w:val="center"/>
              <w:rPr>
                <w:rFonts w:ascii="Calibri" w:hAnsi="Calibri"/>
                <w:sz w:val="18"/>
                <w:szCs w:val="18"/>
              </w:rPr>
            </w:pPr>
            <w:r>
              <w:rPr>
                <w:rFonts w:ascii="Calibri" w:hAnsi="Calibri"/>
                <w:sz w:val="18"/>
                <w:szCs w:val="18"/>
              </w:rPr>
              <w:t>2001</w:t>
            </w:r>
          </w:p>
        </w:tc>
        <w:tc>
          <w:tcPr>
            <w:tcW w:w="7796" w:type="dxa"/>
            <w:tcBorders>
              <w:left w:val="single" w:sz="4" w:space="0" w:color="FFFFFF" w:themeColor="background1"/>
              <w:right w:val="single" w:sz="4" w:space="0" w:color="FFFFFF" w:themeColor="background1"/>
            </w:tcBorders>
          </w:tcPr>
          <w:p w14:paraId="0D44D68E" w14:textId="77777777"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Youth access interventions do not affect youth smoking prevalence</w:t>
            </w:r>
          </w:p>
          <w:p w14:paraId="24E7AD3A" w14:textId="77777777"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Merchant compliance and increases in compliance with youth access laws are not associated with 30-day or regular teen smoking prevalence</w:t>
            </w:r>
          </w:p>
          <w:p w14:paraId="6FFB9203" w14:textId="13A081DD" w:rsidR="001329EA" w:rsidRPr="0097597C"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S</w:t>
            </w:r>
            <w:r w:rsidRPr="0097597C">
              <w:rPr>
                <w:rFonts w:ascii="Calibri" w:hAnsi="Calibri"/>
                <w:sz w:val="18"/>
                <w:szCs w:val="18"/>
              </w:rPr>
              <w:t xml:space="preserve">moking prevalence </w:t>
            </w:r>
            <w:r>
              <w:rPr>
                <w:rFonts w:ascii="Calibri" w:hAnsi="Calibri"/>
                <w:sz w:val="18"/>
                <w:szCs w:val="18"/>
              </w:rPr>
              <w:t xml:space="preserve">among youths </w:t>
            </w:r>
            <w:r w:rsidRPr="0097597C">
              <w:rPr>
                <w:rFonts w:ascii="Calibri" w:hAnsi="Calibri"/>
                <w:sz w:val="18"/>
                <w:szCs w:val="18"/>
              </w:rPr>
              <w:t xml:space="preserve">does not differ between communities with youth access restrictions and </w:t>
            </w:r>
            <w:r>
              <w:rPr>
                <w:rFonts w:ascii="Calibri" w:hAnsi="Calibri"/>
                <w:sz w:val="18"/>
                <w:szCs w:val="18"/>
              </w:rPr>
              <w:t>communities</w:t>
            </w:r>
            <w:r w:rsidRPr="0097597C">
              <w:rPr>
                <w:rFonts w:ascii="Calibri" w:hAnsi="Calibri"/>
                <w:sz w:val="18"/>
                <w:szCs w:val="18"/>
              </w:rPr>
              <w:t xml:space="preserve"> without such restrictions</w:t>
            </w:r>
          </w:p>
        </w:tc>
        <w:tc>
          <w:tcPr>
            <w:tcW w:w="1333" w:type="dxa"/>
            <w:tcBorders>
              <w:left w:val="single" w:sz="4" w:space="0" w:color="FFFFFF" w:themeColor="background1"/>
              <w:right w:val="single" w:sz="4" w:space="0" w:color="FFFFFF" w:themeColor="background1"/>
            </w:tcBorders>
          </w:tcPr>
          <w:p w14:paraId="211D8217" w14:textId="7327D1B1" w:rsidR="001329EA" w:rsidRPr="005573A3" w:rsidRDefault="001329EA" w:rsidP="00344E27">
            <w:pPr>
              <w:rPr>
                <w:rFonts w:ascii="Calibri" w:hAnsi="Calibri"/>
                <w:sz w:val="18"/>
                <w:szCs w:val="18"/>
              </w:rPr>
            </w:pPr>
            <w:r>
              <w:rPr>
                <w:rFonts w:ascii="Calibri" w:hAnsi="Calibri"/>
                <w:sz w:val="18"/>
                <w:szCs w:val="18"/>
              </w:rPr>
              <w:t>5/10 (HE)</w:t>
            </w:r>
          </w:p>
        </w:tc>
      </w:tr>
      <w:tr w:rsidR="001329EA" w:rsidRPr="005573A3" w14:paraId="0A5F2215"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7C2486D1" w14:textId="031A5B8A" w:rsidR="001329EA" w:rsidRPr="00F0774B" w:rsidRDefault="001329EA">
            <w:pPr>
              <w:rPr>
                <w:rFonts w:ascii="Calibri" w:hAnsi="Calibri"/>
                <w:b/>
                <w:i/>
                <w:sz w:val="18"/>
                <w:szCs w:val="18"/>
              </w:rPr>
            </w:pPr>
          </w:p>
        </w:tc>
        <w:tc>
          <w:tcPr>
            <w:tcW w:w="1235" w:type="dxa"/>
            <w:tcBorders>
              <w:left w:val="single" w:sz="4" w:space="0" w:color="FFFFFF" w:themeColor="background1"/>
              <w:right w:val="single" w:sz="4" w:space="0" w:color="FFFFFF" w:themeColor="background1"/>
            </w:tcBorders>
          </w:tcPr>
          <w:p w14:paraId="2054E8E7" w14:textId="59A47766" w:rsidR="001329EA" w:rsidRPr="00EC2A13" w:rsidRDefault="001329EA" w:rsidP="004C4F33">
            <w:pPr>
              <w:pStyle w:val="ListParagraph"/>
              <w:tabs>
                <w:tab w:val="left" w:pos="255"/>
              </w:tabs>
              <w:ind w:left="0"/>
              <w:rPr>
                <w:rFonts w:ascii="Calibri" w:hAnsi="Calibri"/>
                <w:sz w:val="18"/>
                <w:szCs w:val="18"/>
              </w:rPr>
            </w:pPr>
            <w:r>
              <w:rPr>
                <w:rFonts w:ascii="Calibri" w:hAnsi="Calibri"/>
                <w:sz w:val="18"/>
                <w:szCs w:val="18"/>
              </w:rPr>
              <w:t>Stead &amp; Lancaster 2005</w:t>
            </w:r>
          </w:p>
        </w:tc>
        <w:tc>
          <w:tcPr>
            <w:tcW w:w="992" w:type="dxa"/>
            <w:tcBorders>
              <w:left w:val="single" w:sz="4" w:space="0" w:color="FFFFFF" w:themeColor="background1"/>
              <w:right w:val="single" w:sz="4" w:space="0" w:color="FFFFFF" w:themeColor="background1"/>
            </w:tcBorders>
          </w:tcPr>
          <w:p w14:paraId="52A91246" w14:textId="48EEB801" w:rsidR="001329EA" w:rsidRDefault="001329EA" w:rsidP="00D7547F">
            <w:pPr>
              <w:jc w:val="center"/>
              <w:rPr>
                <w:rFonts w:ascii="Calibri" w:hAnsi="Calibri"/>
                <w:sz w:val="18"/>
                <w:szCs w:val="18"/>
              </w:rPr>
            </w:pPr>
            <w:r>
              <w:rPr>
                <w:rFonts w:ascii="Calibri" w:hAnsi="Calibri"/>
                <w:sz w:val="18"/>
                <w:szCs w:val="18"/>
              </w:rPr>
              <w:t>35</w:t>
            </w:r>
          </w:p>
        </w:tc>
        <w:tc>
          <w:tcPr>
            <w:tcW w:w="992" w:type="dxa"/>
            <w:tcBorders>
              <w:left w:val="single" w:sz="4" w:space="0" w:color="FFFFFF" w:themeColor="background1"/>
              <w:right w:val="single" w:sz="4" w:space="0" w:color="FFFFFF" w:themeColor="background1"/>
            </w:tcBorders>
          </w:tcPr>
          <w:p w14:paraId="2E07A98D" w14:textId="29F90E5F" w:rsidR="001329EA" w:rsidRPr="005573A3" w:rsidRDefault="001329EA" w:rsidP="00D7547F">
            <w:pPr>
              <w:jc w:val="center"/>
              <w:rPr>
                <w:rFonts w:ascii="Calibri" w:hAnsi="Calibri"/>
                <w:sz w:val="18"/>
                <w:szCs w:val="18"/>
              </w:rPr>
            </w:pPr>
            <w:r>
              <w:rPr>
                <w:rFonts w:ascii="Calibri" w:hAnsi="Calibri"/>
                <w:sz w:val="18"/>
                <w:szCs w:val="18"/>
              </w:rPr>
              <w:t>2008</w:t>
            </w:r>
          </w:p>
        </w:tc>
        <w:tc>
          <w:tcPr>
            <w:tcW w:w="7796" w:type="dxa"/>
            <w:tcBorders>
              <w:left w:val="single" w:sz="4" w:space="0" w:color="FFFFFF" w:themeColor="background1"/>
              <w:right w:val="single" w:sz="4" w:space="0" w:color="FFFFFF" w:themeColor="background1"/>
            </w:tcBorders>
          </w:tcPr>
          <w:p w14:paraId="345D4EC1" w14:textId="77777777"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Youth access interventions can reduce illegal tobacco sales to youths, especially if they involve active enforcement instead of only education</w:t>
            </w:r>
          </w:p>
          <w:p w14:paraId="77004F46" w14:textId="06612A3D"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Mixed evidence exists for youth access interventions </w:t>
            </w:r>
            <w:r>
              <w:rPr>
                <w:rFonts w:ascii="Calibri" w:hAnsi="Calibri"/>
                <w:sz w:val="18"/>
                <w:szCs w:val="18"/>
              </w:rPr>
              <w:t>on</w:t>
            </w:r>
            <w:r w:rsidRPr="0097597C">
              <w:rPr>
                <w:rFonts w:ascii="Calibri" w:hAnsi="Calibri"/>
                <w:sz w:val="18"/>
                <w:szCs w:val="18"/>
              </w:rPr>
              <w:t xml:space="preserve"> youth smoking prevalence and perceptions of ease of access to tobacco</w:t>
            </w:r>
          </w:p>
        </w:tc>
        <w:tc>
          <w:tcPr>
            <w:tcW w:w="1333" w:type="dxa"/>
            <w:tcBorders>
              <w:left w:val="single" w:sz="4" w:space="0" w:color="FFFFFF" w:themeColor="background1"/>
              <w:right w:val="single" w:sz="4" w:space="0" w:color="FFFFFF" w:themeColor="background1"/>
            </w:tcBorders>
          </w:tcPr>
          <w:p w14:paraId="61EE3474" w14:textId="69B9F98D" w:rsidR="001329EA" w:rsidRPr="005573A3" w:rsidRDefault="001329EA" w:rsidP="00344E27">
            <w:pPr>
              <w:rPr>
                <w:rFonts w:ascii="Calibri" w:hAnsi="Calibri"/>
                <w:sz w:val="18"/>
                <w:szCs w:val="18"/>
              </w:rPr>
            </w:pPr>
            <w:r>
              <w:rPr>
                <w:rFonts w:ascii="Calibri" w:hAnsi="Calibri"/>
                <w:sz w:val="18"/>
                <w:szCs w:val="18"/>
              </w:rPr>
              <w:t>7/10 (HE)</w:t>
            </w:r>
          </w:p>
        </w:tc>
      </w:tr>
      <w:tr w:rsidR="001329EA" w:rsidRPr="005573A3" w14:paraId="0F160AAF"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451D557D" w14:textId="77777777" w:rsidR="001329EA" w:rsidRPr="00F0774B" w:rsidRDefault="001329EA">
            <w:pPr>
              <w:rPr>
                <w:rFonts w:ascii="Calibri" w:hAnsi="Calibri"/>
                <w:b/>
                <w:i/>
                <w:sz w:val="18"/>
                <w:szCs w:val="18"/>
              </w:rPr>
            </w:pPr>
          </w:p>
        </w:tc>
        <w:tc>
          <w:tcPr>
            <w:tcW w:w="1235" w:type="dxa"/>
            <w:tcBorders>
              <w:left w:val="single" w:sz="4" w:space="0" w:color="FFFFFF" w:themeColor="background1"/>
              <w:right w:val="single" w:sz="4" w:space="0" w:color="FFFFFF" w:themeColor="background1"/>
            </w:tcBorders>
          </w:tcPr>
          <w:p w14:paraId="116580D1" w14:textId="0D37F66F" w:rsidR="001329EA" w:rsidRPr="00872BEE" w:rsidRDefault="001329EA" w:rsidP="00EC2A13">
            <w:pPr>
              <w:pStyle w:val="ListParagraph"/>
              <w:tabs>
                <w:tab w:val="left" w:pos="255"/>
              </w:tabs>
              <w:ind w:left="0"/>
              <w:rPr>
                <w:rFonts w:ascii="Calibri" w:hAnsi="Calibri"/>
                <w:sz w:val="18"/>
                <w:szCs w:val="18"/>
              </w:rPr>
            </w:pPr>
            <w:r>
              <w:rPr>
                <w:rFonts w:ascii="Calibri" w:hAnsi="Calibri"/>
                <w:sz w:val="18"/>
                <w:szCs w:val="18"/>
              </w:rPr>
              <w:t xml:space="preserve">Greaves </w:t>
            </w:r>
            <w:r>
              <w:rPr>
                <w:rFonts w:ascii="Calibri" w:hAnsi="Calibri"/>
                <w:i/>
                <w:sz w:val="18"/>
                <w:szCs w:val="18"/>
              </w:rPr>
              <w:t>et al.</w:t>
            </w:r>
            <w:r>
              <w:rPr>
                <w:rFonts w:ascii="Calibri" w:hAnsi="Calibri"/>
                <w:sz w:val="18"/>
                <w:szCs w:val="18"/>
              </w:rPr>
              <w:t xml:space="preserve"> 2006</w:t>
            </w:r>
          </w:p>
        </w:tc>
        <w:tc>
          <w:tcPr>
            <w:tcW w:w="992" w:type="dxa"/>
            <w:tcBorders>
              <w:left w:val="single" w:sz="4" w:space="0" w:color="FFFFFF" w:themeColor="background1"/>
              <w:right w:val="single" w:sz="4" w:space="0" w:color="FFFFFF" w:themeColor="background1"/>
            </w:tcBorders>
            <w:shd w:val="clear" w:color="auto" w:fill="auto"/>
          </w:tcPr>
          <w:p w14:paraId="7E0B94AF" w14:textId="77A768E8" w:rsidR="001329EA" w:rsidRDefault="001329EA" w:rsidP="00D7547F">
            <w:pPr>
              <w:jc w:val="center"/>
              <w:rPr>
                <w:rFonts w:ascii="Calibri" w:hAnsi="Calibri"/>
                <w:sz w:val="18"/>
                <w:szCs w:val="18"/>
              </w:rPr>
            </w:pPr>
            <w:r>
              <w:rPr>
                <w:rFonts w:ascii="Calibri" w:hAnsi="Calibri"/>
                <w:sz w:val="18"/>
                <w:szCs w:val="18"/>
              </w:rPr>
              <w:t>24</w:t>
            </w:r>
          </w:p>
        </w:tc>
        <w:tc>
          <w:tcPr>
            <w:tcW w:w="992" w:type="dxa"/>
            <w:tcBorders>
              <w:left w:val="single" w:sz="4" w:space="0" w:color="FFFFFF" w:themeColor="background1"/>
              <w:right w:val="single" w:sz="4" w:space="0" w:color="FFFFFF" w:themeColor="background1"/>
            </w:tcBorders>
          </w:tcPr>
          <w:p w14:paraId="1D53F7B6" w14:textId="02893037" w:rsidR="001329EA" w:rsidRDefault="001329EA" w:rsidP="00D7547F">
            <w:pPr>
              <w:jc w:val="center"/>
              <w:rPr>
                <w:rFonts w:ascii="Calibri" w:hAnsi="Calibri"/>
                <w:sz w:val="18"/>
                <w:szCs w:val="18"/>
              </w:rPr>
            </w:pPr>
            <w:r>
              <w:rPr>
                <w:rFonts w:ascii="Calibri" w:hAnsi="Calibri"/>
                <w:sz w:val="18"/>
                <w:szCs w:val="18"/>
              </w:rPr>
              <w:t>2004</w:t>
            </w:r>
          </w:p>
        </w:tc>
        <w:tc>
          <w:tcPr>
            <w:tcW w:w="7796" w:type="dxa"/>
            <w:tcBorders>
              <w:left w:val="single" w:sz="4" w:space="0" w:color="FFFFFF" w:themeColor="background1"/>
              <w:right w:val="single" w:sz="4" w:space="0" w:color="FFFFFF" w:themeColor="background1"/>
            </w:tcBorders>
          </w:tcPr>
          <w:p w14:paraId="158D9477" w14:textId="77777777" w:rsidR="001329EA"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Youth access restrictions may reduce the number of successful tobacco purchase attempts by minors, but do not affect the general availability (i.e., from non-commercial sources) of cigarettes</w:t>
            </w:r>
          </w:p>
          <w:p w14:paraId="3952B797" w14:textId="1EA79168" w:rsidR="001329EA" w:rsidRPr="0097597C"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The different effects of sales restrictions in vulnerable populations could not be determined</w:t>
            </w:r>
          </w:p>
        </w:tc>
        <w:tc>
          <w:tcPr>
            <w:tcW w:w="1333" w:type="dxa"/>
            <w:tcBorders>
              <w:left w:val="single" w:sz="4" w:space="0" w:color="FFFFFF" w:themeColor="background1"/>
              <w:right w:val="single" w:sz="4" w:space="0" w:color="FFFFFF" w:themeColor="background1"/>
            </w:tcBorders>
          </w:tcPr>
          <w:p w14:paraId="57811BD8" w14:textId="1D820DF0" w:rsidR="001329EA" w:rsidRDefault="001329EA">
            <w:pPr>
              <w:rPr>
                <w:rFonts w:ascii="Calibri" w:hAnsi="Calibri"/>
                <w:sz w:val="18"/>
                <w:szCs w:val="18"/>
              </w:rPr>
            </w:pPr>
            <w:r>
              <w:rPr>
                <w:rFonts w:ascii="Calibri" w:hAnsi="Calibri"/>
                <w:sz w:val="18"/>
                <w:szCs w:val="18"/>
              </w:rPr>
              <w:t>3/10 (HE)</w:t>
            </w:r>
          </w:p>
        </w:tc>
      </w:tr>
      <w:tr w:rsidR="001329EA" w:rsidRPr="005573A3" w14:paraId="61D8B82E"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2CAC0E87" w14:textId="546AAAE8" w:rsidR="001329EA" w:rsidRPr="00F0774B" w:rsidRDefault="001329EA">
            <w:pPr>
              <w:rPr>
                <w:rFonts w:ascii="Calibri" w:hAnsi="Calibri"/>
                <w:b/>
                <w:i/>
                <w:sz w:val="18"/>
                <w:szCs w:val="18"/>
              </w:rPr>
            </w:pPr>
          </w:p>
        </w:tc>
        <w:tc>
          <w:tcPr>
            <w:tcW w:w="1235" w:type="dxa"/>
            <w:tcBorders>
              <w:left w:val="single" w:sz="4" w:space="0" w:color="FFFFFF" w:themeColor="background1"/>
              <w:right w:val="single" w:sz="4" w:space="0" w:color="FFFFFF" w:themeColor="background1"/>
            </w:tcBorders>
          </w:tcPr>
          <w:p w14:paraId="5FB617B3" w14:textId="36F5ABB5" w:rsidR="001329EA" w:rsidRPr="009C48CE" w:rsidRDefault="001329EA" w:rsidP="00EC2A13">
            <w:pPr>
              <w:pStyle w:val="ListParagraph"/>
              <w:tabs>
                <w:tab w:val="left" w:pos="255"/>
              </w:tabs>
              <w:ind w:left="0"/>
              <w:rPr>
                <w:rFonts w:ascii="Calibri" w:hAnsi="Calibri"/>
                <w:sz w:val="18"/>
                <w:szCs w:val="18"/>
              </w:rPr>
            </w:pPr>
            <w:r w:rsidRPr="009C48CE">
              <w:rPr>
                <w:rFonts w:ascii="Calibri" w:hAnsi="Calibri"/>
                <w:sz w:val="18"/>
                <w:szCs w:val="18"/>
              </w:rPr>
              <w:t xml:space="preserve">Thomas </w:t>
            </w:r>
            <w:r w:rsidRPr="009C48CE">
              <w:rPr>
                <w:rFonts w:ascii="Calibri" w:hAnsi="Calibri"/>
                <w:i/>
                <w:sz w:val="18"/>
                <w:szCs w:val="18"/>
              </w:rPr>
              <w:t>et al</w:t>
            </w:r>
            <w:r>
              <w:rPr>
                <w:rFonts w:ascii="Calibri" w:hAnsi="Calibri"/>
                <w:i/>
                <w:sz w:val="18"/>
                <w:szCs w:val="18"/>
              </w:rPr>
              <w:t>.</w:t>
            </w:r>
            <w:r w:rsidRPr="009C48CE">
              <w:rPr>
                <w:rFonts w:ascii="Calibri" w:hAnsi="Calibri"/>
                <w:sz w:val="18"/>
                <w:szCs w:val="18"/>
              </w:rPr>
              <w:t xml:space="preserve"> 2008</w:t>
            </w:r>
          </w:p>
        </w:tc>
        <w:tc>
          <w:tcPr>
            <w:tcW w:w="992" w:type="dxa"/>
            <w:tcBorders>
              <w:left w:val="single" w:sz="4" w:space="0" w:color="FFFFFF" w:themeColor="background1"/>
              <w:right w:val="single" w:sz="4" w:space="0" w:color="FFFFFF" w:themeColor="background1"/>
            </w:tcBorders>
          </w:tcPr>
          <w:p w14:paraId="13D4DF97" w14:textId="032D9050" w:rsidR="001329EA" w:rsidRDefault="001329EA" w:rsidP="00D7547F">
            <w:pPr>
              <w:jc w:val="center"/>
              <w:rPr>
                <w:rFonts w:ascii="Calibri" w:hAnsi="Calibri"/>
                <w:sz w:val="18"/>
                <w:szCs w:val="18"/>
              </w:rPr>
            </w:pPr>
            <w:r>
              <w:rPr>
                <w:rFonts w:ascii="Calibri" w:hAnsi="Calibri"/>
                <w:sz w:val="18"/>
                <w:szCs w:val="18"/>
              </w:rPr>
              <w:t>13</w:t>
            </w:r>
          </w:p>
        </w:tc>
        <w:tc>
          <w:tcPr>
            <w:tcW w:w="992" w:type="dxa"/>
            <w:tcBorders>
              <w:left w:val="single" w:sz="4" w:space="0" w:color="FFFFFF" w:themeColor="background1"/>
              <w:right w:val="single" w:sz="4" w:space="0" w:color="FFFFFF" w:themeColor="background1"/>
            </w:tcBorders>
          </w:tcPr>
          <w:p w14:paraId="1BB92E50" w14:textId="3B2EF760" w:rsidR="001329EA" w:rsidRPr="005573A3" w:rsidRDefault="001329EA" w:rsidP="00D7547F">
            <w:pPr>
              <w:jc w:val="center"/>
              <w:rPr>
                <w:rFonts w:ascii="Calibri" w:hAnsi="Calibri"/>
                <w:sz w:val="18"/>
                <w:szCs w:val="18"/>
              </w:rPr>
            </w:pPr>
            <w:r>
              <w:rPr>
                <w:rFonts w:ascii="Calibri" w:hAnsi="Calibri"/>
                <w:sz w:val="18"/>
                <w:szCs w:val="18"/>
              </w:rPr>
              <w:t>2006</w:t>
            </w:r>
          </w:p>
        </w:tc>
        <w:tc>
          <w:tcPr>
            <w:tcW w:w="7796" w:type="dxa"/>
            <w:tcBorders>
              <w:left w:val="single" w:sz="4" w:space="0" w:color="FFFFFF" w:themeColor="background1"/>
              <w:right w:val="single" w:sz="4" w:space="0" w:color="FFFFFF" w:themeColor="background1"/>
            </w:tcBorders>
          </w:tcPr>
          <w:p w14:paraId="2A326E1C" w14:textId="14B39AF7"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Restrictions on sales to minors may be more effective in</w:t>
            </w:r>
            <w:r>
              <w:rPr>
                <w:rFonts w:ascii="Calibri" w:hAnsi="Calibri"/>
                <w:sz w:val="18"/>
                <w:szCs w:val="18"/>
              </w:rPr>
              <w:t xml:space="preserve"> reducing cigarette consumption among</w:t>
            </w:r>
            <w:r w:rsidRPr="0097597C">
              <w:rPr>
                <w:rFonts w:ascii="Calibri" w:hAnsi="Calibri"/>
                <w:sz w:val="18"/>
                <w:szCs w:val="18"/>
              </w:rPr>
              <w:t xml:space="preserve"> girls, younger </w:t>
            </w:r>
            <w:r>
              <w:rPr>
                <w:rFonts w:ascii="Calibri" w:hAnsi="Calibri"/>
                <w:sz w:val="18"/>
                <w:szCs w:val="18"/>
              </w:rPr>
              <w:t>students</w:t>
            </w:r>
            <w:r w:rsidRPr="0097597C">
              <w:rPr>
                <w:rFonts w:ascii="Calibri" w:hAnsi="Calibri"/>
                <w:sz w:val="18"/>
                <w:szCs w:val="18"/>
              </w:rPr>
              <w:t xml:space="preserve"> and Caucasians, but results are not consistent across studies</w:t>
            </w:r>
          </w:p>
        </w:tc>
        <w:tc>
          <w:tcPr>
            <w:tcW w:w="1333" w:type="dxa"/>
            <w:tcBorders>
              <w:left w:val="single" w:sz="4" w:space="0" w:color="FFFFFF" w:themeColor="background1"/>
              <w:right w:val="single" w:sz="4" w:space="0" w:color="FFFFFF" w:themeColor="background1"/>
            </w:tcBorders>
          </w:tcPr>
          <w:p w14:paraId="6BB6E0BE" w14:textId="494CC12F" w:rsidR="001329EA" w:rsidRPr="005573A3" w:rsidRDefault="001329EA">
            <w:pPr>
              <w:rPr>
                <w:rFonts w:ascii="Calibri" w:hAnsi="Calibri"/>
                <w:sz w:val="18"/>
                <w:szCs w:val="18"/>
              </w:rPr>
            </w:pPr>
            <w:r>
              <w:rPr>
                <w:rFonts w:ascii="Calibri" w:hAnsi="Calibri"/>
                <w:sz w:val="18"/>
                <w:szCs w:val="18"/>
              </w:rPr>
              <w:t>5/10 (HE)</w:t>
            </w:r>
          </w:p>
        </w:tc>
      </w:tr>
      <w:tr w:rsidR="001329EA" w:rsidRPr="005573A3" w14:paraId="5E37D296" w14:textId="77777777" w:rsidTr="00A923F0">
        <w:trPr>
          <w:cantSplit/>
          <w:trHeight w:val="302"/>
          <w:jc w:val="center"/>
        </w:trPr>
        <w:tc>
          <w:tcPr>
            <w:tcW w:w="1172" w:type="dxa"/>
            <w:vMerge/>
            <w:tcBorders>
              <w:left w:val="single" w:sz="4" w:space="0" w:color="FFFFFF" w:themeColor="background1"/>
              <w:right w:val="single" w:sz="4" w:space="0" w:color="FFFFFF" w:themeColor="background1"/>
            </w:tcBorders>
          </w:tcPr>
          <w:p w14:paraId="521EB0ED" w14:textId="77777777" w:rsidR="001329EA" w:rsidRPr="00F0774B" w:rsidRDefault="001329EA">
            <w:pPr>
              <w:rPr>
                <w:rFonts w:ascii="Calibri" w:hAnsi="Calibri"/>
                <w:b/>
                <w:i/>
                <w:sz w:val="18"/>
                <w:szCs w:val="18"/>
              </w:rPr>
            </w:pPr>
          </w:p>
        </w:tc>
        <w:tc>
          <w:tcPr>
            <w:tcW w:w="1235" w:type="dxa"/>
            <w:tcBorders>
              <w:left w:val="single" w:sz="4" w:space="0" w:color="FFFFFF" w:themeColor="background1"/>
              <w:right w:val="single" w:sz="4" w:space="0" w:color="FFFFFF" w:themeColor="background1"/>
            </w:tcBorders>
          </w:tcPr>
          <w:p w14:paraId="7E76435E" w14:textId="09C91F1E" w:rsidR="001329EA" w:rsidRPr="00160CC4" w:rsidRDefault="001329EA" w:rsidP="00EC2A13">
            <w:pPr>
              <w:pStyle w:val="ListParagraph"/>
              <w:tabs>
                <w:tab w:val="left" w:pos="255"/>
              </w:tabs>
              <w:ind w:left="0"/>
              <w:rPr>
                <w:rFonts w:ascii="Calibri" w:hAnsi="Calibri"/>
                <w:sz w:val="18"/>
                <w:szCs w:val="18"/>
              </w:rPr>
            </w:pPr>
            <w:r>
              <w:rPr>
                <w:rFonts w:ascii="Calibri" w:hAnsi="Calibri"/>
                <w:sz w:val="18"/>
                <w:szCs w:val="18"/>
              </w:rPr>
              <w:t xml:space="preserve">Richardson </w:t>
            </w:r>
            <w:r>
              <w:rPr>
                <w:rFonts w:ascii="Calibri" w:hAnsi="Calibri"/>
                <w:i/>
                <w:sz w:val="18"/>
                <w:szCs w:val="18"/>
              </w:rPr>
              <w:t>et al.</w:t>
            </w:r>
            <w:r>
              <w:rPr>
                <w:rFonts w:ascii="Calibri" w:hAnsi="Calibri"/>
                <w:sz w:val="18"/>
                <w:szCs w:val="18"/>
              </w:rPr>
              <w:t xml:space="preserve"> 2009</w:t>
            </w:r>
          </w:p>
        </w:tc>
        <w:tc>
          <w:tcPr>
            <w:tcW w:w="992" w:type="dxa"/>
            <w:tcBorders>
              <w:left w:val="single" w:sz="4" w:space="0" w:color="FFFFFF" w:themeColor="background1"/>
              <w:right w:val="single" w:sz="4" w:space="0" w:color="FFFFFF" w:themeColor="background1"/>
            </w:tcBorders>
          </w:tcPr>
          <w:p w14:paraId="52E4F5C3" w14:textId="0915D8A8" w:rsidR="001329EA" w:rsidRDefault="001329EA" w:rsidP="00D7547F">
            <w:pPr>
              <w:jc w:val="center"/>
              <w:rPr>
                <w:rFonts w:ascii="Calibri" w:hAnsi="Calibri"/>
                <w:sz w:val="18"/>
                <w:szCs w:val="18"/>
              </w:rPr>
            </w:pPr>
            <w:r>
              <w:rPr>
                <w:rFonts w:ascii="Calibri" w:hAnsi="Calibri"/>
                <w:sz w:val="18"/>
                <w:szCs w:val="18"/>
              </w:rPr>
              <w:t>60</w:t>
            </w:r>
          </w:p>
        </w:tc>
        <w:tc>
          <w:tcPr>
            <w:tcW w:w="992" w:type="dxa"/>
            <w:tcBorders>
              <w:left w:val="single" w:sz="4" w:space="0" w:color="FFFFFF" w:themeColor="background1"/>
              <w:right w:val="single" w:sz="4" w:space="0" w:color="FFFFFF" w:themeColor="background1"/>
            </w:tcBorders>
          </w:tcPr>
          <w:p w14:paraId="11899BCE" w14:textId="689262CB" w:rsidR="001329EA" w:rsidRPr="005573A3" w:rsidRDefault="001329EA" w:rsidP="00D7547F">
            <w:pPr>
              <w:jc w:val="center"/>
              <w:rPr>
                <w:rFonts w:ascii="Calibri" w:hAnsi="Calibri"/>
                <w:sz w:val="18"/>
                <w:szCs w:val="18"/>
              </w:rPr>
            </w:pPr>
            <w:r>
              <w:rPr>
                <w:rFonts w:ascii="Calibri" w:hAnsi="Calibri"/>
                <w:sz w:val="18"/>
                <w:szCs w:val="18"/>
              </w:rPr>
              <w:t>2007</w:t>
            </w:r>
          </w:p>
        </w:tc>
        <w:tc>
          <w:tcPr>
            <w:tcW w:w="7796" w:type="dxa"/>
            <w:tcBorders>
              <w:left w:val="single" w:sz="4" w:space="0" w:color="FFFFFF" w:themeColor="background1"/>
              <w:right w:val="single" w:sz="4" w:space="0" w:color="FFFFFF" w:themeColor="background1"/>
            </w:tcBorders>
          </w:tcPr>
          <w:p w14:paraId="406AAD53" w14:textId="209BFE8B"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 xml:space="preserve">One study found no difference in youth smoking prevalence between communities with youth access restrictions and </w:t>
            </w:r>
            <w:r>
              <w:rPr>
                <w:rFonts w:ascii="Calibri" w:hAnsi="Calibri"/>
                <w:sz w:val="18"/>
                <w:szCs w:val="18"/>
              </w:rPr>
              <w:t>communities</w:t>
            </w:r>
            <w:r w:rsidRPr="0097597C">
              <w:rPr>
                <w:rFonts w:ascii="Calibri" w:hAnsi="Calibri"/>
                <w:sz w:val="18"/>
                <w:szCs w:val="18"/>
              </w:rPr>
              <w:t xml:space="preserve"> without</w:t>
            </w:r>
            <w:r>
              <w:rPr>
                <w:rFonts w:ascii="Calibri" w:hAnsi="Calibri"/>
                <w:sz w:val="18"/>
                <w:szCs w:val="18"/>
              </w:rPr>
              <w:t xml:space="preserve"> such restrictions</w:t>
            </w:r>
          </w:p>
          <w:p w14:paraId="672AF491" w14:textId="0897CFBC"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Another study found that youth access restrictions decrease the likelihood of youths being in higher stages of smoking uptake, and were more effective for youths already in higher stages</w:t>
            </w:r>
          </w:p>
        </w:tc>
        <w:tc>
          <w:tcPr>
            <w:tcW w:w="1333" w:type="dxa"/>
            <w:tcBorders>
              <w:left w:val="single" w:sz="4" w:space="0" w:color="FFFFFF" w:themeColor="background1"/>
              <w:right w:val="single" w:sz="4" w:space="0" w:color="FFFFFF" w:themeColor="background1"/>
            </w:tcBorders>
          </w:tcPr>
          <w:p w14:paraId="75F54A7F" w14:textId="1B80E580" w:rsidR="001329EA" w:rsidRPr="005573A3" w:rsidRDefault="001329EA">
            <w:pPr>
              <w:rPr>
                <w:rFonts w:ascii="Calibri" w:hAnsi="Calibri"/>
                <w:sz w:val="18"/>
                <w:szCs w:val="18"/>
              </w:rPr>
            </w:pPr>
            <w:r>
              <w:rPr>
                <w:rFonts w:ascii="Calibri" w:hAnsi="Calibri"/>
                <w:sz w:val="18"/>
                <w:szCs w:val="18"/>
              </w:rPr>
              <w:t>5/10 (HE)</w:t>
            </w:r>
          </w:p>
        </w:tc>
      </w:tr>
      <w:tr w:rsidR="001329EA" w:rsidRPr="005573A3" w14:paraId="1B55E509" w14:textId="77777777" w:rsidTr="00A923F0">
        <w:trPr>
          <w:cantSplit/>
          <w:trHeight w:val="75"/>
          <w:jc w:val="center"/>
        </w:trPr>
        <w:tc>
          <w:tcPr>
            <w:tcW w:w="1172" w:type="dxa"/>
            <w:vMerge/>
            <w:tcBorders>
              <w:left w:val="single" w:sz="4" w:space="0" w:color="FFFFFF" w:themeColor="background1"/>
              <w:right w:val="single" w:sz="4" w:space="0" w:color="FFFFFF" w:themeColor="background1"/>
            </w:tcBorders>
          </w:tcPr>
          <w:p w14:paraId="457A39F6" w14:textId="77777777" w:rsidR="001329EA" w:rsidRPr="00F0774B" w:rsidRDefault="001329EA">
            <w:pPr>
              <w:rPr>
                <w:rFonts w:ascii="Calibri" w:hAnsi="Calibri"/>
                <w:b/>
                <w:i/>
                <w:sz w:val="18"/>
                <w:szCs w:val="18"/>
              </w:rPr>
            </w:pPr>
          </w:p>
        </w:tc>
        <w:tc>
          <w:tcPr>
            <w:tcW w:w="1235" w:type="dxa"/>
            <w:tcBorders>
              <w:left w:val="single" w:sz="4" w:space="0" w:color="FFFFFF" w:themeColor="background1"/>
              <w:right w:val="single" w:sz="4" w:space="0" w:color="FFFFFF" w:themeColor="background1"/>
            </w:tcBorders>
          </w:tcPr>
          <w:p w14:paraId="7D0E750B" w14:textId="36377047" w:rsidR="001329EA" w:rsidRPr="00D468BE" w:rsidRDefault="001329EA" w:rsidP="003477AC">
            <w:pPr>
              <w:pStyle w:val="ListParagraph"/>
              <w:tabs>
                <w:tab w:val="left" w:pos="255"/>
              </w:tabs>
              <w:ind w:left="0"/>
              <w:rPr>
                <w:rFonts w:ascii="Calibri" w:hAnsi="Calibri"/>
                <w:sz w:val="18"/>
                <w:szCs w:val="18"/>
              </w:rPr>
            </w:pPr>
            <w:r>
              <w:rPr>
                <w:rFonts w:ascii="Calibri" w:hAnsi="Calibri"/>
                <w:sz w:val="18"/>
                <w:szCs w:val="18"/>
              </w:rPr>
              <w:t>DiFranza 2012</w:t>
            </w:r>
          </w:p>
        </w:tc>
        <w:tc>
          <w:tcPr>
            <w:tcW w:w="992" w:type="dxa"/>
            <w:tcBorders>
              <w:left w:val="single" w:sz="4" w:space="0" w:color="FFFFFF" w:themeColor="background1"/>
              <w:right w:val="single" w:sz="4" w:space="0" w:color="FFFFFF" w:themeColor="background1"/>
            </w:tcBorders>
          </w:tcPr>
          <w:p w14:paraId="24EE4749" w14:textId="4B28F5D5" w:rsidR="001329EA" w:rsidRDefault="001329EA" w:rsidP="00D7547F">
            <w:pPr>
              <w:jc w:val="center"/>
              <w:rPr>
                <w:rFonts w:ascii="Calibri" w:hAnsi="Calibri"/>
                <w:sz w:val="18"/>
                <w:szCs w:val="18"/>
              </w:rPr>
            </w:pPr>
            <w:r>
              <w:rPr>
                <w:rFonts w:ascii="Calibri" w:hAnsi="Calibri"/>
                <w:sz w:val="18"/>
                <w:szCs w:val="18"/>
              </w:rPr>
              <w:t>424</w:t>
            </w:r>
          </w:p>
        </w:tc>
        <w:tc>
          <w:tcPr>
            <w:tcW w:w="992" w:type="dxa"/>
            <w:tcBorders>
              <w:left w:val="single" w:sz="4" w:space="0" w:color="FFFFFF" w:themeColor="background1"/>
              <w:right w:val="single" w:sz="4" w:space="0" w:color="FFFFFF" w:themeColor="background1"/>
            </w:tcBorders>
          </w:tcPr>
          <w:p w14:paraId="450A7296" w14:textId="34B528E2" w:rsidR="001329EA" w:rsidRPr="005573A3" w:rsidRDefault="001329EA" w:rsidP="00D7547F">
            <w:pPr>
              <w:jc w:val="center"/>
              <w:rPr>
                <w:rFonts w:ascii="Calibri" w:hAnsi="Calibri"/>
                <w:sz w:val="18"/>
                <w:szCs w:val="18"/>
              </w:rPr>
            </w:pPr>
            <w:r>
              <w:rPr>
                <w:rFonts w:ascii="Calibri" w:hAnsi="Calibri"/>
                <w:sz w:val="18"/>
                <w:szCs w:val="18"/>
              </w:rPr>
              <w:t>2010</w:t>
            </w:r>
          </w:p>
        </w:tc>
        <w:tc>
          <w:tcPr>
            <w:tcW w:w="7796" w:type="dxa"/>
            <w:tcBorders>
              <w:left w:val="single" w:sz="4" w:space="0" w:color="FFFFFF" w:themeColor="background1"/>
              <w:right w:val="single" w:sz="4" w:space="0" w:color="FFFFFF" w:themeColor="background1"/>
            </w:tcBorders>
          </w:tcPr>
          <w:p w14:paraId="12D4BBD9" w14:textId="77777777"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Laws prohibiting the sale of tobacco to minors and merchant education programs will have no impact without effective enforcement</w:t>
            </w:r>
          </w:p>
          <w:p w14:paraId="7B4C97A6" w14:textId="44717311" w:rsidR="001329EA" w:rsidRPr="0097597C" w:rsidRDefault="001329EA" w:rsidP="00E64DAC">
            <w:pPr>
              <w:pStyle w:val="ListParagraph"/>
              <w:numPr>
                <w:ilvl w:val="0"/>
                <w:numId w:val="15"/>
              </w:numPr>
              <w:ind w:left="170" w:hanging="170"/>
              <w:rPr>
                <w:rFonts w:ascii="Calibri" w:hAnsi="Calibri" w:cstheme="majorBidi"/>
                <w:sz w:val="18"/>
                <w:szCs w:val="18"/>
              </w:rPr>
            </w:pPr>
            <w:r w:rsidRPr="0097597C">
              <w:rPr>
                <w:rFonts w:ascii="Calibri" w:hAnsi="Calibri"/>
                <w:sz w:val="18"/>
                <w:szCs w:val="18"/>
              </w:rPr>
              <w:t>19 studies evaluating enforcement efforts that successively disrupted the sale of tobacco</w:t>
            </w:r>
            <w:r>
              <w:rPr>
                <w:rFonts w:ascii="Calibri" w:hAnsi="Calibri"/>
                <w:sz w:val="18"/>
                <w:szCs w:val="18"/>
              </w:rPr>
              <w:t xml:space="preserve"> poducts</w:t>
            </w:r>
            <w:r w:rsidRPr="0097597C">
              <w:rPr>
                <w:rFonts w:ascii="Calibri" w:hAnsi="Calibri"/>
                <w:sz w:val="18"/>
                <w:szCs w:val="18"/>
              </w:rPr>
              <w:t xml:space="preserve"> to minors all reported declines in youth tobacco use</w:t>
            </w:r>
          </w:p>
          <w:p w14:paraId="3CDAB890" w14:textId="3AF13285" w:rsidR="001329EA" w:rsidRPr="0097597C" w:rsidRDefault="001329EA" w:rsidP="00E64DAC">
            <w:pPr>
              <w:pStyle w:val="ListParagraph"/>
              <w:numPr>
                <w:ilvl w:val="0"/>
                <w:numId w:val="15"/>
              </w:numPr>
              <w:ind w:left="170" w:hanging="170"/>
              <w:rPr>
                <w:rFonts w:ascii="Calibri" w:hAnsi="Calibri" w:cstheme="majorBidi"/>
                <w:sz w:val="18"/>
                <w:szCs w:val="18"/>
              </w:rPr>
            </w:pPr>
            <w:r>
              <w:rPr>
                <w:rFonts w:ascii="Calibri" w:hAnsi="Calibri"/>
                <w:sz w:val="18"/>
                <w:szCs w:val="18"/>
              </w:rPr>
              <w:t>Poorly enforced efforts that</w:t>
            </w:r>
            <w:r w:rsidRPr="0097597C">
              <w:rPr>
                <w:rFonts w:ascii="Calibri" w:hAnsi="Calibri"/>
                <w:sz w:val="18"/>
                <w:szCs w:val="18"/>
              </w:rPr>
              <w:t xml:space="preserve"> fail to disrupt sale to minors do not affect youth smoking</w:t>
            </w:r>
            <w:r>
              <w:rPr>
                <w:rFonts w:ascii="Calibri" w:hAnsi="Calibri"/>
                <w:sz w:val="18"/>
                <w:szCs w:val="18"/>
              </w:rPr>
              <w:t xml:space="preserve"> behaviour</w:t>
            </w:r>
          </w:p>
        </w:tc>
        <w:tc>
          <w:tcPr>
            <w:tcW w:w="1333" w:type="dxa"/>
            <w:tcBorders>
              <w:left w:val="single" w:sz="4" w:space="0" w:color="FFFFFF" w:themeColor="background1"/>
              <w:right w:val="single" w:sz="4" w:space="0" w:color="FFFFFF" w:themeColor="background1"/>
            </w:tcBorders>
          </w:tcPr>
          <w:p w14:paraId="2DE73E83" w14:textId="522BFC0C" w:rsidR="001329EA" w:rsidRPr="005573A3" w:rsidRDefault="001329EA">
            <w:pPr>
              <w:rPr>
                <w:rFonts w:ascii="Calibri" w:hAnsi="Calibri"/>
                <w:sz w:val="18"/>
                <w:szCs w:val="18"/>
              </w:rPr>
            </w:pPr>
            <w:r>
              <w:rPr>
                <w:rFonts w:ascii="Calibri" w:hAnsi="Calibri"/>
                <w:sz w:val="18"/>
                <w:szCs w:val="18"/>
              </w:rPr>
              <w:t>5/10 (HE)</w:t>
            </w:r>
          </w:p>
        </w:tc>
      </w:tr>
    </w:tbl>
    <w:p w14:paraId="30728F26" w14:textId="16DF18CB" w:rsidR="004C499D" w:rsidRPr="00D7547F" w:rsidRDefault="004C499D" w:rsidP="00D7547F">
      <w:pPr>
        <w:rPr>
          <w:rFonts w:asciiTheme="majorHAnsi" w:hAnsiTheme="majorHAnsi" w:cstheme="majorHAnsi"/>
          <w:sz w:val="18"/>
          <w:szCs w:val="18"/>
        </w:rPr>
      </w:pPr>
    </w:p>
    <w:p w14:paraId="73C265CA" w14:textId="44D6D904" w:rsidR="00D7547F" w:rsidRPr="00A85551" w:rsidRDefault="009C5682" w:rsidP="007A0E45">
      <w:pPr>
        <w:ind w:left="-90"/>
        <w:rPr>
          <w:rFonts w:asciiTheme="majorHAnsi" w:hAnsiTheme="majorHAnsi" w:cstheme="majorHAnsi"/>
          <w:sz w:val="18"/>
          <w:szCs w:val="18"/>
        </w:rPr>
      </w:pPr>
      <w:r>
        <w:rPr>
          <w:rFonts w:asciiTheme="majorHAnsi" w:hAnsiTheme="majorHAnsi" w:cstheme="majorHAnsi"/>
          <w:sz w:val="18"/>
          <w:szCs w:val="18"/>
        </w:rPr>
        <w:t xml:space="preserve">A question mark </w:t>
      </w:r>
      <w:r w:rsidR="00423B28">
        <w:rPr>
          <w:rFonts w:asciiTheme="majorHAnsi" w:hAnsiTheme="majorHAnsi" w:cstheme="majorHAnsi"/>
          <w:sz w:val="18"/>
          <w:szCs w:val="18"/>
        </w:rPr>
        <w:t xml:space="preserve">(“?”) </w:t>
      </w:r>
      <w:r>
        <w:rPr>
          <w:rFonts w:asciiTheme="majorHAnsi" w:hAnsiTheme="majorHAnsi" w:cstheme="majorHAnsi"/>
          <w:sz w:val="18"/>
          <w:szCs w:val="18"/>
        </w:rPr>
        <w:t xml:space="preserve">indicates the review did not report the number of studies included or the year of last search. </w:t>
      </w:r>
      <w:r w:rsidR="00A85551">
        <w:rPr>
          <w:rFonts w:asciiTheme="majorHAnsi" w:hAnsiTheme="majorHAnsi" w:cstheme="majorHAnsi"/>
          <w:sz w:val="18"/>
          <w:szCs w:val="18"/>
        </w:rPr>
        <w:t>CI = confidence interval</w:t>
      </w:r>
      <w:r w:rsidR="00423B28">
        <w:rPr>
          <w:rFonts w:asciiTheme="majorHAnsi" w:hAnsiTheme="majorHAnsi" w:cstheme="majorHAnsi"/>
          <w:sz w:val="18"/>
          <w:szCs w:val="18"/>
        </w:rPr>
        <w:t>;</w:t>
      </w:r>
      <w:r w:rsidR="00A85551">
        <w:rPr>
          <w:rFonts w:asciiTheme="majorHAnsi" w:hAnsiTheme="majorHAnsi" w:cstheme="majorHAnsi"/>
          <w:sz w:val="18"/>
          <w:szCs w:val="18"/>
        </w:rPr>
        <w:t xml:space="preserve"> </w:t>
      </w:r>
      <w:r w:rsidR="0082133B">
        <w:rPr>
          <w:rFonts w:asciiTheme="majorHAnsi" w:hAnsiTheme="majorHAnsi" w:cstheme="majorHAnsi"/>
          <w:sz w:val="18"/>
          <w:szCs w:val="18"/>
        </w:rPr>
        <w:t xml:space="preserve">CPSTF = Community Preventive Services Task Force; </w:t>
      </w:r>
      <w:r w:rsidR="00A85551">
        <w:rPr>
          <w:rFonts w:asciiTheme="majorHAnsi" w:hAnsiTheme="majorHAnsi" w:cstheme="majorHAnsi"/>
          <w:sz w:val="18"/>
          <w:szCs w:val="18"/>
        </w:rPr>
        <w:t xml:space="preserve">HE = </w:t>
      </w:r>
      <w:r w:rsidR="00A85551" w:rsidRPr="00A923F0">
        <w:rPr>
          <w:rFonts w:asciiTheme="majorHAnsi" w:hAnsiTheme="majorHAnsi" w:cstheme="majorHAnsi"/>
          <w:i/>
          <w:sz w:val="18"/>
          <w:szCs w:val="18"/>
        </w:rPr>
        <w:t>Health Evidence</w:t>
      </w:r>
      <w:r w:rsidR="00423B28">
        <w:rPr>
          <w:rFonts w:asciiTheme="majorHAnsi" w:hAnsiTheme="majorHAnsi" w:cstheme="majorHAnsi"/>
          <w:sz w:val="18"/>
          <w:szCs w:val="18"/>
        </w:rPr>
        <w:t>;</w:t>
      </w:r>
      <w:r w:rsidR="00A85551">
        <w:rPr>
          <w:rFonts w:asciiTheme="majorHAnsi" w:hAnsiTheme="majorHAnsi" w:cstheme="majorHAnsi"/>
          <w:sz w:val="18"/>
          <w:szCs w:val="18"/>
        </w:rPr>
        <w:t xml:space="preserve"> HSE = </w:t>
      </w:r>
      <w:r w:rsidR="00A85551">
        <w:rPr>
          <w:rFonts w:asciiTheme="majorHAnsi" w:hAnsiTheme="majorHAnsi" w:cstheme="majorHAnsi"/>
          <w:i/>
          <w:sz w:val="18"/>
          <w:szCs w:val="18"/>
        </w:rPr>
        <w:t>Health Systems Evidence</w:t>
      </w:r>
      <w:r w:rsidR="00423B28">
        <w:rPr>
          <w:rFonts w:asciiTheme="majorHAnsi" w:hAnsiTheme="majorHAnsi" w:cstheme="majorHAnsi"/>
          <w:sz w:val="18"/>
          <w:szCs w:val="18"/>
        </w:rPr>
        <w:t>;</w:t>
      </w:r>
      <w:r w:rsidR="00A85551">
        <w:rPr>
          <w:rFonts w:asciiTheme="majorHAnsi" w:hAnsiTheme="majorHAnsi" w:cstheme="majorHAnsi"/>
          <w:sz w:val="18"/>
          <w:szCs w:val="18"/>
        </w:rPr>
        <w:t xml:space="preserve"> </w:t>
      </w:r>
      <w:r w:rsidR="0082133B">
        <w:rPr>
          <w:rFonts w:asciiTheme="majorHAnsi" w:hAnsiTheme="majorHAnsi" w:cstheme="majorHAnsi"/>
          <w:sz w:val="18"/>
          <w:szCs w:val="18"/>
        </w:rPr>
        <w:t xml:space="preserve">IARC = International Agency for Research on Cancer; </w:t>
      </w:r>
      <w:r w:rsidR="00A85551">
        <w:rPr>
          <w:rFonts w:asciiTheme="majorHAnsi" w:hAnsiTheme="majorHAnsi" w:cstheme="majorHAnsi"/>
          <w:sz w:val="18"/>
          <w:szCs w:val="18"/>
        </w:rPr>
        <w:t>IQR = interquartile range</w:t>
      </w:r>
      <w:r w:rsidR="00423B28">
        <w:rPr>
          <w:rFonts w:asciiTheme="majorHAnsi" w:hAnsiTheme="majorHAnsi" w:cstheme="majorHAnsi"/>
          <w:sz w:val="18"/>
          <w:szCs w:val="18"/>
        </w:rPr>
        <w:t>;</w:t>
      </w:r>
      <w:r w:rsidR="00A85551">
        <w:rPr>
          <w:rFonts w:asciiTheme="majorHAnsi" w:hAnsiTheme="majorHAnsi" w:cstheme="majorHAnsi"/>
          <w:sz w:val="18"/>
          <w:szCs w:val="18"/>
        </w:rPr>
        <w:t xml:space="preserve"> OR = odds ratio</w:t>
      </w:r>
      <w:r w:rsidR="00423B28">
        <w:rPr>
          <w:rFonts w:asciiTheme="majorHAnsi" w:hAnsiTheme="majorHAnsi" w:cstheme="majorHAnsi"/>
          <w:sz w:val="18"/>
          <w:szCs w:val="18"/>
        </w:rPr>
        <w:t>;</w:t>
      </w:r>
      <w:r w:rsidR="00A85551">
        <w:rPr>
          <w:rFonts w:asciiTheme="majorHAnsi" w:hAnsiTheme="majorHAnsi" w:cstheme="majorHAnsi"/>
          <w:sz w:val="18"/>
          <w:szCs w:val="18"/>
        </w:rPr>
        <w:t xml:space="preserve"> RC = </w:t>
      </w:r>
      <w:r w:rsidR="00A85551">
        <w:rPr>
          <w:rFonts w:asciiTheme="majorHAnsi" w:hAnsiTheme="majorHAnsi" w:cstheme="majorHAnsi"/>
          <w:i/>
          <w:sz w:val="18"/>
          <w:szCs w:val="18"/>
        </w:rPr>
        <w:t>Rx for Change</w:t>
      </w:r>
      <w:r w:rsidR="00423B28">
        <w:rPr>
          <w:rFonts w:asciiTheme="majorHAnsi" w:hAnsiTheme="majorHAnsi" w:cstheme="majorHAnsi"/>
          <w:sz w:val="18"/>
          <w:szCs w:val="18"/>
        </w:rPr>
        <w:t xml:space="preserve">; </w:t>
      </w:r>
      <w:r w:rsidR="002D2A65">
        <w:rPr>
          <w:rFonts w:asciiTheme="majorHAnsi" w:hAnsiTheme="majorHAnsi" w:cstheme="majorHAnsi"/>
          <w:sz w:val="18"/>
          <w:szCs w:val="18"/>
        </w:rPr>
        <w:t xml:space="preserve">RCT = randomized controlled trial; </w:t>
      </w:r>
      <w:r w:rsidR="00423B28">
        <w:rPr>
          <w:rFonts w:asciiTheme="majorHAnsi" w:hAnsiTheme="majorHAnsi" w:cstheme="majorHAnsi"/>
          <w:sz w:val="18"/>
          <w:szCs w:val="18"/>
        </w:rPr>
        <w:t>and</w:t>
      </w:r>
      <w:r w:rsidR="00A85551">
        <w:rPr>
          <w:rFonts w:asciiTheme="majorHAnsi" w:hAnsiTheme="majorHAnsi" w:cstheme="majorHAnsi"/>
          <w:sz w:val="18"/>
          <w:szCs w:val="18"/>
        </w:rPr>
        <w:t xml:space="preserve"> RR = relative risk.</w:t>
      </w:r>
    </w:p>
    <w:sectPr w:rsidR="00D7547F" w:rsidRPr="00A85551" w:rsidSect="00D7547F">
      <w:footerReference w:type="default" r:id="rId9"/>
      <w:headerReference w:type="first" r:id="rId10"/>
      <w:footerReference w:type="first" r:id="rId11"/>
      <w:pgSz w:w="15840" w:h="12240" w:orient="landscape"/>
      <w:pgMar w:top="1440" w:right="1440" w:bottom="1440" w:left="1440" w:header="708" w:footer="708" w:gutter="0"/>
      <w:cols w:space="708"/>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4D826" w14:textId="77777777" w:rsidR="006812F1" w:rsidRDefault="006812F1" w:rsidP="002501F2">
      <w:r>
        <w:separator/>
      </w:r>
    </w:p>
  </w:endnote>
  <w:endnote w:type="continuationSeparator" w:id="0">
    <w:p w14:paraId="1432D874" w14:textId="77777777" w:rsidR="006812F1" w:rsidRDefault="006812F1" w:rsidP="00250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9E636" w14:textId="392D78E9" w:rsidR="006812F1" w:rsidRPr="007A0E45" w:rsidRDefault="006812F1" w:rsidP="007A0E45">
    <w:pPr>
      <w:pStyle w:val="Footer"/>
      <w:jc w:val="center"/>
      <w:rPr>
        <w:rFonts w:asciiTheme="majorHAnsi" w:hAnsiTheme="majorHAnsi" w:cstheme="majorHAnsi"/>
        <w:sz w:val="22"/>
      </w:rPr>
    </w:pPr>
    <w:r w:rsidRPr="007A0E45">
      <w:rPr>
        <w:rFonts w:asciiTheme="majorHAnsi" w:hAnsiTheme="majorHAnsi" w:cstheme="majorHAnsi"/>
        <w:sz w:val="22"/>
      </w:rPr>
      <w:t xml:space="preserve">Page </w:t>
    </w:r>
    <w:r w:rsidRPr="007A0E45">
      <w:rPr>
        <w:rFonts w:asciiTheme="majorHAnsi" w:hAnsiTheme="majorHAnsi" w:cstheme="majorHAnsi"/>
        <w:sz w:val="22"/>
      </w:rPr>
      <w:fldChar w:fldCharType="begin"/>
    </w:r>
    <w:r w:rsidRPr="007A0E45">
      <w:rPr>
        <w:rFonts w:asciiTheme="majorHAnsi" w:hAnsiTheme="majorHAnsi" w:cstheme="majorHAnsi"/>
        <w:sz w:val="22"/>
      </w:rPr>
      <w:instrText xml:space="preserve"> PAGE  \* Arabic  \* MERGEFORMAT </w:instrText>
    </w:r>
    <w:r w:rsidRPr="007A0E45">
      <w:rPr>
        <w:rFonts w:asciiTheme="majorHAnsi" w:hAnsiTheme="majorHAnsi" w:cstheme="majorHAnsi"/>
        <w:sz w:val="22"/>
      </w:rPr>
      <w:fldChar w:fldCharType="separate"/>
    </w:r>
    <w:r w:rsidR="00F53004">
      <w:rPr>
        <w:rFonts w:asciiTheme="majorHAnsi" w:hAnsiTheme="majorHAnsi" w:cstheme="majorHAnsi"/>
        <w:noProof/>
        <w:sz w:val="22"/>
      </w:rPr>
      <w:t>8</w:t>
    </w:r>
    <w:r w:rsidRPr="007A0E45">
      <w:rPr>
        <w:rFonts w:asciiTheme="majorHAnsi" w:hAnsiTheme="majorHAnsi" w:cstheme="majorHAnsi"/>
        <w:sz w:val="22"/>
      </w:rPr>
      <w:fldChar w:fldCharType="end"/>
    </w:r>
    <w:r w:rsidRPr="007A0E45">
      <w:rPr>
        <w:rFonts w:asciiTheme="majorHAnsi" w:hAnsiTheme="majorHAnsi" w:cstheme="majorHAnsi"/>
        <w:sz w:val="22"/>
      </w:rPr>
      <w:t xml:space="preserve"> of </w:t>
    </w:r>
    <w:r w:rsidRPr="007A0E45">
      <w:rPr>
        <w:rFonts w:asciiTheme="majorHAnsi" w:hAnsiTheme="majorHAnsi" w:cstheme="majorHAnsi"/>
        <w:sz w:val="22"/>
      </w:rPr>
      <w:fldChar w:fldCharType="begin"/>
    </w:r>
    <w:r w:rsidRPr="007A0E45">
      <w:rPr>
        <w:rFonts w:asciiTheme="majorHAnsi" w:hAnsiTheme="majorHAnsi" w:cstheme="majorHAnsi"/>
        <w:sz w:val="22"/>
      </w:rPr>
      <w:instrText xml:space="preserve"> NUMPAGES  \* Arabic  \* MERGEFORMAT </w:instrText>
    </w:r>
    <w:r w:rsidRPr="007A0E45">
      <w:rPr>
        <w:rFonts w:asciiTheme="majorHAnsi" w:hAnsiTheme="majorHAnsi" w:cstheme="majorHAnsi"/>
        <w:sz w:val="22"/>
      </w:rPr>
      <w:fldChar w:fldCharType="separate"/>
    </w:r>
    <w:r w:rsidR="00F53004">
      <w:rPr>
        <w:rFonts w:asciiTheme="majorHAnsi" w:hAnsiTheme="majorHAnsi" w:cstheme="majorHAnsi"/>
        <w:noProof/>
        <w:sz w:val="22"/>
      </w:rPr>
      <w:t>8</w:t>
    </w:r>
    <w:r w:rsidRPr="007A0E45">
      <w:rPr>
        <w:rFonts w:asciiTheme="majorHAnsi" w:hAnsiTheme="majorHAnsi" w:cstheme="majorHAnsi"/>
        <w:sz w:val="22"/>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FA1A0" w14:textId="2C996B23" w:rsidR="006812F1" w:rsidRPr="007A0E45" w:rsidRDefault="006812F1" w:rsidP="007A0E45">
    <w:pPr>
      <w:pStyle w:val="Footer"/>
      <w:tabs>
        <w:tab w:val="clear" w:pos="4419"/>
        <w:tab w:val="center" w:pos="6480"/>
      </w:tabs>
      <w:jc w:val="center"/>
      <w:rPr>
        <w:rFonts w:asciiTheme="majorHAnsi" w:hAnsiTheme="majorHAnsi" w:cstheme="majorHAnsi"/>
        <w:sz w:val="22"/>
        <w:szCs w:val="22"/>
      </w:rPr>
    </w:pPr>
    <w:r w:rsidRPr="007A0E45">
      <w:rPr>
        <w:rFonts w:asciiTheme="majorHAnsi" w:hAnsiTheme="majorHAnsi" w:cstheme="majorHAnsi"/>
        <w:sz w:val="22"/>
        <w:szCs w:val="22"/>
      </w:rPr>
      <w:t xml:space="preserve">Page </w:t>
    </w:r>
    <w:r w:rsidRPr="007A0E45">
      <w:rPr>
        <w:rFonts w:asciiTheme="majorHAnsi" w:hAnsiTheme="majorHAnsi" w:cstheme="majorHAnsi"/>
        <w:sz w:val="22"/>
        <w:szCs w:val="22"/>
      </w:rPr>
      <w:fldChar w:fldCharType="begin"/>
    </w:r>
    <w:r w:rsidRPr="007A0E45">
      <w:rPr>
        <w:rFonts w:asciiTheme="majorHAnsi" w:hAnsiTheme="majorHAnsi" w:cstheme="majorHAnsi"/>
        <w:sz w:val="22"/>
        <w:szCs w:val="22"/>
      </w:rPr>
      <w:instrText xml:space="preserve"> PAGE  \* Arabic  \* MERGEFORMAT </w:instrText>
    </w:r>
    <w:r w:rsidRPr="007A0E45">
      <w:rPr>
        <w:rFonts w:asciiTheme="majorHAnsi" w:hAnsiTheme="majorHAnsi" w:cstheme="majorHAnsi"/>
        <w:sz w:val="22"/>
        <w:szCs w:val="22"/>
      </w:rPr>
      <w:fldChar w:fldCharType="separate"/>
    </w:r>
    <w:r w:rsidR="00F53004">
      <w:rPr>
        <w:rFonts w:asciiTheme="majorHAnsi" w:hAnsiTheme="majorHAnsi" w:cstheme="majorHAnsi"/>
        <w:noProof/>
        <w:sz w:val="22"/>
        <w:szCs w:val="22"/>
      </w:rPr>
      <w:t>1</w:t>
    </w:r>
    <w:r w:rsidRPr="007A0E45">
      <w:rPr>
        <w:rFonts w:asciiTheme="majorHAnsi" w:hAnsiTheme="majorHAnsi" w:cstheme="majorHAnsi"/>
        <w:sz w:val="22"/>
        <w:szCs w:val="22"/>
      </w:rPr>
      <w:fldChar w:fldCharType="end"/>
    </w:r>
    <w:r w:rsidRPr="007A0E45">
      <w:rPr>
        <w:rFonts w:asciiTheme="majorHAnsi" w:hAnsiTheme="majorHAnsi" w:cstheme="majorHAnsi"/>
        <w:sz w:val="22"/>
        <w:szCs w:val="22"/>
      </w:rPr>
      <w:t xml:space="preserve"> of </w:t>
    </w:r>
    <w:r w:rsidRPr="007A0E45">
      <w:rPr>
        <w:rFonts w:asciiTheme="majorHAnsi" w:hAnsiTheme="majorHAnsi" w:cstheme="majorHAnsi"/>
        <w:sz w:val="22"/>
        <w:szCs w:val="22"/>
      </w:rPr>
      <w:fldChar w:fldCharType="begin"/>
    </w:r>
    <w:r w:rsidRPr="007A0E45">
      <w:rPr>
        <w:rFonts w:asciiTheme="majorHAnsi" w:hAnsiTheme="majorHAnsi" w:cstheme="majorHAnsi"/>
        <w:sz w:val="22"/>
        <w:szCs w:val="22"/>
      </w:rPr>
      <w:instrText xml:space="preserve"> NUMPAGES  \* Arabic  \* MERGEFORMAT </w:instrText>
    </w:r>
    <w:r w:rsidRPr="007A0E45">
      <w:rPr>
        <w:rFonts w:asciiTheme="majorHAnsi" w:hAnsiTheme="majorHAnsi" w:cstheme="majorHAnsi"/>
        <w:sz w:val="22"/>
        <w:szCs w:val="22"/>
      </w:rPr>
      <w:fldChar w:fldCharType="separate"/>
    </w:r>
    <w:r w:rsidR="00F53004">
      <w:rPr>
        <w:rFonts w:asciiTheme="majorHAnsi" w:hAnsiTheme="majorHAnsi" w:cstheme="majorHAnsi"/>
        <w:noProof/>
        <w:sz w:val="22"/>
        <w:szCs w:val="22"/>
      </w:rPr>
      <w:t>6</w:t>
    </w:r>
    <w:r w:rsidRPr="007A0E45">
      <w:rPr>
        <w:rFonts w:asciiTheme="majorHAnsi" w:hAnsiTheme="majorHAnsi" w:cstheme="majorHAnsi"/>
        <w:sz w:val="22"/>
        <w:szCs w:val="2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235C3A" w14:textId="77777777" w:rsidR="006812F1" w:rsidRDefault="006812F1" w:rsidP="002501F2">
      <w:r>
        <w:separator/>
      </w:r>
    </w:p>
  </w:footnote>
  <w:footnote w:type="continuationSeparator" w:id="0">
    <w:p w14:paraId="704BAD88" w14:textId="77777777" w:rsidR="006812F1" w:rsidRDefault="006812F1" w:rsidP="002501F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037AD" w14:textId="6882A9EF" w:rsidR="006812F1" w:rsidRDefault="006812F1" w:rsidP="009B75DC">
    <w:pPr>
      <w:pStyle w:val="Header"/>
      <w:ind w:left="-180"/>
      <w:rPr>
        <w:rFonts w:ascii="Calibri" w:hAnsi="Calibri"/>
        <w:b/>
      </w:rPr>
    </w:pPr>
    <w:r>
      <w:rPr>
        <w:rFonts w:ascii="Calibri" w:hAnsi="Calibri"/>
        <w:b/>
      </w:rPr>
      <w:t>Web Appendix to “Overview of Systematic Reviews on the Health-Related Effects of Government Tobacco Control Policies”</w:t>
    </w:r>
  </w:p>
  <w:p w14:paraId="5B62E6CB" w14:textId="7FBEF995" w:rsidR="006812F1" w:rsidRDefault="006812F1" w:rsidP="009B75DC">
    <w:pPr>
      <w:pStyle w:val="Header"/>
      <w:ind w:left="-180"/>
      <w:rPr>
        <w:rFonts w:ascii="Calibri" w:hAnsi="Calibri"/>
      </w:rPr>
    </w:pPr>
    <w:r w:rsidRPr="007A0E45">
      <w:rPr>
        <w:rFonts w:ascii="Calibri" w:hAnsi="Calibri"/>
      </w:rPr>
      <w:t>SJ Hoffman &amp; C Tan</w:t>
    </w:r>
  </w:p>
  <w:p w14:paraId="5E68FBB5" w14:textId="77777777" w:rsidR="006812F1" w:rsidRPr="007A0E45" w:rsidRDefault="006812F1" w:rsidP="009B75DC">
    <w:pPr>
      <w:pStyle w:val="Header"/>
      <w:ind w:left="-180"/>
      <w:rPr>
        <w:rFonts w:ascii="Calibri" w:hAnsi="Calibri"/>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7344EA4"/>
    <w:lvl w:ilvl="0">
      <w:start w:val="1"/>
      <w:numFmt w:val="bullet"/>
      <w:pStyle w:val="ListBullet"/>
      <w:lvlText w:val=""/>
      <w:lvlJc w:val="left"/>
      <w:pPr>
        <w:tabs>
          <w:tab w:val="num" w:pos="360"/>
        </w:tabs>
        <w:ind w:left="360" w:hanging="360"/>
      </w:pPr>
      <w:rPr>
        <w:rFonts w:ascii="Wingdings" w:hAnsi="Wingdings" w:hint="default"/>
      </w:rPr>
    </w:lvl>
  </w:abstractNum>
  <w:abstractNum w:abstractNumId="1">
    <w:nsid w:val="04ED1BB3"/>
    <w:multiLevelType w:val="hybridMultilevel"/>
    <w:tmpl w:val="BAEC953C"/>
    <w:lvl w:ilvl="0" w:tplc="57329D4C">
      <w:start w:val="1"/>
      <w:numFmt w:val="bullet"/>
      <w:lvlText w:val=""/>
      <w:lvlJc w:val="left"/>
      <w:pPr>
        <w:ind w:left="480" w:hanging="480"/>
      </w:pPr>
      <w:rPr>
        <w:rFonts w:ascii="Symbol" w:hAnsi="Symbol" w:hint="default"/>
        <w:sz w:val="20"/>
        <w:szCs w:val="20"/>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nsid w:val="05135451"/>
    <w:multiLevelType w:val="multilevel"/>
    <w:tmpl w:val="E2F0C9F4"/>
    <w:lvl w:ilvl="0">
      <w:start w:val="1"/>
      <w:numFmt w:val="bullet"/>
      <w:lvlText w:val="o"/>
      <w:lvlJc w:val="left"/>
      <w:pPr>
        <w:ind w:left="480" w:hanging="480"/>
      </w:pPr>
      <w:rPr>
        <w:rFonts w:ascii="Courier New" w:hAnsi="Courier New"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3">
    <w:nsid w:val="06D97048"/>
    <w:multiLevelType w:val="hybridMultilevel"/>
    <w:tmpl w:val="B6E60F60"/>
    <w:lvl w:ilvl="0" w:tplc="04090003">
      <w:start w:val="1"/>
      <w:numFmt w:val="bullet"/>
      <w:lvlText w:val="o"/>
      <w:lvlJc w:val="left"/>
      <w:pPr>
        <w:ind w:left="480" w:hanging="480"/>
      </w:pPr>
      <w:rPr>
        <w:rFonts w:ascii="Courier New" w:hAnsi="Courier New"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nsid w:val="21173059"/>
    <w:multiLevelType w:val="hybridMultilevel"/>
    <w:tmpl w:val="551A3BE6"/>
    <w:lvl w:ilvl="0" w:tplc="6D26A3E4">
      <w:start w:val="1"/>
      <w:numFmt w:val="decimal"/>
      <w:lvlText w:val="[%1]"/>
      <w:lvlJc w:val="left"/>
      <w:pPr>
        <w:ind w:left="480" w:hanging="480"/>
      </w:pPr>
      <w:rPr>
        <w:rFonts w:ascii="Calibri" w:hAnsi="Calibri" w:hint="default"/>
        <w:sz w:val="18"/>
        <w:szCs w:val="18"/>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nsid w:val="2F8E290F"/>
    <w:multiLevelType w:val="hybridMultilevel"/>
    <w:tmpl w:val="DC2E67CE"/>
    <w:lvl w:ilvl="0" w:tplc="57329D4C">
      <w:start w:val="1"/>
      <w:numFmt w:val="bullet"/>
      <w:lvlText w:val=""/>
      <w:lvlJc w:val="left"/>
      <w:pPr>
        <w:ind w:left="480" w:hanging="480"/>
      </w:pPr>
      <w:rPr>
        <w:rFonts w:ascii="Symbol" w:hAnsi="Symbol" w:hint="default"/>
        <w:sz w:val="20"/>
        <w:szCs w:val="20"/>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nsid w:val="3E44019F"/>
    <w:multiLevelType w:val="hybridMultilevel"/>
    <w:tmpl w:val="A62C5540"/>
    <w:lvl w:ilvl="0" w:tplc="04090003">
      <w:start w:val="1"/>
      <w:numFmt w:val="bullet"/>
      <w:lvlText w:val="o"/>
      <w:lvlJc w:val="left"/>
      <w:pPr>
        <w:ind w:left="480" w:hanging="480"/>
      </w:pPr>
      <w:rPr>
        <w:rFonts w:ascii="Courier New" w:hAnsi="Courier New"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nsid w:val="41117259"/>
    <w:multiLevelType w:val="hybridMultilevel"/>
    <w:tmpl w:val="0B0C4F56"/>
    <w:lvl w:ilvl="0" w:tplc="04090003">
      <w:start w:val="1"/>
      <w:numFmt w:val="bullet"/>
      <w:lvlText w:val="o"/>
      <w:lvlJc w:val="left"/>
      <w:pPr>
        <w:ind w:left="480" w:hanging="480"/>
      </w:pPr>
      <w:rPr>
        <w:rFonts w:ascii="Courier New" w:hAnsi="Courier New"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nsid w:val="44DC6B58"/>
    <w:multiLevelType w:val="hybridMultilevel"/>
    <w:tmpl w:val="C9AE9908"/>
    <w:lvl w:ilvl="0" w:tplc="F1C8099A">
      <w:start w:val="1"/>
      <w:numFmt w:val="bullet"/>
      <w:lvlText w:val="-"/>
      <w:lvlJc w:val="left"/>
      <w:pPr>
        <w:ind w:left="480" w:hanging="480"/>
      </w:pPr>
      <w:rPr>
        <w:rFonts w:ascii="Arial" w:hAnsi="Aria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nsid w:val="5AF22DF9"/>
    <w:multiLevelType w:val="hybridMultilevel"/>
    <w:tmpl w:val="B61611D6"/>
    <w:lvl w:ilvl="0" w:tplc="57329D4C">
      <w:start w:val="1"/>
      <w:numFmt w:val="bullet"/>
      <w:lvlText w:val=""/>
      <w:lvlJc w:val="left"/>
      <w:pPr>
        <w:ind w:left="480" w:hanging="480"/>
      </w:pPr>
      <w:rPr>
        <w:rFonts w:ascii="Symbol" w:hAnsi="Symbol" w:hint="default"/>
        <w:sz w:val="20"/>
        <w:szCs w:val="20"/>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nsid w:val="6AB1679E"/>
    <w:multiLevelType w:val="hybridMultilevel"/>
    <w:tmpl w:val="E2F0C9F4"/>
    <w:lvl w:ilvl="0" w:tplc="04090003">
      <w:start w:val="1"/>
      <w:numFmt w:val="bullet"/>
      <w:lvlText w:val="o"/>
      <w:lvlJc w:val="left"/>
      <w:pPr>
        <w:ind w:left="480" w:hanging="480"/>
      </w:pPr>
      <w:rPr>
        <w:rFonts w:ascii="Courier New" w:hAnsi="Courier New"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nsid w:val="735B3521"/>
    <w:multiLevelType w:val="hybridMultilevel"/>
    <w:tmpl w:val="CF0A3034"/>
    <w:lvl w:ilvl="0" w:tplc="F1C8099A">
      <w:start w:val="1"/>
      <w:numFmt w:val="bullet"/>
      <w:lvlText w:val="-"/>
      <w:lvlJc w:val="left"/>
      <w:pPr>
        <w:ind w:left="480" w:hanging="480"/>
      </w:pPr>
      <w:rPr>
        <w:rFonts w:ascii="Arial" w:hAnsi="Aria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nsid w:val="73820BFE"/>
    <w:multiLevelType w:val="hybridMultilevel"/>
    <w:tmpl w:val="95126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B4005F"/>
    <w:multiLevelType w:val="hybridMultilevel"/>
    <w:tmpl w:val="BD2A6B62"/>
    <w:lvl w:ilvl="0" w:tplc="57329D4C">
      <w:start w:val="1"/>
      <w:numFmt w:val="bullet"/>
      <w:lvlText w:val=""/>
      <w:lvlJc w:val="left"/>
      <w:pPr>
        <w:ind w:left="480" w:hanging="480"/>
      </w:pPr>
      <w:rPr>
        <w:rFonts w:ascii="Symbol" w:hAnsi="Symbol" w:hint="default"/>
        <w:sz w:val="20"/>
        <w:szCs w:val="20"/>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num>
  <w:num w:numId="2">
    <w:abstractNumId w:val="0"/>
  </w:num>
  <w:num w:numId="3">
    <w:abstractNumId w:val="0"/>
  </w:num>
  <w:num w:numId="4">
    <w:abstractNumId w:val="12"/>
  </w:num>
  <w:num w:numId="5">
    <w:abstractNumId w:val="8"/>
  </w:num>
  <w:num w:numId="6">
    <w:abstractNumId w:val="11"/>
  </w:num>
  <w:num w:numId="7">
    <w:abstractNumId w:val="4"/>
  </w:num>
  <w:num w:numId="8">
    <w:abstractNumId w:val="7"/>
  </w:num>
  <w:num w:numId="9">
    <w:abstractNumId w:val="10"/>
  </w:num>
  <w:num w:numId="10">
    <w:abstractNumId w:val="2"/>
  </w:num>
  <w:num w:numId="11">
    <w:abstractNumId w:val="13"/>
  </w:num>
  <w:num w:numId="12">
    <w:abstractNumId w:val="6"/>
  </w:num>
  <w:num w:numId="13">
    <w:abstractNumId w:val="1"/>
  </w:num>
  <w:num w:numId="14">
    <w:abstractNumId w:val="9"/>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rawingGridHorizontalSpacing w:val="120"/>
  <w:drawingGridVerticalSpacing w:val="163"/>
  <w:displayHorizontalDrawingGridEvery w:val="0"/>
  <w:displayVertic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E67"/>
    <w:rsid w:val="00026CDA"/>
    <w:rsid w:val="000317A7"/>
    <w:rsid w:val="000403F9"/>
    <w:rsid w:val="00041F50"/>
    <w:rsid w:val="00044318"/>
    <w:rsid w:val="00046941"/>
    <w:rsid w:val="0006717C"/>
    <w:rsid w:val="00073111"/>
    <w:rsid w:val="00073F03"/>
    <w:rsid w:val="00075837"/>
    <w:rsid w:val="000812BB"/>
    <w:rsid w:val="00081D65"/>
    <w:rsid w:val="000A1CCD"/>
    <w:rsid w:val="000A2CD1"/>
    <w:rsid w:val="000B4B12"/>
    <w:rsid w:val="000B6A89"/>
    <w:rsid w:val="000C0633"/>
    <w:rsid w:val="000D3A4B"/>
    <w:rsid w:val="000D4FE4"/>
    <w:rsid w:val="000E7C6A"/>
    <w:rsid w:val="00110472"/>
    <w:rsid w:val="001226EF"/>
    <w:rsid w:val="00122D55"/>
    <w:rsid w:val="0012412D"/>
    <w:rsid w:val="00127AF1"/>
    <w:rsid w:val="001329EA"/>
    <w:rsid w:val="00132D0A"/>
    <w:rsid w:val="00133117"/>
    <w:rsid w:val="00143A97"/>
    <w:rsid w:val="0014657A"/>
    <w:rsid w:val="00150058"/>
    <w:rsid w:val="001515BA"/>
    <w:rsid w:val="00160CC4"/>
    <w:rsid w:val="00174A76"/>
    <w:rsid w:val="001773C0"/>
    <w:rsid w:val="00177AE6"/>
    <w:rsid w:val="001903FA"/>
    <w:rsid w:val="001A42C1"/>
    <w:rsid w:val="001B32DF"/>
    <w:rsid w:val="001D1095"/>
    <w:rsid w:val="001D1C69"/>
    <w:rsid w:val="001D7437"/>
    <w:rsid w:val="001F0C9B"/>
    <w:rsid w:val="001F0CB9"/>
    <w:rsid w:val="001F1F91"/>
    <w:rsid w:val="001F2828"/>
    <w:rsid w:val="001F6A2C"/>
    <w:rsid w:val="002029D6"/>
    <w:rsid w:val="0022413A"/>
    <w:rsid w:val="00230FBA"/>
    <w:rsid w:val="002359E9"/>
    <w:rsid w:val="0025010C"/>
    <w:rsid w:val="002501F2"/>
    <w:rsid w:val="002515E2"/>
    <w:rsid w:val="0025316A"/>
    <w:rsid w:val="00266708"/>
    <w:rsid w:val="00273D3F"/>
    <w:rsid w:val="0027760A"/>
    <w:rsid w:val="002850B4"/>
    <w:rsid w:val="00290EED"/>
    <w:rsid w:val="002A0A1E"/>
    <w:rsid w:val="002B09D2"/>
    <w:rsid w:val="002B1FA1"/>
    <w:rsid w:val="002C35E8"/>
    <w:rsid w:val="002D2A65"/>
    <w:rsid w:val="002E099B"/>
    <w:rsid w:val="002F50DA"/>
    <w:rsid w:val="002F6857"/>
    <w:rsid w:val="003013C9"/>
    <w:rsid w:val="00302ED1"/>
    <w:rsid w:val="00303DFF"/>
    <w:rsid w:val="00312134"/>
    <w:rsid w:val="00326454"/>
    <w:rsid w:val="00331026"/>
    <w:rsid w:val="00332C30"/>
    <w:rsid w:val="00344CBF"/>
    <w:rsid w:val="00344E27"/>
    <w:rsid w:val="003477AC"/>
    <w:rsid w:val="00347DCD"/>
    <w:rsid w:val="00350554"/>
    <w:rsid w:val="00354C29"/>
    <w:rsid w:val="00370346"/>
    <w:rsid w:val="00370474"/>
    <w:rsid w:val="00385061"/>
    <w:rsid w:val="003872F0"/>
    <w:rsid w:val="003B4E76"/>
    <w:rsid w:val="003B782C"/>
    <w:rsid w:val="003C6926"/>
    <w:rsid w:val="003D46CC"/>
    <w:rsid w:val="003D4979"/>
    <w:rsid w:val="003E2368"/>
    <w:rsid w:val="003F39B9"/>
    <w:rsid w:val="004007A3"/>
    <w:rsid w:val="00416419"/>
    <w:rsid w:val="00423B28"/>
    <w:rsid w:val="0043784E"/>
    <w:rsid w:val="00443FA7"/>
    <w:rsid w:val="00465CC8"/>
    <w:rsid w:val="0047484C"/>
    <w:rsid w:val="0048775A"/>
    <w:rsid w:val="004905B4"/>
    <w:rsid w:val="00491F1E"/>
    <w:rsid w:val="004A0326"/>
    <w:rsid w:val="004A0AB3"/>
    <w:rsid w:val="004C2B9C"/>
    <w:rsid w:val="004C499D"/>
    <w:rsid w:val="004C4F33"/>
    <w:rsid w:val="004F2862"/>
    <w:rsid w:val="00500993"/>
    <w:rsid w:val="00501013"/>
    <w:rsid w:val="005023B5"/>
    <w:rsid w:val="00503EE0"/>
    <w:rsid w:val="005126CD"/>
    <w:rsid w:val="0051547A"/>
    <w:rsid w:val="00517C30"/>
    <w:rsid w:val="00540204"/>
    <w:rsid w:val="005514C1"/>
    <w:rsid w:val="00553F93"/>
    <w:rsid w:val="005573A3"/>
    <w:rsid w:val="00562B22"/>
    <w:rsid w:val="0058106A"/>
    <w:rsid w:val="005822CE"/>
    <w:rsid w:val="0058492E"/>
    <w:rsid w:val="005A002D"/>
    <w:rsid w:val="005B4971"/>
    <w:rsid w:val="005C0BF1"/>
    <w:rsid w:val="005C594F"/>
    <w:rsid w:val="005E176C"/>
    <w:rsid w:val="005E4735"/>
    <w:rsid w:val="005F0FAB"/>
    <w:rsid w:val="005F7DF8"/>
    <w:rsid w:val="00600CB9"/>
    <w:rsid w:val="0060545F"/>
    <w:rsid w:val="00606D80"/>
    <w:rsid w:val="00613618"/>
    <w:rsid w:val="00616A10"/>
    <w:rsid w:val="00624C18"/>
    <w:rsid w:val="00660A50"/>
    <w:rsid w:val="006812F1"/>
    <w:rsid w:val="006816D0"/>
    <w:rsid w:val="00695163"/>
    <w:rsid w:val="00695368"/>
    <w:rsid w:val="006A51BA"/>
    <w:rsid w:val="006B26F8"/>
    <w:rsid w:val="006F1094"/>
    <w:rsid w:val="0070369F"/>
    <w:rsid w:val="00707B0F"/>
    <w:rsid w:val="007137E7"/>
    <w:rsid w:val="00720588"/>
    <w:rsid w:val="00724F31"/>
    <w:rsid w:val="00725F53"/>
    <w:rsid w:val="00740E9D"/>
    <w:rsid w:val="0074399E"/>
    <w:rsid w:val="00753D7D"/>
    <w:rsid w:val="0076278E"/>
    <w:rsid w:val="00772602"/>
    <w:rsid w:val="007815AD"/>
    <w:rsid w:val="0078166C"/>
    <w:rsid w:val="00787849"/>
    <w:rsid w:val="00797E8E"/>
    <w:rsid w:val="007A0E45"/>
    <w:rsid w:val="007A34AE"/>
    <w:rsid w:val="007C1EDC"/>
    <w:rsid w:val="007D35C3"/>
    <w:rsid w:val="007D45AD"/>
    <w:rsid w:val="007E0309"/>
    <w:rsid w:val="007E56C2"/>
    <w:rsid w:val="007F3CE0"/>
    <w:rsid w:val="007F3E87"/>
    <w:rsid w:val="00812A28"/>
    <w:rsid w:val="00813E0E"/>
    <w:rsid w:val="0081624F"/>
    <w:rsid w:val="00820CC1"/>
    <w:rsid w:val="0082133B"/>
    <w:rsid w:val="00821CA3"/>
    <w:rsid w:val="008233E1"/>
    <w:rsid w:val="00824251"/>
    <w:rsid w:val="00833D19"/>
    <w:rsid w:val="008406D4"/>
    <w:rsid w:val="00841F35"/>
    <w:rsid w:val="008426FA"/>
    <w:rsid w:val="00843320"/>
    <w:rsid w:val="00845318"/>
    <w:rsid w:val="00856BC0"/>
    <w:rsid w:val="00860DE4"/>
    <w:rsid w:val="008653F5"/>
    <w:rsid w:val="00872BEE"/>
    <w:rsid w:val="008A3276"/>
    <w:rsid w:val="008B0D3E"/>
    <w:rsid w:val="008D0E67"/>
    <w:rsid w:val="008D3A3B"/>
    <w:rsid w:val="008D4EDD"/>
    <w:rsid w:val="008F20CC"/>
    <w:rsid w:val="008F4B6F"/>
    <w:rsid w:val="008F625F"/>
    <w:rsid w:val="008F6FAB"/>
    <w:rsid w:val="008F6FD7"/>
    <w:rsid w:val="00900790"/>
    <w:rsid w:val="00904212"/>
    <w:rsid w:val="00904F39"/>
    <w:rsid w:val="00910AB5"/>
    <w:rsid w:val="00913CB7"/>
    <w:rsid w:val="00913D67"/>
    <w:rsid w:val="00924E9F"/>
    <w:rsid w:val="00942A3D"/>
    <w:rsid w:val="009669B1"/>
    <w:rsid w:val="0097597C"/>
    <w:rsid w:val="009B1FA0"/>
    <w:rsid w:val="009B75DC"/>
    <w:rsid w:val="009C03AB"/>
    <w:rsid w:val="009C083C"/>
    <w:rsid w:val="009C48CE"/>
    <w:rsid w:val="009C5682"/>
    <w:rsid w:val="00A02285"/>
    <w:rsid w:val="00A030E0"/>
    <w:rsid w:val="00A075B0"/>
    <w:rsid w:val="00A1240A"/>
    <w:rsid w:val="00A16911"/>
    <w:rsid w:val="00A2260E"/>
    <w:rsid w:val="00A229A2"/>
    <w:rsid w:val="00A34344"/>
    <w:rsid w:val="00A4668F"/>
    <w:rsid w:val="00A705DA"/>
    <w:rsid w:val="00A85551"/>
    <w:rsid w:val="00A86CBB"/>
    <w:rsid w:val="00A923F0"/>
    <w:rsid w:val="00AA16D1"/>
    <w:rsid w:val="00AC4D61"/>
    <w:rsid w:val="00AC4E67"/>
    <w:rsid w:val="00AC5329"/>
    <w:rsid w:val="00AC5ABA"/>
    <w:rsid w:val="00AD0075"/>
    <w:rsid w:val="00AD0F52"/>
    <w:rsid w:val="00AD2759"/>
    <w:rsid w:val="00AD44B4"/>
    <w:rsid w:val="00AE0D46"/>
    <w:rsid w:val="00AF0E37"/>
    <w:rsid w:val="00AF12D0"/>
    <w:rsid w:val="00AF52C5"/>
    <w:rsid w:val="00B04C2E"/>
    <w:rsid w:val="00B1489D"/>
    <w:rsid w:val="00B34477"/>
    <w:rsid w:val="00B4123F"/>
    <w:rsid w:val="00B50F18"/>
    <w:rsid w:val="00B72130"/>
    <w:rsid w:val="00B7562F"/>
    <w:rsid w:val="00B75BA1"/>
    <w:rsid w:val="00B77F2A"/>
    <w:rsid w:val="00B83898"/>
    <w:rsid w:val="00B86B2F"/>
    <w:rsid w:val="00BA30A8"/>
    <w:rsid w:val="00BB441E"/>
    <w:rsid w:val="00BB5A04"/>
    <w:rsid w:val="00BB7A02"/>
    <w:rsid w:val="00BC4AFB"/>
    <w:rsid w:val="00BC601F"/>
    <w:rsid w:val="00BD4225"/>
    <w:rsid w:val="00BD7E42"/>
    <w:rsid w:val="00BE2745"/>
    <w:rsid w:val="00BE4795"/>
    <w:rsid w:val="00BF2EAE"/>
    <w:rsid w:val="00BF38D2"/>
    <w:rsid w:val="00C02455"/>
    <w:rsid w:val="00C24EB9"/>
    <w:rsid w:val="00C26D5B"/>
    <w:rsid w:val="00C3030C"/>
    <w:rsid w:val="00C41B99"/>
    <w:rsid w:val="00C50FB9"/>
    <w:rsid w:val="00C520D7"/>
    <w:rsid w:val="00C74041"/>
    <w:rsid w:val="00C8513B"/>
    <w:rsid w:val="00C861B3"/>
    <w:rsid w:val="00C90BEA"/>
    <w:rsid w:val="00C9167D"/>
    <w:rsid w:val="00CA247A"/>
    <w:rsid w:val="00CA2CD8"/>
    <w:rsid w:val="00CA7BFC"/>
    <w:rsid w:val="00CC2566"/>
    <w:rsid w:val="00CC5909"/>
    <w:rsid w:val="00CE26C2"/>
    <w:rsid w:val="00CE48E9"/>
    <w:rsid w:val="00CE6815"/>
    <w:rsid w:val="00CE6C9C"/>
    <w:rsid w:val="00CF03D3"/>
    <w:rsid w:val="00CF3A11"/>
    <w:rsid w:val="00D07D77"/>
    <w:rsid w:val="00D12E95"/>
    <w:rsid w:val="00D151E7"/>
    <w:rsid w:val="00D175C4"/>
    <w:rsid w:val="00D22391"/>
    <w:rsid w:val="00D411CB"/>
    <w:rsid w:val="00D44396"/>
    <w:rsid w:val="00D55A20"/>
    <w:rsid w:val="00D61237"/>
    <w:rsid w:val="00D65D2E"/>
    <w:rsid w:val="00D71F33"/>
    <w:rsid w:val="00D7547F"/>
    <w:rsid w:val="00D80154"/>
    <w:rsid w:val="00D81CC4"/>
    <w:rsid w:val="00D83E16"/>
    <w:rsid w:val="00DC4565"/>
    <w:rsid w:val="00DE491C"/>
    <w:rsid w:val="00DE4AA6"/>
    <w:rsid w:val="00E00214"/>
    <w:rsid w:val="00E02315"/>
    <w:rsid w:val="00E3078F"/>
    <w:rsid w:val="00E335ED"/>
    <w:rsid w:val="00E53F18"/>
    <w:rsid w:val="00E63D8D"/>
    <w:rsid w:val="00E64DAC"/>
    <w:rsid w:val="00E714A0"/>
    <w:rsid w:val="00E723DB"/>
    <w:rsid w:val="00E80CB0"/>
    <w:rsid w:val="00E84A25"/>
    <w:rsid w:val="00E857DA"/>
    <w:rsid w:val="00EA4561"/>
    <w:rsid w:val="00EA5B0B"/>
    <w:rsid w:val="00EC2701"/>
    <w:rsid w:val="00EC2A13"/>
    <w:rsid w:val="00EC2CBD"/>
    <w:rsid w:val="00EC788C"/>
    <w:rsid w:val="00ED051E"/>
    <w:rsid w:val="00EE38C3"/>
    <w:rsid w:val="00EE5264"/>
    <w:rsid w:val="00EF32E5"/>
    <w:rsid w:val="00F0774B"/>
    <w:rsid w:val="00F07F8B"/>
    <w:rsid w:val="00F159D6"/>
    <w:rsid w:val="00F1728A"/>
    <w:rsid w:val="00F255E4"/>
    <w:rsid w:val="00F34E66"/>
    <w:rsid w:val="00F41E3C"/>
    <w:rsid w:val="00F446E2"/>
    <w:rsid w:val="00F52643"/>
    <w:rsid w:val="00F53004"/>
    <w:rsid w:val="00F67744"/>
    <w:rsid w:val="00F75193"/>
    <w:rsid w:val="00F83186"/>
    <w:rsid w:val="00F87237"/>
    <w:rsid w:val="00F935F9"/>
    <w:rsid w:val="00FA292F"/>
    <w:rsid w:val="00FA3BC1"/>
    <w:rsid w:val="00FA4BD6"/>
    <w:rsid w:val="00FB0234"/>
    <w:rsid w:val="00FD05FA"/>
    <w:rsid w:val="00FD23C6"/>
    <w:rsid w:val="00FD4661"/>
    <w:rsid w:val="00FE7BE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159E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aj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D22391"/>
    <w:pPr>
      <w:numPr>
        <w:numId w:val="3"/>
      </w:numPr>
      <w:contextualSpacing/>
    </w:pPr>
    <w:rPr>
      <w:rFonts w:eastAsia="Calibri"/>
    </w:rPr>
  </w:style>
  <w:style w:type="table" w:styleId="TableGrid">
    <w:name w:val="Table Grid"/>
    <w:basedOn w:val="TableNormal"/>
    <w:uiPriority w:val="59"/>
    <w:rsid w:val="005573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1">
    <w:name w:val="Medium List 1"/>
    <w:basedOn w:val="TableNormal"/>
    <w:uiPriority w:val="65"/>
    <w:rsid w:val="005573A3"/>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ListParagraph">
    <w:name w:val="List Paragraph"/>
    <w:basedOn w:val="Normal"/>
    <w:uiPriority w:val="34"/>
    <w:qFormat/>
    <w:rsid w:val="000D3A4B"/>
    <w:pPr>
      <w:ind w:left="720"/>
      <w:contextualSpacing/>
    </w:pPr>
  </w:style>
  <w:style w:type="character" w:styleId="CommentReference">
    <w:name w:val="annotation reference"/>
    <w:basedOn w:val="DefaultParagraphFont"/>
    <w:uiPriority w:val="99"/>
    <w:semiHidden/>
    <w:unhideWhenUsed/>
    <w:rsid w:val="00CE48E9"/>
    <w:rPr>
      <w:sz w:val="18"/>
      <w:szCs w:val="18"/>
    </w:rPr>
  </w:style>
  <w:style w:type="paragraph" w:styleId="CommentText">
    <w:name w:val="annotation text"/>
    <w:basedOn w:val="Normal"/>
    <w:link w:val="CommentTextChar"/>
    <w:uiPriority w:val="99"/>
    <w:unhideWhenUsed/>
    <w:rsid w:val="00CE48E9"/>
  </w:style>
  <w:style w:type="character" w:customStyle="1" w:styleId="CommentTextChar">
    <w:name w:val="Comment Text Char"/>
    <w:basedOn w:val="DefaultParagraphFont"/>
    <w:link w:val="CommentText"/>
    <w:uiPriority w:val="99"/>
    <w:rsid w:val="00CE48E9"/>
  </w:style>
  <w:style w:type="paragraph" w:styleId="CommentSubject">
    <w:name w:val="annotation subject"/>
    <w:basedOn w:val="CommentText"/>
    <w:next w:val="CommentText"/>
    <w:link w:val="CommentSubjectChar"/>
    <w:uiPriority w:val="99"/>
    <w:semiHidden/>
    <w:unhideWhenUsed/>
    <w:rsid w:val="00CE48E9"/>
    <w:rPr>
      <w:b/>
      <w:bCs/>
    </w:rPr>
  </w:style>
  <w:style w:type="character" w:customStyle="1" w:styleId="CommentSubjectChar">
    <w:name w:val="Comment Subject Char"/>
    <w:basedOn w:val="CommentTextChar"/>
    <w:link w:val="CommentSubject"/>
    <w:uiPriority w:val="99"/>
    <w:semiHidden/>
    <w:rsid w:val="00CE48E9"/>
    <w:rPr>
      <w:b/>
      <w:bCs/>
    </w:rPr>
  </w:style>
  <w:style w:type="paragraph" w:styleId="BalloonText">
    <w:name w:val="Balloon Text"/>
    <w:basedOn w:val="Normal"/>
    <w:link w:val="BalloonTextChar"/>
    <w:uiPriority w:val="99"/>
    <w:semiHidden/>
    <w:unhideWhenUsed/>
    <w:rsid w:val="00CE48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48E9"/>
    <w:rPr>
      <w:rFonts w:ascii="Lucida Grande" w:hAnsi="Lucida Grande" w:cs="Lucida Grande"/>
      <w:sz w:val="18"/>
      <w:szCs w:val="18"/>
    </w:rPr>
  </w:style>
  <w:style w:type="paragraph" w:styleId="Revision">
    <w:name w:val="Revision"/>
    <w:hidden/>
    <w:uiPriority w:val="99"/>
    <w:semiHidden/>
    <w:rsid w:val="00772602"/>
  </w:style>
  <w:style w:type="paragraph" w:styleId="Header">
    <w:name w:val="header"/>
    <w:basedOn w:val="Normal"/>
    <w:link w:val="HeaderChar"/>
    <w:uiPriority w:val="99"/>
    <w:unhideWhenUsed/>
    <w:rsid w:val="002501F2"/>
    <w:pPr>
      <w:tabs>
        <w:tab w:val="center" w:pos="4419"/>
        <w:tab w:val="right" w:pos="8838"/>
      </w:tabs>
      <w:snapToGrid w:val="0"/>
    </w:pPr>
  </w:style>
  <w:style w:type="character" w:customStyle="1" w:styleId="HeaderChar">
    <w:name w:val="Header Char"/>
    <w:basedOn w:val="DefaultParagraphFont"/>
    <w:link w:val="Header"/>
    <w:uiPriority w:val="99"/>
    <w:rsid w:val="002501F2"/>
  </w:style>
  <w:style w:type="paragraph" w:styleId="Footer">
    <w:name w:val="footer"/>
    <w:basedOn w:val="Normal"/>
    <w:link w:val="FooterChar"/>
    <w:uiPriority w:val="99"/>
    <w:unhideWhenUsed/>
    <w:rsid w:val="002501F2"/>
    <w:pPr>
      <w:tabs>
        <w:tab w:val="center" w:pos="4419"/>
        <w:tab w:val="right" w:pos="8838"/>
      </w:tabs>
      <w:snapToGrid w:val="0"/>
    </w:pPr>
  </w:style>
  <w:style w:type="character" w:customStyle="1" w:styleId="FooterChar">
    <w:name w:val="Footer Char"/>
    <w:basedOn w:val="DefaultParagraphFont"/>
    <w:link w:val="Footer"/>
    <w:uiPriority w:val="99"/>
    <w:rsid w:val="002501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aj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D22391"/>
    <w:pPr>
      <w:numPr>
        <w:numId w:val="3"/>
      </w:numPr>
      <w:contextualSpacing/>
    </w:pPr>
    <w:rPr>
      <w:rFonts w:eastAsia="Calibri"/>
    </w:rPr>
  </w:style>
  <w:style w:type="table" w:styleId="TableGrid">
    <w:name w:val="Table Grid"/>
    <w:basedOn w:val="TableNormal"/>
    <w:uiPriority w:val="59"/>
    <w:rsid w:val="005573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1">
    <w:name w:val="Medium List 1"/>
    <w:basedOn w:val="TableNormal"/>
    <w:uiPriority w:val="65"/>
    <w:rsid w:val="005573A3"/>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ListParagraph">
    <w:name w:val="List Paragraph"/>
    <w:basedOn w:val="Normal"/>
    <w:uiPriority w:val="34"/>
    <w:qFormat/>
    <w:rsid w:val="000D3A4B"/>
    <w:pPr>
      <w:ind w:left="720"/>
      <w:contextualSpacing/>
    </w:pPr>
  </w:style>
  <w:style w:type="character" w:styleId="CommentReference">
    <w:name w:val="annotation reference"/>
    <w:basedOn w:val="DefaultParagraphFont"/>
    <w:uiPriority w:val="99"/>
    <w:semiHidden/>
    <w:unhideWhenUsed/>
    <w:rsid w:val="00CE48E9"/>
    <w:rPr>
      <w:sz w:val="18"/>
      <w:szCs w:val="18"/>
    </w:rPr>
  </w:style>
  <w:style w:type="paragraph" w:styleId="CommentText">
    <w:name w:val="annotation text"/>
    <w:basedOn w:val="Normal"/>
    <w:link w:val="CommentTextChar"/>
    <w:uiPriority w:val="99"/>
    <w:unhideWhenUsed/>
    <w:rsid w:val="00CE48E9"/>
  </w:style>
  <w:style w:type="character" w:customStyle="1" w:styleId="CommentTextChar">
    <w:name w:val="Comment Text Char"/>
    <w:basedOn w:val="DefaultParagraphFont"/>
    <w:link w:val="CommentText"/>
    <w:uiPriority w:val="99"/>
    <w:rsid w:val="00CE48E9"/>
  </w:style>
  <w:style w:type="paragraph" w:styleId="CommentSubject">
    <w:name w:val="annotation subject"/>
    <w:basedOn w:val="CommentText"/>
    <w:next w:val="CommentText"/>
    <w:link w:val="CommentSubjectChar"/>
    <w:uiPriority w:val="99"/>
    <w:semiHidden/>
    <w:unhideWhenUsed/>
    <w:rsid w:val="00CE48E9"/>
    <w:rPr>
      <w:b/>
      <w:bCs/>
    </w:rPr>
  </w:style>
  <w:style w:type="character" w:customStyle="1" w:styleId="CommentSubjectChar">
    <w:name w:val="Comment Subject Char"/>
    <w:basedOn w:val="CommentTextChar"/>
    <w:link w:val="CommentSubject"/>
    <w:uiPriority w:val="99"/>
    <w:semiHidden/>
    <w:rsid w:val="00CE48E9"/>
    <w:rPr>
      <w:b/>
      <w:bCs/>
    </w:rPr>
  </w:style>
  <w:style w:type="paragraph" w:styleId="BalloonText">
    <w:name w:val="Balloon Text"/>
    <w:basedOn w:val="Normal"/>
    <w:link w:val="BalloonTextChar"/>
    <w:uiPriority w:val="99"/>
    <w:semiHidden/>
    <w:unhideWhenUsed/>
    <w:rsid w:val="00CE48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48E9"/>
    <w:rPr>
      <w:rFonts w:ascii="Lucida Grande" w:hAnsi="Lucida Grande" w:cs="Lucida Grande"/>
      <w:sz w:val="18"/>
      <w:szCs w:val="18"/>
    </w:rPr>
  </w:style>
  <w:style w:type="paragraph" w:styleId="Revision">
    <w:name w:val="Revision"/>
    <w:hidden/>
    <w:uiPriority w:val="99"/>
    <w:semiHidden/>
    <w:rsid w:val="00772602"/>
  </w:style>
  <w:style w:type="paragraph" w:styleId="Header">
    <w:name w:val="header"/>
    <w:basedOn w:val="Normal"/>
    <w:link w:val="HeaderChar"/>
    <w:uiPriority w:val="99"/>
    <w:unhideWhenUsed/>
    <w:rsid w:val="002501F2"/>
    <w:pPr>
      <w:tabs>
        <w:tab w:val="center" w:pos="4419"/>
        <w:tab w:val="right" w:pos="8838"/>
      </w:tabs>
      <w:snapToGrid w:val="0"/>
    </w:pPr>
  </w:style>
  <w:style w:type="character" w:customStyle="1" w:styleId="HeaderChar">
    <w:name w:val="Header Char"/>
    <w:basedOn w:val="DefaultParagraphFont"/>
    <w:link w:val="Header"/>
    <w:uiPriority w:val="99"/>
    <w:rsid w:val="002501F2"/>
  </w:style>
  <w:style w:type="paragraph" w:styleId="Footer">
    <w:name w:val="footer"/>
    <w:basedOn w:val="Normal"/>
    <w:link w:val="FooterChar"/>
    <w:uiPriority w:val="99"/>
    <w:unhideWhenUsed/>
    <w:rsid w:val="002501F2"/>
    <w:pPr>
      <w:tabs>
        <w:tab w:val="center" w:pos="4419"/>
        <w:tab w:val="right" w:pos="8838"/>
      </w:tabs>
      <w:snapToGrid w:val="0"/>
    </w:pPr>
  </w:style>
  <w:style w:type="character" w:customStyle="1" w:styleId="FooterChar">
    <w:name w:val="Footer Char"/>
    <w:basedOn w:val="DefaultParagraphFont"/>
    <w:link w:val="Footer"/>
    <w:uiPriority w:val="99"/>
    <w:rsid w:val="00250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9331">
      <w:bodyDiv w:val="1"/>
      <w:marLeft w:val="0"/>
      <w:marRight w:val="0"/>
      <w:marTop w:val="0"/>
      <w:marBottom w:val="0"/>
      <w:divBdr>
        <w:top w:val="none" w:sz="0" w:space="0" w:color="auto"/>
        <w:left w:val="none" w:sz="0" w:space="0" w:color="auto"/>
        <w:bottom w:val="none" w:sz="0" w:space="0" w:color="auto"/>
        <w:right w:val="none" w:sz="0" w:space="0" w:color="auto"/>
      </w:divBdr>
      <w:divsChild>
        <w:div w:id="2035106207">
          <w:marLeft w:val="0"/>
          <w:marRight w:val="0"/>
          <w:marTop w:val="0"/>
          <w:marBottom w:val="0"/>
          <w:divBdr>
            <w:top w:val="none" w:sz="0" w:space="0" w:color="auto"/>
            <w:left w:val="none" w:sz="0" w:space="0" w:color="auto"/>
            <w:bottom w:val="none" w:sz="0" w:space="0" w:color="auto"/>
            <w:right w:val="none" w:sz="0" w:space="0" w:color="auto"/>
          </w:divBdr>
        </w:div>
      </w:divsChild>
    </w:div>
    <w:div w:id="24596083">
      <w:bodyDiv w:val="1"/>
      <w:marLeft w:val="0"/>
      <w:marRight w:val="0"/>
      <w:marTop w:val="0"/>
      <w:marBottom w:val="0"/>
      <w:divBdr>
        <w:top w:val="none" w:sz="0" w:space="0" w:color="auto"/>
        <w:left w:val="none" w:sz="0" w:space="0" w:color="auto"/>
        <w:bottom w:val="none" w:sz="0" w:space="0" w:color="auto"/>
        <w:right w:val="none" w:sz="0" w:space="0" w:color="auto"/>
      </w:divBdr>
      <w:divsChild>
        <w:div w:id="1264068637">
          <w:marLeft w:val="0"/>
          <w:marRight w:val="0"/>
          <w:marTop w:val="0"/>
          <w:marBottom w:val="0"/>
          <w:divBdr>
            <w:top w:val="none" w:sz="0" w:space="0" w:color="auto"/>
            <w:left w:val="none" w:sz="0" w:space="0" w:color="auto"/>
            <w:bottom w:val="none" w:sz="0" w:space="0" w:color="auto"/>
            <w:right w:val="none" w:sz="0" w:space="0" w:color="auto"/>
          </w:divBdr>
        </w:div>
      </w:divsChild>
    </w:div>
    <w:div w:id="36398141">
      <w:bodyDiv w:val="1"/>
      <w:marLeft w:val="0"/>
      <w:marRight w:val="0"/>
      <w:marTop w:val="0"/>
      <w:marBottom w:val="0"/>
      <w:divBdr>
        <w:top w:val="none" w:sz="0" w:space="0" w:color="auto"/>
        <w:left w:val="none" w:sz="0" w:space="0" w:color="auto"/>
        <w:bottom w:val="none" w:sz="0" w:space="0" w:color="auto"/>
        <w:right w:val="none" w:sz="0" w:space="0" w:color="auto"/>
      </w:divBdr>
      <w:divsChild>
        <w:div w:id="1996832295">
          <w:marLeft w:val="0"/>
          <w:marRight w:val="0"/>
          <w:marTop w:val="0"/>
          <w:marBottom w:val="0"/>
          <w:divBdr>
            <w:top w:val="none" w:sz="0" w:space="0" w:color="auto"/>
            <w:left w:val="none" w:sz="0" w:space="0" w:color="auto"/>
            <w:bottom w:val="none" w:sz="0" w:space="0" w:color="auto"/>
            <w:right w:val="none" w:sz="0" w:space="0" w:color="auto"/>
          </w:divBdr>
        </w:div>
      </w:divsChild>
    </w:div>
    <w:div w:id="65348608">
      <w:bodyDiv w:val="1"/>
      <w:marLeft w:val="0"/>
      <w:marRight w:val="0"/>
      <w:marTop w:val="0"/>
      <w:marBottom w:val="0"/>
      <w:divBdr>
        <w:top w:val="none" w:sz="0" w:space="0" w:color="auto"/>
        <w:left w:val="none" w:sz="0" w:space="0" w:color="auto"/>
        <w:bottom w:val="none" w:sz="0" w:space="0" w:color="auto"/>
        <w:right w:val="none" w:sz="0" w:space="0" w:color="auto"/>
      </w:divBdr>
      <w:divsChild>
        <w:div w:id="1552040634">
          <w:marLeft w:val="0"/>
          <w:marRight w:val="0"/>
          <w:marTop w:val="0"/>
          <w:marBottom w:val="0"/>
          <w:divBdr>
            <w:top w:val="none" w:sz="0" w:space="0" w:color="auto"/>
            <w:left w:val="none" w:sz="0" w:space="0" w:color="auto"/>
            <w:bottom w:val="none" w:sz="0" w:space="0" w:color="auto"/>
            <w:right w:val="none" w:sz="0" w:space="0" w:color="auto"/>
          </w:divBdr>
        </w:div>
      </w:divsChild>
    </w:div>
    <w:div w:id="94520930">
      <w:bodyDiv w:val="1"/>
      <w:marLeft w:val="0"/>
      <w:marRight w:val="0"/>
      <w:marTop w:val="0"/>
      <w:marBottom w:val="0"/>
      <w:divBdr>
        <w:top w:val="none" w:sz="0" w:space="0" w:color="auto"/>
        <w:left w:val="none" w:sz="0" w:space="0" w:color="auto"/>
        <w:bottom w:val="none" w:sz="0" w:space="0" w:color="auto"/>
        <w:right w:val="none" w:sz="0" w:space="0" w:color="auto"/>
      </w:divBdr>
      <w:divsChild>
        <w:div w:id="886644468">
          <w:marLeft w:val="0"/>
          <w:marRight w:val="0"/>
          <w:marTop w:val="0"/>
          <w:marBottom w:val="0"/>
          <w:divBdr>
            <w:top w:val="none" w:sz="0" w:space="0" w:color="auto"/>
            <w:left w:val="none" w:sz="0" w:space="0" w:color="auto"/>
            <w:bottom w:val="none" w:sz="0" w:space="0" w:color="auto"/>
            <w:right w:val="none" w:sz="0" w:space="0" w:color="auto"/>
          </w:divBdr>
        </w:div>
      </w:divsChild>
    </w:div>
    <w:div w:id="122768774">
      <w:bodyDiv w:val="1"/>
      <w:marLeft w:val="0"/>
      <w:marRight w:val="0"/>
      <w:marTop w:val="0"/>
      <w:marBottom w:val="0"/>
      <w:divBdr>
        <w:top w:val="none" w:sz="0" w:space="0" w:color="auto"/>
        <w:left w:val="none" w:sz="0" w:space="0" w:color="auto"/>
        <w:bottom w:val="none" w:sz="0" w:space="0" w:color="auto"/>
        <w:right w:val="none" w:sz="0" w:space="0" w:color="auto"/>
      </w:divBdr>
      <w:divsChild>
        <w:div w:id="1977832951">
          <w:marLeft w:val="0"/>
          <w:marRight w:val="0"/>
          <w:marTop w:val="0"/>
          <w:marBottom w:val="0"/>
          <w:divBdr>
            <w:top w:val="none" w:sz="0" w:space="0" w:color="auto"/>
            <w:left w:val="none" w:sz="0" w:space="0" w:color="auto"/>
            <w:bottom w:val="none" w:sz="0" w:space="0" w:color="auto"/>
            <w:right w:val="none" w:sz="0" w:space="0" w:color="auto"/>
          </w:divBdr>
        </w:div>
      </w:divsChild>
    </w:div>
    <w:div w:id="195968452">
      <w:bodyDiv w:val="1"/>
      <w:marLeft w:val="0"/>
      <w:marRight w:val="0"/>
      <w:marTop w:val="0"/>
      <w:marBottom w:val="0"/>
      <w:divBdr>
        <w:top w:val="none" w:sz="0" w:space="0" w:color="auto"/>
        <w:left w:val="none" w:sz="0" w:space="0" w:color="auto"/>
        <w:bottom w:val="none" w:sz="0" w:space="0" w:color="auto"/>
        <w:right w:val="none" w:sz="0" w:space="0" w:color="auto"/>
      </w:divBdr>
    </w:div>
    <w:div w:id="233321958">
      <w:bodyDiv w:val="1"/>
      <w:marLeft w:val="0"/>
      <w:marRight w:val="0"/>
      <w:marTop w:val="0"/>
      <w:marBottom w:val="0"/>
      <w:divBdr>
        <w:top w:val="none" w:sz="0" w:space="0" w:color="auto"/>
        <w:left w:val="none" w:sz="0" w:space="0" w:color="auto"/>
        <w:bottom w:val="none" w:sz="0" w:space="0" w:color="auto"/>
        <w:right w:val="none" w:sz="0" w:space="0" w:color="auto"/>
      </w:divBdr>
      <w:divsChild>
        <w:div w:id="895898213">
          <w:marLeft w:val="0"/>
          <w:marRight w:val="0"/>
          <w:marTop w:val="0"/>
          <w:marBottom w:val="0"/>
          <w:divBdr>
            <w:top w:val="none" w:sz="0" w:space="0" w:color="auto"/>
            <w:left w:val="none" w:sz="0" w:space="0" w:color="auto"/>
            <w:bottom w:val="none" w:sz="0" w:space="0" w:color="auto"/>
            <w:right w:val="none" w:sz="0" w:space="0" w:color="auto"/>
          </w:divBdr>
        </w:div>
      </w:divsChild>
    </w:div>
    <w:div w:id="272981338">
      <w:bodyDiv w:val="1"/>
      <w:marLeft w:val="0"/>
      <w:marRight w:val="0"/>
      <w:marTop w:val="0"/>
      <w:marBottom w:val="0"/>
      <w:divBdr>
        <w:top w:val="none" w:sz="0" w:space="0" w:color="auto"/>
        <w:left w:val="none" w:sz="0" w:space="0" w:color="auto"/>
        <w:bottom w:val="none" w:sz="0" w:space="0" w:color="auto"/>
        <w:right w:val="none" w:sz="0" w:space="0" w:color="auto"/>
      </w:divBdr>
      <w:divsChild>
        <w:div w:id="342512032">
          <w:marLeft w:val="0"/>
          <w:marRight w:val="0"/>
          <w:marTop w:val="0"/>
          <w:marBottom w:val="0"/>
          <w:divBdr>
            <w:top w:val="none" w:sz="0" w:space="0" w:color="auto"/>
            <w:left w:val="none" w:sz="0" w:space="0" w:color="auto"/>
            <w:bottom w:val="none" w:sz="0" w:space="0" w:color="auto"/>
            <w:right w:val="none" w:sz="0" w:space="0" w:color="auto"/>
          </w:divBdr>
        </w:div>
      </w:divsChild>
    </w:div>
    <w:div w:id="275410796">
      <w:bodyDiv w:val="1"/>
      <w:marLeft w:val="0"/>
      <w:marRight w:val="0"/>
      <w:marTop w:val="0"/>
      <w:marBottom w:val="0"/>
      <w:divBdr>
        <w:top w:val="none" w:sz="0" w:space="0" w:color="auto"/>
        <w:left w:val="none" w:sz="0" w:space="0" w:color="auto"/>
        <w:bottom w:val="none" w:sz="0" w:space="0" w:color="auto"/>
        <w:right w:val="none" w:sz="0" w:space="0" w:color="auto"/>
      </w:divBdr>
      <w:divsChild>
        <w:div w:id="1976523">
          <w:marLeft w:val="0"/>
          <w:marRight w:val="0"/>
          <w:marTop w:val="0"/>
          <w:marBottom w:val="0"/>
          <w:divBdr>
            <w:top w:val="none" w:sz="0" w:space="0" w:color="auto"/>
            <w:left w:val="none" w:sz="0" w:space="0" w:color="auto"/>
            <w:bottom w:val="none" w:sz="0" w:space="0" w:color="auto"/>
            <w:right w:val="none" w:sz="0" w:space="0" w:color="auto"/>
          </w:divBdr>
        </w:div>
      </w:divsChild>
    </w:div>
    <w:div w:id="326859804">
      <w:bodyDiv w:val="1"/>
      <w:marLeft w:val="0"/>
      <w:marRight w:val="0"/>
      <w:marTop w:val="0"/>
      <w:marBottom w:val="0"/>
      <w:divBdr>
        <w:top w:val="none" w:sz="0" w:space="0" w:color="auto"/>
        <w:left w:val="none" w:sz="0" w:space="0" w:color="auto"/>
        <w:bottom w:val="none" w:sz="0" w:space="0" w:color="auto"/>
        <w:right w:val="none" w:sz="0" w:space="0" w:color="auto"/>
      </w:divBdr>
      <w:divsChild>
        <w:div w:id="353195188">
          <w:marLeft w:val="0"/>
          <w:marRight w:val="0"/>
          <w:marTop w:val="0"/>
          <w:marBottom w:val="0"/>
          <w:divBdr>
            <w:top w:val="none" w:sz="0" w:space="0" w:color="auto"/>
            <w:left w:val="none" w:sz="0" w:space="0" w:color="auto"/>
            <w:bottom w:val="none" w:sz="0" w:space="0" w:color="auto"/>
            <w:right w:val="none" w:sz="0" w:space="0" w:color="auto"/>
          </w:divBdr>
        </w:div>
      </w:divsChild>
    </w:div>
    <w:div w:id="369186630">
      <w:bodyDiv w:val="1"/>
      <w:marLeft w:val="0"/>
      <w:marRight w:val="0"/>
      <w:marTop w:val="0"/>
      <w:marBottom w:val="0"/>
      <w:divBdr>
        <w:top w:val="none" w:sz="0" w:space="0" w:color="auto"/>
        <w:left w:val="none" w:sz="0" w:space="0" w:color="auto"/>
        <w:bottom w:val="none" w:sz="0" w:space="0" w:color="auto"/>
        <w:right w:val="none" w:sz="0" w:space="0" w:color="auto"/>
      </w:divBdr>
    </w:div>
    <w:div w:id="373385641">
      <w:bodyDiv w:val="1"/>
      <w:marLeft w:val="0"/>
      <w:marRight w:val="0"/>
      <w:marTop w:val="0"/>
      <w:marBottom w:val="0"/>
      <w:divBdr>
        <w:top w:val="none" w:sz="0" w:space="0" w:color="auto"/>
        <w:left w:val="none" w:sz="0" w:space="0" w:color="auto"/>
        <w:bottom w:val="none" w:sz="0" w:space="0" w:color="auto"/>
        <w:right w:val="none" w:sz="0" w:space="0" w:color="auto"/>
      </w:divBdr>
      <w:divsChild>
        <w:div w:id="745148117">
          <w:marLeft w:val="0"/>
          <w:marRight w:val="0"/>
          <w:marTop w:val="0"/>
          <w:marBottom w:val="0"/>
          <w:divBdr>
            <w:top w:val="none" w:sz="0" w:space="0" w:color="auto"/>
            <w:left w:val="none" w:sz="0" w:space="0" w:color="auto"/>
            <w:bottom w:val="none" w:sz="0" w:space="0" w:color="auto"/>
            <w:right w:val="none" w:sz="0" w:space="0" w:color="auto"/>
          </w:divBdr>
        </w:div>
      </w:divsChild>
    </w:div>
    <w:div w:id="392822939">
      <w:bodyDiv w:val="1"/>
      <w:marLeft w:val="0"/>
      <w:marRight w:val="0"/>
      <w:marTop w:val="0"/>
      <w:marBottom w:val="0"/>
      <w:divBdr>
        <w:top w:val="none" w:sz="0" w:space="0" w:color="auto"/>
        <w:left w:val="none" w:sz="0" w:space="0" w:color="auto"/>
        <w:bottom w:val="none" w:sz="0" w:space="0" w:color="auto"/>
        <w:right w:val="none" w:sz="0" w:space="0" w:color="auto"/>
      </w:divBdr>
      <w:divsChild>
        <w:div w:id="1740514464">
          <w:marLeft w:val="0"/>
          <w:marRight w:val="0"/>
          <w:marTop w:val="0"/>
          <w:marBottom w:val="0"/>
          <w:divBdr>
            <w:top w:val="none" w:sz="0" w:space="0" w:color="auto"/>
            <w:left w:val="none" w:sz="0" w:space="0" w:color="auto"/>
            <w:bottom w:val="none" w:sz="0" w:space="0" w:color="auto"/>
            <w:right w:val="none" w:sz="0" w:space="0" w:color="auto"/>
          </w:divBdr>
        </w:div>
      </w:divsChild>
    </w:div>
    <w:div w:id="395132399">
      <w:bodyDiv w:val="1"/>
      <w:marLeft w:val="0"/>
      <w:marRight w:val="0"/>
      <w:marTop w:val="0"/>
      <w:marBottom w:val="0"/>
      <w:divBdr>
        <w:top w:val="none" w:sz="0" w:space="0" w:color="auto"/>
        <w:left w:val="none" w:sz="0" w:space="0" w:color="auto"/>
        <w:bottom w:val="none" w:sz="0" w:space="0" w:color="auto"/>
        <w:right w:val="none" w:sz="0" w:space="0" w:color="auto"/>
      </w:divBdr>
      <w:divsChild>
        <w:div w:id="1981644369">
          <w:marLeft w:val="0"/>
          <w:marRight w:val="0"/>
          <w:marTop w:val="0"/>
          <w:marBottom w:val="0"/>
          <w:divBdr>
            <w:top w:val="none" w:sz="0" w:space="0" w:color="auto"/>
            <w:left w:val="none" w:sz="0" w:space="0" w:color="auto"/>
            <w:bottom w:val="none" w:sz="0" w:space="0" w:color="auto"/>
            <w:right w:val="none" w:sz="0" w:space="0" w:color="auto"/>
          </w:divBdr>
        </w:div>
      </w:divsChild>
    </w:div>
    <w:div w:id="452749953">
      <w:bodyDiv w:val="1"/>
      <w:marLeft w:val="0"/>
      <w:marRight w:val="0"/>
      <w:marTop w:val="0"/>
      <w:marBottom w:val="0"/>
      <w:divBdr>
        <w:top w:val="none" w:sz="0" w:space="0" w:color="auto"/>
        <w:left w:val="none" w:sz="0" w:space="0" w:color="auto"/>
        <w:bottom w:val="none" w:sz="0" w:space="0" w:color="auto"/>
        <w:right w:val="none" w:sz="0" w:space="0" w:color="auto"/>
      </w:divBdr>
      <w:divsChild>
        <w:div w:id="985209922">
          <w:marLeft w:val="0"/>
          <w:marRight w:val="0"/>
          <w:marTop w:val="0"/>
          <w:marBottom w:val="0"/>
          <w:divBdr>
            <w:top w:val="none" w:sz="0" w:space="0" w:color="auto"/>
            <w:left w:val="none" w:sz="0" w:space="0" w:color="auto"/>
            <w:bottom w:val="none" w:sz="0" w:space="0" w:color="auto"/>
            <w:right w:val="none" w:sz="0" w:space="0" w:color="auto"/>
          </w:divBdr>
        </w:div>
      </w:divsChild>
    </w:div>
    <w:div w:id="490293654">
      <w:bodyDiv w:val="1"/>
      <w:marLeft w:val="0"/>
      <w:marRight w:val="0"/>
      <w:marTop w:val="0"/>
      <w:marBottom w:val="0"/>
      <w:divBdr>
        <w:top w:val="none" w:sz="0" w:space="0" w:color="auto"/>
        <w:left w:val="none" w:sz="0" w:space="0" w:color="auto"/>
        <w:bottom w:val="none" w:sz="0" w:space="0" w:color="auto"/>
        <w:right w:val="none" w:sz="0" w:space="0" w:color="auto"/>
      </w:divBdr>
      <w:divsChild>
        <w:div w:id="297346081">
          <w:marLeft w:val="0"/>
          <w:marRight w:val="0"/>
          <w:marTop w:val="0"/>
          <w:marBottom w:val="0"/>
          <w:divBdr>
            <w:top w:val="none" w:sz="0" w:space="0" w:color="auto"/>
            <w:left w:val="none" w:sz="0" w:space="0" w:color="auto"/>
            <w:bottom w:val="none" w:sz="0" w:space="0" w:color="auto"/>
            <w:right w:val="none" w:sz="0" w:space="0" w:color="auto"/>
          </w:divBdr>
        </w:div>
      </w:divsChild>
    </w:div>
    <w:div w:id="551966032">
      <w:bodyDiv w:val="1"/>
      <w:marLeft w:val="0"/>
      <w:marRight w:val="0"/>
      <w:marTop w:val="0"/>
      <w:marBottom w:val="0"/>
      <w:divBdr>
        <w:top w:val="none" w:sz="0" w:space="0" w:color="auto"/>
        <w:left w:val="none" w:sz="0" w:space="0" w:color="auto"/>
        <w:bottom w:val="none" w:sz="0" w:space="0" w:color="auto"/>
        <w:right w:val="none" w:sz="0" w:space="0" w:color="auto"/>
      </w:divBdr>
      <w:divsChild>
        <w:div w:id="621302477">
          <w:marLeft w:val="0"/>
          <w:marRight w:val="0"/>
          <w:marTop w:val="0"/>
          <w:marBottom w:val="0"/>
          <w:divBdr>
            <w:top w:val="none" w:sz="0" w:space="0" w:color="auto"/>
            <w:left w:val="none" w:sz="0" w:space="0" w:color="auto"/>
            <w:bottom w:val="none" w:sz="0" w:space="0" w:color="auto"/>
            <w:right w:val="none" w:sz="0" w:space="0" w:color="auto"/>
          </w:divBdr>
        </w:div>
      </w:divsChild>
    </w:div>
    <w:div w:id="599410590">
      <w:bodyDiv w:val="1"/>
      <w:marLeft w:val="0"/>
      <w:marRight w:val="0"/>
      <w:marTop w:val="0"/>
      <w:marBottom w:val="0"/>
      <w:divBdr>
        <w:top w:val="none" w:sz="0" w:space="0" w:color="auto"/>
        <w:left w:val="none" w:sz="0" w:space="0" w:color="auto"/>
        <w:bottom w:val="none" w:sz="0" w:space="0" w:color="auto"/>
        <w:right w:val="none" w:sz="0" w:space="0" w:color="auto"/>
      </w:divBdr>
    </w:div>
    <w:div w:id="610623721">
      <w:bodyDiv w:val="1"/>
      <w:marLeft w:val="0"/>
      <w:marRight w:val="0"/>
      <w:marTop w:val="0"/>
      <w:marBottom w:val="0"/>
      <w:divBdr>
        <w:top w:val="none" w:sz="0" w:space="0" w:color="auto"/>
        <w:left w:val="none" w:sz="0" w:space="0" w:color="auto"/>
        <w:bottom w:val="none" w:sz="0" w:space="0" w:color="auto"/>
        <w:right w:val="none" w:sz="0" w:space="0" w:color="auto"/>
      </w:divBdr>
      <w:divsChild>
        <w:div w:id="388462688">
          <w:marLeft w:val="0"/>
          <w:marRight w:val="0"/>
          <w:marTop w:val="0"/>
          <w:marBottom w:val="0"/>
          <w:divBdr>
            <w:top w:val="none" w:sz="0" w:space="0" w:color="auto"/>
            <w:left w:val="none" w:sz="0" w:space="0" w:color="auto"/>
            <w:bottom w:val="none" w:sz="0" w:space="0" w:color="auto"/>
            <w:right w:val="none" w:sz="0" w:space="0" w:color="auto"/>
          </w:divBdr>
        </w:div>
      </w:divsChild>
    </w:div>
    <w:div w:id="649556672">
      <w:bodyDiv w:val="1"/>
      <w:marLeft w:val="0"/>
      <w:marRight w:val="0"/>
      <w:marTop w:val="0"/>
      <w:marBottom w:val="0"/>
      <w:divBdr>
        <w:top w:val="none" w:sz="0" w:space="0" w:color="auto"/>
        <w:left w:val="none" w:sz="0" w:space="0" w:color="auto"/>
        <w:bottom w:val="none" w:sz="0" w:space="0" w:color="auto"/>
        <w:right w:val="none" w:sz="0" w:space="0" w:color="auto"/>
      </w:divBdr>
      <w:divsChild>
        <w:div w:id="1665626061">
          <w:marLeft w:val="0"/>
          <w:marRight w:val="0"/>
          <w:marTop w:val="0"/>
          <w:marBottom w:val="0"/>
          <w:divBdr>
            <w:top w:val="none" w:sz="0" w:space="0" w:color="auto"/>
            <w:left w:val="none" w:sz="0" w:space="0" w:color="auto"/>
            <w:bottom w:val="none" w:sz="0" w:space="0" w:color="auto"/>
            <w:right w:val="none" w:sz="0" w:space="0" w:color="auto"/>
          </w:divBdr>
        </w:div>
      </w:divsChild>
    </w:div>
    <w:div w:id="696933250">
      <w:bodyDiv w:val="1"/>
      <w:marLeft w:val="0"/>
      <w:marRight w:val="0"/>
      <w:marTop w:val="0"/>
      <w:marBottom w:val="0"/>
      <w:divBdr>
        <w:top w:val="none" w:sz="0" w:space="0" w:color="auto"/>
        <w:left w:val="none" w:sz="0" w:space="0" w:color="auto"/>
        <w:bottom w:val="none" w:sz="0" w:space="0" w:color="auto"/>
        <w:right w:val="none" w:sz="0" w:space="0" w:color="auto"/>
      </w:divBdr>
      <w:divsChild>
        <w:div w:id="76371892">
          <w:marLeft w:val="0"/>
          <w:marRight w:val="0"/>
          <w:marTop w:val="0"/>
          <w:marBottom w:val="0"/>
          <w:divBdr>
            <w:top w:val="none" w:sz="0" w:space="0" w:color="auto"/>
            <w:left w:val="none" w:sz="0" w:space="0" w:color="auto"/>
            <w:bottom w:val="none" w:sz="0" w:space="0" w:color="auto"/>
            <w:right w:val="none" w:sz="0" w:space="0" w:color="auto"/>
          </w:divBdr>
        </w:div>
      </w:divsChild>
    </w:div>
    <w:div w:id="745811114">
      <w:bodyDiv w:val="1"/>
      <w:marLeft w:val="0"/>
      <w:marRight w:val="0"/>
      <w:marTop w:val="0"/>
      <w:marBottom w:val="0"/>
      <w:divBdr>
        <w:top w:val="none" w:sz="0" w:space="0" w:color="auto"/>
        <w:left w:val="none" w:sz="0" w:space="0" w:color="auto"/>
        <w:bottom w:val="none" w:sz="0" w:space="0" w:color="auto"/>
        <w:right w:val="none" w:sz="0" w:space="0" w:color="auto"/>
      </w:divBdr>
      <w:divsChild>
        <w:div w:id="1067265145">
          <w:marLeft w:val="0"/>
          <w:marRight w:val="0"/>
          <w:marTop w:val="0"/>
          <w:marBottom w:val="0"/>
          <w:divBdr>
            <w:top w:val="none" w:sz="0" w:space="0" w:color="auto"/>
            <w:left w:val="none" w:sz="0" w:space="0" w:color="auto"/>
            <w:bottom w:val="none" w:sz="0" w:space="0" w:color="auto"/>
            <w:right w:val="none" w:sz="0" w:space="0" w:color="auto"/>
          </w:divBdr>
        </w:div>
      </w:divsChild>
    </w:div>
    <w:div w:id="823156584">
      <w:bodyDiv w:val="1"/>
      <w:marLeft w:val="0"/>
      <w:marRight w:val="0"/>
      <w:marTop w:val="0"/>
      <w:marBottom w:val="0"/>
      <w:divBdr>
        <w:top w:val="none" w:sz="0" w:space="0" w:color="auto"/>
        <w:left w:val="none" w:sz="0" w:space="0" w:color="auto"/>
        <w:bottom w:val="none" w:sz="0" w:space="0" w:color="auto"/>
        <w:right w:val="none" w:sz="0" w:space="0" w:color="auto"/>
      </w:divBdr>
      <w:divsChild>
        <w:div w:id="535116745">
          <w:marLeft w:val="0"/>
          <w:marRight w:val="0"/>
          <w:marTop w:val="0"/>
          <w:marBottom w:val="0"/>
          <w:divBdr>
            <w:top w:val="none" w:sz="0" w:space="0" w:color="auto"/>
            <w:left w:val="none" w:sz="0" w:space="0" w:color="auto"/>
            <w:bottom w:val="none" w:sz="0" w:space="0" w:color="auto"/>
            <w:right w:val="none" w:sz="0" w:space="0" w:color="auto"/>
          </w:divBdr>
        </w:div>
      </w:divsChild>
    </w:div>
    <w:div w:id="878278641">
      <w:bodyDiv w:val="1"/>
      <w:marLeft w:val="0"/>
      <w:marRight w:val="0"/>
      <w:marTop w:val="0"/>
      <w:marBottom w:val="0"/>
      <w:divBdr>
        <w:top w:val="none" w:sz="0" w:space="0" w:color="auto"/>
        <w:left w:val="none" w:sz="0" w:space="0" w:color="auto"/>
        <w:bottom w:val="none" w:sz="0" w:space="0" w:color="auto"/>
        <w:right w:val="none" w:sz="0" w:space="0" w:color="auto"/>
      </w:divBdr>
      <w:divsChild>
        <w:div w:id="1024095225">
          <w:marLeft w:val="0"/>
          <w:marRight w:val="0"/>
          <w:marTop w:val="0"/>
          <w:marBottom w:val="0"/>
          <w:divBdr>
            <w:top w:val="none" w:sz="0" w:space="0" w:color="auto"/>
            <w:left w:val="none" w:sz="0" w:space="0" w:color="auto"/>
            <w:bottom w:val="none" w:sz="0" w:space="0" w:color="auto"/>
            <w:right w:val="none" w:sz="0" w:space="0" w:color="auto"/>
          </w:divBdr>
        </w:div>
      </w:divsChild>
    </w:div>
    <w:div w:id="940183463">
      <w:bodyDiv w:val="1"/>
      <w:marLeft w:val="0"/>
      <w:marRight w:val="0"/>
      <w:marTop w:val="0"/>
      <w:marBottom w:val="0"/>
      <w:divBdr>
        <w:top w:val="none" w:sz="0" w:space="0" w:color="auto"/>
        <w:left w:val="none" w:sz="0" w:space="0" w:color="auto"/>
        <w:bottom w:val="none" w:sz="0" w:space="0" w:color="auto"/>
        <w:right w:val="none" w:sz="0" w:space="0" w:color="auto"/>
      </w:divBdr>
      <w:divsChild>
        <w:div w:id="812719471">
          <w:marLeft w:val="0"/>
          <w:marRight w:val="0"/>
          <w:marTop w:val="0"/>
          <w:marBottom w:val="0"/>
          <w:divBdr>
            <w:top w:val="none" w:sz="0" w:space="0" w:color="auto"/>
            <w:left w:val="none" w:sz="0" w:space="0" w:color="auto"/>
            <w:bottom w:val="none" w:sz="0" w:space="0" w:color="auto"/>
            <w:right w:val="none" w:sz="0" w:space="0" w:color="auto"/>
          </w:divBdr>
        </w:div>
      </w:divsChild>
    </w:div>
    <w:div w:id="954215545">
      <w:bodyDiv w:val="1"/>
      <w:marLeft w:val="0"/>
      <w:marRight w:val="0"/>
      <w:marTop w:val="0"/>
      <w:marBottom w:val="0"/>
      <w:divBdr>
        <w:top w:val="none" w:sz="0" w:space="0" w:color="auto"/>
        <w:left w:val="none" w:sz="0" w:space="0" w:color="auto"/>
        <w:bottom w:val="none" w:sz="0" w:space="0" w:color="auto"/>
        <w:right w:val="none" w:sz="0" w:space="0" w:color="auto"/>
      </w:divBdr>
      <w:divsChild>
        <w:div w:id="87624920">
          <w:marLeft w:val="0"/>
          <w:marRight w:val="0"/>
          <w:marTop w:val="0"/>
          <w:marBottom w:val="0"/>
          <w:divBdr>
            <w:top w:val="none" w:sz="0" w:space="0" w:color="auto"/>
            <w:left w:val="none" w:sz="0" w:space="0" w:color="auto"/>
            <w:bottom w:val="none" w:sz="0" w:space="0" w:color="auto"/>
            <w:right w:val="none" w:sz="0" w:space="0" w:color="auto"/>
          </w:divBdr>
        </w:div>
      </w:divsChild>
    </w:div>
    <w:div w:id="965938871">
      <w:bodyDiv w:val="1"/>
      <w:marLeft w:val="0"/>
      <w:marRight w:val="0"/>
      <w:marTop w:val="0"/>
      <w:marBottom w:val="0"/>
      <w:divBdr>
        <w:top w:val="none" w:sz="0" w:space="0" w:color="auto"/>
        <w:left w:val="none" w:sz="0" w:space="0" w:color="auto"/>
        <w:bottom w:val="none" w:sz="0" w:space="0" w:color="auto"/>
        <w:right w:val="none" w:sz="0" w:space="0" w:color="auto"/>
      </w:divBdr>
      <w:divsChild>
        <w:div w:id="216555688">
          <w:marLeft w:val="0"/>
          <w:marRight w:val="0"/>
          <w:marTop w:val="0"/>
          <w:marBottom w:val="0"/>
          <w:divBdr>
            <w:top w:val="none" w:sz="0" w:space="0" w:color="auto"/>
            <w:left w:val="none" w:sz="0" w:space="0" w:color="auto"/>
            <w:bottom w:val="none" w:sz="0" w:space="0" w:color="auto"/>
            <w:right w:val="none" w:sz="0" w:space="0" w:color="auto"/>
          </w:divBdr>
        </w:div>
      </w:divsChild>
    </w:div>
    <w:div w:id="991101512">
      <w:bodyDiv w:val="1"/>
      <w:marLeft w:val="0"/>
      <w:marRight w:val="0"/>
      <w:marTop w:val="0"/>
      <w:marBottom w:val="0"/>
      <w:divBdr>
        <w:top w:val="none" w:sz="0" w:space="0" w:color="auto"/>
        <w:left w:val="none" w:sz="0" w:space="0" w:color="auto"/>
        <w:bottom w:val="none" w:sz="0" w:space="0" w:color="auto"/>
        <w:right w:val="none" w:sz="0" w:space="0" w:color="auto"/>
      </w:divBdr>
      <w:divsChild>
        <w:div w:id="182475020">
          <w:marLeft w:val="0"/>
          <w:marRight w:val="0"/>
          <w:marTop w:val="0"/>
          <w:marBottom w:val="0"/>
          <w:divBdr>
            <w:top w:val="none" w:sz="0" w:space="0" w:color="auto"/>
            <w:left w:val="none" w:sz="0" w:space="0" w:color="auto"/>
            <w:bottom w:val="none" w:sz="0" w:space="0" w:color="auto"/>
            <w:right w:val="none" w:sz="0" w:space="0" w:color="auto"/>
          </w:divBdr>
        </w:div>
      </w:divsChild>
    </w:div>
    <w:div w:id="1015882491">
      <w:bodyDiv w:val="1"/>
      <w:marLeft w:val="0"/>
      <w:marRight w:val="0"/>
      <w:marTop w:val="0"/>
      <w:marBottom w:val="0"/>
      <w:divBdr>
        <w:top w:val="none" w:sz="0" w:space="0" w:color="auto"/>
        <w:left w:val="none" w:sz="0" w:space="0" w:color="auto"/>
        <w:bottom w:val="none" w:sz="0" w:space="0" w:color="auto"/>
        <w:right w:val="none" w:sz="0" w:space="0" w:color="auto"/>
      </w:divBdr>
    </w:div>
    <w:div w:id="1096899796">
      <w:bodyDiv w:val="1"/>
      <w:marLeft w:val="0"/>
      <w:marRight w:val="0"/>
      <w:marTop w:val="0"/>
      <w:marBottom w:val="0"/>
      <w:divBdr>
        <w:top w:val="none" w:sz="0" w:space="0" w:color="auto"/>
        <w:left w:val="none" w:sz="0" w:space="0" w:color="auto"/>
        <w:bottom w:val="none" w:sz="0" w:space="0" w:color="auto"/>
        <w:right w:val="none" w:sz="0" w:space="0" w:color="auto"/>
      </w:divBdr>
      <w:divsChild>
        <w:div w:id="425804499">
          <w:marLeft w:val="0"/>
          <w:marRight w:val="0"/>
          <w:marTop w:val="0"/>
          <w:marBottom w:val="0"/>
          <w:divBdr>
            <w:top w:val="none" w:sz="0" w:space="0" w:color="auto"/>
            <w:left w:val="none" w:sz="0" w:space="0" w:color="auto"/>
            <w:bottom w:val="none" w:sz="0" w:space="0" w:color="auto"/>
            <w:right w:val="none" w:sz="0" w:space="0" w:color="auto"/>
          </w:divBdr>
        </w:div>
      </w:divsChild>
    </w:div>
    <w:div w:id="1105808600">
      <w:bodyDiv w:val="1"/>
      <w:marLeft w:val="0"/>
      <w:marRight w:val="0"/>
      <w:marTop w:val="0"/>
      <w:marBottom w:val="0"/>
      <w:divBdr>
        <w:top w:val="none" w:sz="0" w:space="0" w:color="auto"/>
        <w:left w:val="none" w:sz="0" w:space="0" w:color="auto"/>
        <w:bottom w:val="none" w:sz="0" w:space="0" w:color="auto"/>
        <w:right w:val="none" w:sz="0" w:space="0" w:color="auto"/>
      </w:divBdr>
      <w:divsChild>
        <w:div w:id="2084528003">
          <w:marLeft w:val="0"/>
          <w:marRight w:val="0"/>
          <w:marTop w:val="0"/>
          <w:marBottom w:val="0"/>
          <w:divBdr>
            <w:top w:val="none" w:sz="0" w:space="0" w:color="auto"/>
            <w:left w:val="none" w:sz="0" w:space="0" w:color="auto"/>
            <w:bottom w:val="none" w:sz="0" w:space="0" w:color="auto"/>
            <w:right w:val="none" w:sz="0" w:space="0" w:color="auto"/>
          </w:divBdr>
        </w:div>
      </w:divsChild>
    </w:div>
    <w:div w:id="1139417140">
      <w:bodyDiv w:val="1"/>
      <w:marLeft w:val="0"/>
      <w:marRight w:val="0"/>
      <w:marTop w:val="0"/>
      <w:marBottom w:val="0"/>
      <w:divBdr>
        <w:top w:val="none" w:sz="0" w:space="0" w:color="auto"/>
        <w:left w:val="none" w:sz="0" w:space="0" w:color="auto"/>
        <w:bottom w:val="none" w:sz="0" w:space="0" w:color="auto"/>
        <w:right w:val="none" w:sz="0" w:space="0" w:color="auto"/>
      </w:divBdr>
      <w:divsChild>
        <w:div w:id="2147041623">
          <w:marLeft w:val="0"/>
          <w:marRight w:val="0"/>
          <w:marTop w:val="0"/>
          <w:marBottom w:val="0"/>
          <w:divBdr>
            <w:top w:val="none" w:sz="0" w:space="0" w:color="auto"/>
            <w:left w:val="none" w:sz="0" w:space="0" w:color="auto"/>
            <w:bottom w:val="none" w:sz="0" w:space="0" w:color="auto"/>
            <w:right w:val="none" w:sz="0" w:space="0" w:color="auto"/>
          </w:divBdr>
        </w:div>
      </w:divsChild>
    </w:div>
    <w:div w:id="1173761264">
      <w:bodyDiv w:val="1"/>
      <w:marLeft w:val="0"/>
      <w:marRight w:val="0"/>
      <w:marTop w:val="0"/>
      <w:marBottom w:val="0"/>
      <w:divBdr>
        <w:top w:val="none" w:sz="0" w:space="0" w:color="auto"/>
        <w:left w:val="none" w:sz="0" w:space="0" w:color="auto"/>
        <w:bottom w:val="none" w:sz="0" w:space="0" w:color="auto"/>
        <w:right w:val="none" w:sz="0" w:space="0" w:color="auto"/>
      </w:divBdr>
    </w:div>
    <w:div w:id="1184173718">
      <w:bodyDiv w:val="1"/>
      <w:marLeft w:val="0"/>
      <w:marRight w:val="0"/>
      <w:marTop w:val="0"/>
      <w:marBottom w:val="0"/>
      <w:divBdr>
        <w:top w:val="none" w:sz="0" w:space="0" w:color="auto"/>
        <w:left w:val="none" w:sz="0" w:space="0" w:color="auto"/>
        <w:bottom w:val="none" w:sz="0" w:space="0" w:color="auto"/>
        <w:right w:val="none" w:sz="0" w:space="0" w:color="auto"/>
      </w:divBdr>
    </w:div>
    <w:div w:id="1218008855">
      <w:bodyDiv w:val="1"/>
      <w:marLeft w:val="0"/>
      <w:marRight w:val="0"/>
      <w:marTop w:val="0"/>
      <w:marBottom w:val="0"/>
      <w:divBdr>
        <w:top w:val="none" w:sz="0" w:space="0" w:color="auto"/>
        <w:left w:val="none" w:sz="0" w:space="0" w:color="auto"/>
        <w:bottom w:val="none" w:sz="0" w:space="0" w:color="auto"/>
        <w:right w:val="none" w:sz="0" w:space="0" w:color="auto"/>
      </w:divBdr>
      <w:divsChild>
        <w:div w:id="1878346589">
          <w:marLeft w:val="0"/>
          <w:marRight w:val="0"/>
          <w:marTop w:val="0"/>
          <w:marBottom w:val="0"/>
          <w:divBdr>
            <w:top w:val="none" w:sz="0" w:space="0" w:color="auto"/>
            <w:left w:val="none" w:sz="0" w:space="0" w:color="auto"/>
            <w:bottom w:val="none" w:sz="0" w:space="0" w:color="auto"/>
            <w:right w:val="none" w:sz="0" w:space="0" w:color="auto"/>
          </w:divBdr>
        </w:div>
      </w:divsChild>
    </w:div>
    <w:div w:id="1234002547">
      <w:bodyDiv w:val="1"/>
      <w:marLeft w:val="0"/>
      <w:marRight w:val="0"/>
      <w:marTop w:val="0"/>
      <w:marBottom w:val="0"/>
      <w:divBdr>
        <w:top w:val="none" w:sz="0" w:space="0" w:color="auto"/>
        <w:left w:val="none" w:sz="0" w:space="0" w:color="auto"/>
        <w:bottom w:val="none" w:sz="0" w:space="0" w:color="auto"/>
        <w:right w:val="none" w:sz="0" w:space="0" w:color="auto"/>
      </w:divBdr>
      <w:divsChild>
        <w:div w:id="916093969">
          <w:marLeft w:val="0"/>
          <w:marRight w:val="0"/>
          <w:marTop w:val="0"/>
          <w:marBottom w:val="0"/>
          <w:divBdr>
            <w:top w:val="none" w:sz="0" w:space="0" w:color="auto"/>
            <w:left w:val="none" w:sz="0" w:space="0" w:color="auto"/>
            <w:bottom w:val="none" w:sz="0" w:space="0" w:color="auto"/>
            <w:right w:val="none" w:sz="0" w:space="0" w:color="auto"/>
          </w:divBdr>
        </w:div>
      </w:divsChild>
    </w:div>
    <w:div w:id="1507671705">
      <w:bodyDiv w:val="1"/>
      <w:marLeft w:val="0"/>
      <w:marRight w:val="0"/>
      <w:marTop w:val="0"/>
      <w:marBottom w:val="0"/>
      <w:divBdr>
        <w:top w:val="none" w:sz="0" w:space="0" w:color="auto"/>
        <w:left w:val="none" w:sz="0" w:space="0" w:color="auto"/>
        <w:bottom w:val="none" w:sz="0" w:space="0" w:color="auto"/>
        <w:right w:val="none" w:sz="0" w:space="0" w:color="auto"/>
      </w:divBdr>
      <w:divsChild>
        <w:div w:id="1911696946">
          <w:marLeft w:val="0"/>
          <w:marRight w:val="0"/>
          <w:marTop w:val="0"/>
          <w:marBottom w:val="0"/>
          <w:divBdr>
            <w:top w:val="none" w:sz="0" w:space="0" w:color="auto"/>
            <w:left w:val="none" w:sz="0" w:space="0" w:color="auto"/>
            <w:bottom w:val="none" w:sz="0" w:space="0" w:color="auto"/>
            <w:right w:val="none" w:sz="0" w:space="0" w:color="auto"/>
          </w:divBdr>
        </w:div>
      </w:divsChild>
    </w:div>
    <w:div w:id="1512406916">
      <w:bodyDiv w:val="1"/>
      <w:marLeft w:val="0"/>
      <w:marRight w:val="0"/>
      <w:marTop w:val="0"/>
      <w:marBottom w:val="0"/>
      <w:divBdr>
        <w:top w:val="none" w:sz="0" w:space="0" w:color="auto"/>
        <w:left w:val="none" w:sz="0" w:space="0" w:color="auto"/>
        <w:bottom w:val="none" w:sz="0" w:space="0" w:color="auto"/>
        <w:right w:val="none" w:sz="0" w:space="0" w:color="auto"/>
      </w:divBdr>
    </w:div>
    <w:div w:id="1585872559">
      <w:bodyDiv w:val="1"/>
      <w:marLeft w:val="0"/>
      <w:marRight w:val="0"/>
      <w:marTop w:val="0"/>
      <w:marBottom w:val="0"/>
      <w:divBdr>
        <w:top w:val="none" w:sz="0" w:space="0" w:color="auto"/>
        <w:left w:val="none" w:sz="0" w:space="0" w:color="auto"/>
        <w:bottom w:val="none" w:sz="0" w:space="0" w:color="auto"/>
        <w:right w:val="none" w:sz="0" w:space="0" w:color="auto"/>
      </w:divBdr>
    </w:div>
    <w:div w:id="1633949358">
      <w:bodyDiv w:val="1"/>
      <w:marLeft w:val="0"/>
      <w:marRight w:val="0"/>
      <w:marTop w:val="0"/>
      <w:marBottom w:val="0"/>
      <w:divBdr>
        <w:top w:val="none" w:sz="0" w:space="0" w:color="auto"/>
        <w:left w:val="none" w:sz="0" w:space="0" w:color="auto"/>
        <w:bottom w:val="none" w:sz="0" w:space="0" w:color="auto"/>
        <w:right w:val="none" w:sz="0" w:space="0" w:color="auto"/>
      </w:divBdr>
      <w:divsChild>
        <w:div w:id="1577740454">
          <w:marLeft w:val="0"/>
          <w:marRight w:val="0"/>
          <w:marTop w:val="0"/>
          <w:marBottom w:val="0"/>
          <w:divBdr>
            <w:top w:val="none" w:sz="0" w:space="0" w:color="auto"/>
            <w:left w:val="none" w:sz="0" w:space="0" w:color="auto"/>
            <w:bottom w:val="none" w:sz="0" w:space="0" w:color="auto"/>
            <w:right w:val="none" w:sz="0" w:space="0" w:color="auto"/>
          </w:divBdr>
        </w:div>
      </w:divsChild>
    </w:div>
    <w:div w:id="1653945223">
      <w:bodyDiv w:val="1"/>
      <w:marLeft w:val="0"/>
      <w:marRight w:val="0"/>
      <w:marTop w:val="0"/>
      <w:marBottom w:val="0"/>
      <w:divBdr>
        <w:top w:val="none" w:sz="0" w:space="0" w:color="auto"/>
        <w:left w:val="none" w:sz="0" w:space="0" w:color="auto"/>
        <w:bottom w:val="none" w:sz="0" w:space="0" w:color="auto"/>
        <w:right w:val="none" w:sz="0" w:space="0" w:color="auto"/>
      </w:divBdr>
    </w:div>
    <w:div w:id="1773012362">
      <w:bodyDiv w:val="1"/>
      <w:marLeft w:val="0"/>
      <w:marRight w:val="0"/>
      <w:marTop w:val="0"/>
      <w:marBottom w:val="0"/>
      <w:divBdr>
        <w:top w:val="none" w:sz="0" w:space="0" w:color="auto"/>
        <w:left w:val="none" w:sz="0" w:space="0" w:color="auto"/>
        <w:bottom w:val="none" w:sz="0" w:space="0" w:color="auto"/>
        <w:right w:val="none" w:sz="0" w:space="0" w:color="auto"/>
      </w:divBdr>
    </w:div>
    <w:div w:id="1788306118">
      <w:bodyDiv w:val="1"/>
      <w:marLeft w:val="0"/>
      <w:marRight w:val="0"/>
      <w:marTop w:val="0"/>
      <w:marBottom w:val="0"/>
      <w:divBdr>
        <w:top w:val="none" w:sz="0" w:space="0" w:color="auto"/>
        <w:left w:val="none" w:sz="0" w:space="0" w:color="auto"/>
        <w:bottom w:val="none" w:sz="0" w:space="0" w:color="auto"/>
        <w:right w:val="none" w:sz="0" w:space="0" w:color="auto"/>
      </w:divBdr>
      <w:divsChild>
        <w:div w:id="660432028">
          <w:marLeft w:val="0"/>
          <w:marRight w:val="0"/>
          <w:marTop w:val="0"/>
          <w:marBottom w:val="0"/>
          <w:divBdr>
            <w:top w:val="none" w:sz="0" w:space="0" w:color="auto"/>
            <w:left w:val="none" w:sz="0" w:space="0" w:color="auto"/>
            <w:bottom w:val="none" w:sz="0" w:space="0" w:color="auto"/>
            <w:right w:val="none" w:sz="0" w:space="0" w:color="auto"/>
          </w:divBdr>
        </w:div>
      </w:divsChild>
    </w:div>
    <w:div w:id="1795171789">
      <w:bodyDiv w:val="1"/>
      <w:marLeft w:val="0"/>
      <w:marRight w:val="0"/>
      <w:marTop w:val="0"/>
      <w:marBottom w:val="0"/>
      <w:divBdr>
        <w:top w:val="none" w:sz="0" w:space="0" w:color="auto"/>
        <w:left w:val="none" w:sz="0" w:space="0" w:color="auto"/>
        <w:bottom w:val="none" w:sz="0" w:space="0" w:color="auto"/>
        <w:right w:val="none" w:sz="0" w:space="0" w:color="auto"/>
      </w:divBdr>
    </w:div>
    <w:div w:id="1821723677">
      <w:bodyDiv w:val="1"/>
      <w:marLeft w:val="0"/>
      <w:marRight w:val="0"/>
      <w:marTop w:val="0"/>
      <w:marBottom w:val="0"/>
      <w:divBdr>
        <w:top w:val="none" w:sz="0" w:space="0" w:color="auto"/>
        <w:left w:val="none" w:sz="0" w:space="0" w:color="auto"/>
        <w:bottom w:val="none" w:sz="0" w:space="0" w:color="auto"/>
        <w:right w:val="none" w:sz="0" w:space="0" w:color="auto"/>
      </w:divBdr>
    </w:div>
    <w:div w:id="1845513406">
      <w:bodyDiv w:val="1"/>
      <w:marLeft w:val="0"/>
      <w:marRight w:val="0"/>
      <w:marTop w:val="0"/>
      <w:marBottom w:val="0"/>
      <w:divBdr>
        <w:top w:val="none" w:sz="0" w:space="0" w:color="auto"/>
        <w:left w:val="none" w:sz="0" w:space="0" w:color="auto"/>
        <w:bottom w:val="none" w:sz="0" w:space="0" w:color="auto"/>
        <w:right w:val="none" w:sz="0" w:space="0" w:color="auto"/>
      </w:divBdr>
    </w:div>
    <w:div w:id="1864853770">
      <w:bodyDiv w:val="1"/>
      <w:marLeft w:val="0"/>
      <w:marRight w:val="0"/>
      <w:marTop w:val="0"/>
      <w:marBottom w:val="0"/>
      <w:divBdr>
        <w:top w:val="none" w:sz="0" w:space="0" w:color="auto"/>
        <w:left w:val="none" w:sz="0" w:space="0" w:color="auto"/>
        <w:bottom w:val="none" w:sz="0" w:space="0" w:color="auto"/>
        <w:right w:val="none" w:sz="0" w:space="0" w:color="auto"/>
      </w:divBdr>
      <w:divsChild>
        <w:div w:id="1856073198">
          <w:marLeft w:val="0"/>
          <w:marRight w:val="0"/>
          <w:marTop w:val="0"/>
          <w:marBottom w:val="0"/>
          <w:divBdr>
            <w:top w:val="none" w:sz="0" w:space="0" w:color="auto"/>
            <w:left w:val="none" w:sz="0" w:space="0" w:color="auto"/>
            <w:bottom w:val="none" w:sz="0" w:space="0" w:color="auto"/>
            <w:right w:val="none" w:sz="0" w:space="0" w:color="auto"/>
          </w:divBdr>
        </w:div>
      </w:divsChild>
    </w:div>
    <w:div w:id="1891455170">
      <w:bodyDiv w:val="1"/>
      <w:marLeft w:val="0"/>
      <w:marRight w:val="0"/>
      <w:marTop w:val="0"/>
      <w:marBottom w:val="0"/>
      <w:divBdr>
        <w:top w:val="none" w:sz="0" w:space="0" w:color="auto"/>
        <w:left w:val="none" w:sz="0" w:space="0" w:color="auto"/>
        <w:bottom w:val="none" w:sz="0" w:space="0" w:color="auto"/>
        <w:right w:val="none" w:sz="0" w:space="0" w:color="auto"/>
      </w:divBdr>
      <w:divsChild>
        <w:div w:id="1671369849">
          <w:marLeft w:val="0"/>
          <w:marRight w:val="0"/>
          <w:marTop w:val="0"/>
          <w:marBottom w:val="0"/>
          <w:divBdr>
            <w:top w:val="none" w:sz="0" w:space="0" w:color="auto"/>
            <w:left w:val="none" w:sz="0" w:space="0" w:color="auto"/>
            <w:bottom w:val="none" w:sz="0" w:space="0" w:color="auto"/>
            <w:right w:val="none" w:sz="0" w:space="0" w:color="auto"/>
          </w:divBdr>
        </w:div>
      </w:divsChild>
    </w:div>
    <w:div w:id="1906181458">
      <w:bodyDiv w:val="1"/>
      <w:marLeft w:val="0"/>
      <w:marRight w:val="0"/>
      <w:marTop w:val="0"/>
      <w:marBottom w:val="0"/>
      <w:divBdr>
        <w:top w:val="none" w:sz="0" w:space="0" w:color="auto"/>
        <w:left w:val="none" w:sz="0" w:space="0" w:color="auto"/>
        <w:bottom w:val="none" w:sz="0" w:space="0" w:color="auto"/>
        <w:right w:val="none" w:sz="0" w:space="0" w:color="auto"/>
      </w:divBdr>
      <w:divsChild>
        <w:div w:id="1251160437">
          <w:marLeft w:val="0"/>
          <w:marRight w:val="0"/>
          <w:marTop w:val="0"/>
          <w:marBottom w:val="0"/>
          <w:divBdr>
            <w:top w:val="none" w:sz="0" w:space="0" w:color="auto"/>
            <w:left w:val="none" w:sz="0" w:space="0" w:color="auto"/>
            <w:bottom w:val="none" w:sz="0" w:space="0" w:color="auto"/>
            <w:right w:val="none" w:sz="0" w:space="0" w:color="auto"/>
          </w:divBdr>
        </w:div>
      </w:divsChild>
    </w:div>
    <w:div w:id="2016178921">
      <w:bodyDiv w:val="1"/>
      <w:marLeft w:val="0"/>
      <w:marRight w:val="0"/>
      <w:marTop w:val="0"/>
      <w:marBottom w:val="0"/>
      <w:divBdr>
        <w:top w:val="none" w:sz="0" w:space="0" w:color="auto"/>
        <w:left w:val="none" w:sz="0" w:space="0" w:color="auto"/>
        <w:bottom w:val="none" w:sz="0" w:space="0" w:color="auto"/>
        <w:right w:val="none" w:sz="0" w:space="0" w:color="auto"/>
      </w:divBdr>
      <w:divsChild>
        <w:div w:id="63261187">
          <w:marLeft w:val="0"/>
          <w:marRight w:val="0"/>
          <w:marTop w:val="0"/>
          <w:marBottom w:val="0"/>
          <w:divBdr>
            <w:top w:val="none" w:sz="0" w:space="0" w:color="auto"/>
            <w:left w:val="none" w:sz="0" w:space="0" w:color="auto"/>
            <w:bottom w:val="none" w:sz="0" w:space="0" w:color="auto"/>
            <w:right w:val="none" w:sz="0" w:space="0" w:color="auto"/>
          </w:divBdr>
        </w:div>
      </w:divsChild>
    </w:div>
    <w:div w:id="2073431567">
      <w:bodyDiv w:val="1"/>
      <w:marLeft w:val="0"/>
      <w:marRight w:val="0"/>
      <w:marTop w:val="0"/>
      <w:marBottom w:val="0"/>
      <w:divBdr>
        <w:top w:val="none" w:sz="0" w:space="0" w:color="auto"/>
        <w:left w:val="none" w:sz="0" w:space="0" w:color="auto"/>
        <w:bottom w:val="none" w:sz="0" w:space="0" w:color="auto"/>
        <w:right w:val="none" w:sz="0" w:space="0" w:color="auto"/>
      </w:divBdr>
      <w:divsChild>
        <w:div w:id="1491751661">
          <w:marLeft w:val="0"/>
          <w:marRight w:val="0"/>
          <w:marTop w:val="0"/>
          <w:marBottom w:val="0"/>
          <w:divBdr>
            <w:top w:val="none" w:sz="0" w:space="0" w:color="auto"/>
            <w:left w:val="none" w:sz="0" w:space="0" w:color="auto"/>
            <w:bottom w:val="none" w:sz="0" w:space="0" w:color="auto"/>
            <w:right w:val="none" w:sz="0" w:space="0" w:color="auto"/>
          </w:divBdr>
        </w:div>
      </w:divsChild>
    </w:div>
    <w:div w:id="2081756766">
      <w:bodyDiv w:val="1"/>
      <w:marLeft w:val="0"/>
      <w:marRight w:val="0"/>
      <w:marTop w:val="0"/>
      <w:marBottom w:val="0"/>
      <w:divBdr>
        <w:top w:val="none" w:sz="0" w:space="0" w:color="auto"/>
        <w:left w:val="none" w:sz="0" w:space="0" w:color="auto"/>
        <w:bottom w:val="none" w:sz="0" w:space="0" w:color="auto"/>
        <w:right w:val="none" w:sz="0" w:space="0" w:color="auto"/>
      </w:divBdr>
    </w:div>
    <w:div w:id="2086757133">
      <w:bodyDiv w:val="1"/>
      <w:marLeft w:val="0"/>
      <w:marRight w:val="0"/>
      <w:marTop w:val="0"/>
      <w:marBottom w:val="0"/>
      <w:divBdr>
        <w:top w:val="none" w:sz="0" w:space="0" w:color="auto"/>
        <w:left w:val="none" w:sz="0" w:space="0" w:color="auto"/>
        <w:bottom w:val="none" w:sz="0" w:space="0" w:color="auto"/>
        <w:right w:val="none" w:sz="0" w:space="0" w:color="auto"/>
      </w:divBdr>
    </w:div>
    <w:div w:id="21335491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0E43D-E180-1040-83C8-278D664D0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4810</Words>
  <Characters>27421</Characters>
  <Application>Microsoft Macintosh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McMaster University</Company>
  <LinksUpToDate>false</LinksUpToDate>
  <CharactersWithSpaces>32167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Tan</dc:creator>
  <cp:lastModifiedBy>Charlie Tan</cp:lastModifiedBy>
  <cp:revision>5</cp:revision>
  <dcterms:created xsi:type="dcterms:W3CDTF">2015-03-01T22:21:00Z</dcterms:created>
  <dcterms:modified xsi:type="dcterms:W3CDTF">2015-05-27T17:44:00Z</dcterms:modified>
</cp:coreProperties>
</file>