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64E" w:rsidRDefault="00E6364E" w:rsidP="00E6364E">
      <w:pPr>
        <w:pStyle w:val="Heading2"/>
      </w:pPr>
      <w:r w:rsidRPr="00E6364E">
        <w:t>Web appendix 1. Uncertainty</w:t>
      </w:r>
    </w:p>
    <w:p w:rsidR="00E6364E" w:rsidRPr="001B357B" w:rsidRDefault="00E6364E" w:rsidP="001B357B">
      <w:pPr>
        <w:rPr>
          <w:lang w:val="en-US"/>
        </w:rPr>
      </w:pPr>
      <w:r w:rsidRPr="001B357B">
        <w:rPr>
          <w:lang w:val="en-US"/>
        </w:rPr>
        <w:t>To compute uncertainty for the alcohol-attributable fractions (AAFs), we did following steps.</w:t>
      </w:r>
    </w:p>
    <w:p w:rsidR="001B357B" w:rsidRDefault="00E6364E" w:rsidP="001B357B">
      <w:pPr>
        <w:rPr>
          <w:rFonts w:cs="AdvOT07517017"/>
          <w:lang w:val="en-US"/>
        </w:rPr>
      </w:pPr>
      <w:r w:rsidRPr="001B357B">
        <w:rPr>
          <w:lang w:val="en-US"/>
        </w:rPr>
        <w:t>After calculating the sex</w:t>
      </w:r>
      <w:r w:rsidR="00435233">
        <w:rPr>
          <w:lang w:val="en-US"/>
        </w:rPr>
        <w:t>-</w:t>
      </w:r>
      <w:r w:rsidRPr="001B357B">
        <w:rPr>
          <w:lang w:val="en-US"/>
        </w:rPr>
        <w:t>, age</w:t>
      </w:r>
      <w:r w:rsidR="00435233">
        <w:rPr>
          <w:lang w:val="en-US"/>
        </w:rPr>
        <w:t>-</w:t>
      </w:r>
      <w:r w:rsidRPr="001B357B">
        <w:rPr>
          <w:lang w:val="en-US"/>
        </w:rPr>
        <w:t xml:space="preserve"> and cause of death</w:t>
      </w:r>
      <w:r w:rsidR="00435233">
        <w:rPr>
          <w:lang w:val="en-US"/>
        </w:rPr>
        <w:t>-</w:t>
      </w:r>
      <w:r w:rsidRPr="00435233">
        <w:rPr>
          <w:lang w:val="en-CA"/>
        </w:rPr>
        <w:t xml:space="preserve">specific </w:t>
      </w:r>
      <w:r w:rsidR="001B357B" w:rsidRPr="00435233">
        <w:rPr>
          <w:lang w:val="en-CA"/>
        </w:rPr>
        <w:t>AAFs, we estimated their variances</w:t>
      </w:r>
      <w:r w:rsidR="001B357B" w:rsidRPr="001B357B">
        <w:t xml:space="preserve">.  </w:t>
      </w:r>
      <w:r w:rsidRPr="001B357B">
        <w:rPr>
          <w:lang w:val="en-US"/>
        </w:rPr>
        <w:t>The AAFs as described in the main article</w:t>
      </w:r>
      <w:r w:rsidR="001B357B" w:rsidRPr="001B357B">
        <w:rPr>
          <w:lang w:val="en-US"/>
        </w:rPr>
        <w:t xml:space="preserve"> depend</w:t>
      </w:r>
      <w:r w:rsidRPr="001B357B">
        <w:rPr>
          <w:lang w:val="en-US"/>
        </w:rPr>
        <w:t xml:space="preserve"> on the relative risk function, the prevalence of former drinkers and abstainers, and the distribution of consumption among drinkers.  Since measurement errors in these values and functions are non-trivial, it is virtually impossible to compute the variance of AAFs algebraically.</w:t>
      </w:r>
      <w:r w:rsidR="001B357B" w:rsidRPr="001B357B">
        <w:rPr>
          <w:lang w:val="en-US"/>
        </w:rPr>
        <w:t xml:space="preserve">  Thus we used Monte Carlo methodology </w:t>
      </w:r>
      <w:r w:rsidR="001B357B" w:rsidRPr="001B357B">
        <w:rPr>
          <w:rFonts w:cs="AdvOT07517017"/>
          <w:lang w:val="en-US"/>
        </w:rPr>
        <w:t>by generating random sets of all the parameters.  In a methodological study, it was determined that 150,000 samples yielded sufficiently accurate confidence intervals.</w:t>
      </w:r>
      <w:r w:rsidR="001B357B">
        <w:rPr>
          <w:rFonts w:cs="AdvOT07517017"/>
          <w:lang w:val="en-US"/>
        </w:rPr>
        <w:t xml:space="preserve">  More details can be found in [1].</w:t>
      </w:r>
    </w:p>
    <w:p w:rsidR="001B357B" w:rsidRPr="00617A21" w:rsidRDefault="001B357B" w:rsidP="001B357B">
      <w:pPr>
        <w:pStyle w:val="Heading3"/>
        <w:rPr>
          <w:noProof/>
          <w:lang w:val="en-CA"/>
        </w:rPr>
      </w:pPr>
      <w:r w:rsidRPr="00617A21">
        <w:rPr>
          <w:noProof/>
          <w:lang w:val="en-CA"/>
        </w:rPr>
        <w:t>Reference List</w:t>
      </w:r>
    </w:p>
    <w:p w:rsidR="001B357B" w:rsidRPr="008419DA" w:rsidRDefault="001B357B" w:rsidP="001B357B">
      <w:pPr>
        <w:pStyle w:val="EndNoteBibliography"/>
        <w:ind w:left="720" w:hanging="720"/>
      </w:pPr>
      <w:bookmarkStart w:id="0" w:name="_ENREF_55"/>
      <w:r>
        <w:t>1</w:t>
      </w:r>
      <w:r w:rsidRPr="008419DA">
        <w:t>.</w:t>
      </w:r>
      <w:r w:rsidRPr="008419DA">
        <w:tab/>
        <w:t xml:space="preserve">Gmel GJ, Shield KD, Frick H, Kehoe T, Gmel G, Rehm J: </w:t>
      </w:r>
      <w:r w:rsidRPr="008419DA">
        <w:rPr>
          <w:b/>
        </w:rPr>
        <w:t>Estimating uncertainty of alcohol-attributable fractions for infectious and chronic diseases</w:t>
      </w:r>
      <w:r w:rsidRPr="008419DA">
        <w:t xml:space="preserve">. </w:t>
      </w:r>
      <w:r w:rsidRPr="008419DA">
        <w:rPr>
          <w:i/>
        </w:rPr>
        <w:t xml:space="preserve">BMC Med Res Methodol </w:t>
      </w:r>
      <w:r w:rsidRPr="008419DA">
        <w:t xml:space="preserve">2011, </w:t>
      </w:r>
      <w:r w:rsidRPr="008419DA">
        <w:rPr>
          <w:b/>
        </w:rPr>
        <w:t>11</w:t>
      </w:r>
      <w:r w:rsidRPr="008419DA">
        <w:t>:48.</w:t>
      </w:r>
      <w:bookmarkEnd w:id="0"/>
    </w:p>
    <w:p w:rsidR="00E6364E" w:rsidRDefault="00E6364E">
      <w:r>
        <w:rPr>
          <w:b/>
          <w:bCs/>
        </w:rPr>
        <w:br w:type="page"/>
      </w:r>
    </w:p>
    <w:p w:rsidR="00867D8E" w:rsidRPr="007C7284" w:rsidRDefault="00140051" w:rsidP="00E6364E">
      <w:pPr>
        <w:pStyle w:val="Heading2"/>
      </w:pPr>
      <w:r w:rsidRPr="007C7284">
        <w:lastRenderedPageBreak/>
        <w:t xml:space="preserve">Web appendix </w:t>
      </w:r>
      <w:r w:rsidR="00E6364E">
        <w:t>2</w:t>
      </w:r>
      <w:r w:rsidRPr="007C7284">
        <w:t xml:space="preserve">. </w:t>
      </w:r>
      <w:r w:rsidRPr="00E6364E">
        <w:t>Algorithms</w:t>
      </w:r>
      <w:r w:rsidRPr="007C7284">
        <w:t xml:space="preserve"> for the prevalence of former drinkers</w:t>
      </w:r>
    </w:p>
    <w:p w:rsidR="00867D8E" w:rsidRPr="007C7284" w:rsidRDefault="00867D8E" w:rsidP="00867D8E">
      <w:pPr>
        <w:rPr>
          <w:lang w:val="en-AU"/>
        </w:rPr>
      </w:pPr>
      <w:r w:rsidRPr="007C7284">
        <w:rPr>
          <w:lang w:val="en-AU"/>
        </w:rPr>
        <w:t>The following table lists the rules applied to the percentage of former drinkers provided.</w:t>
      </w:r>
    </w:p>
    <w:tbl>
      <w:tblPr>
        <w:tblStyle w:val="GridTable5Dark-Accent51"/>
        <w:tblW w:w="0" w:type="auto"/>
        <w:tblLook w:val="04A0" w:firstRow="1" w:lastRow="0" w:firstColumn="1" w:lastColumn="0" w:noHBand="0" w:noVBand="1"/>
      </w:tblPr>
      <w:tblGrid>
        <w:gridCol w:w="3020"/>
        <w:gridCol w:w="3021"/>
        <w:gridCol w:w="3021"/>
      </w:tblGrid>
      <w:tr w:rsidR="00867D8E" w:rsidRPr="007C7284" w:rsidTr="00867D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rsidR="00867D8E" w:rsidRPr="007C7284" w:rsidRDefault="00867D8E" w:rsidP="00867D8E">
            <w:pPr>
              <w:rPr>
                <w:lang w:val="en-AU"/>
              </w:rPr>
            </w:pPr>
            <w:r w:rsidRPr="007C7284">
              <w:rPr>
                <w:lang w:val="en-AU"/>
              </w:rPr>
              <w:t>Region</w:t>
            </w:r>
            <w:r w:rsidR="00BD3143" w:rsidRPr="007C7284">
              <w:rPr>
                <w:lang w:val="en-AU"/>
              </w:rPr>
              <w:t>*</w:t>
            </w:r>
          </w:p>
        </w:tc>
        <w:tc>
          <w:tcPr>
            <w:tcW w:w="3021" w:type="dxa"/>
          </w:tcPr>
          <w:p w:rsidR="00867D8E" w:rsidRPr="007C7284" w:rsidRDefault="00867D8E" w:rsidP="00867D8E">
            <w:pPr>
              <w:cnfStyle w:val="100000000000" w:firstRow="1" w:lastRow="0" w:firstColumn="0" w:lastColumn="0" w:oddVBand="0" w:evenVBand="0" w:oddHBand="0" w:evenHBand="0" w:firstRowFirstColumn="0" w:firstRowLastColumn="0" w:lastRowFirstColumn="0" w:lastRowLastColumn="0"/>
              <w:rPr>
                <w:lang w:val="en-AU"/>
              </w:rPr>
            </w:pPr>
            <w:r w:rsidRPr="007C7284">
              <w:rPr>
                <w:lang w:val="en-AU"/>
              </w:rPr>
              <w:t>Men</w:t>
            </w:r>
          </w:p>
        </w:tc>
        <w:tc>
          <w:tcPr>
            <w:tcW w:w="3021" w:type="dxa"/>
          </w:tcPr>
          <w:p w:rsidR="00867D8E" w:rsidRPr="007C7284" w:rsidRDefault="00867D8E" w:rsidP="00867D8E">
            <w:pPr>
              <w:cnfStyle w:val="100000000000" w:firstRow="1" w:lastRow="0" w:firstColumn="0" w:lastColumn="0" w:oddVBand="0" w:evenVBand="0" w:oddHBand="0" w:evenHBand="0" w:firstRowFirstColumn="0" w:firstRowLastColumn="0" w:lastRowFirstColumn="0" w:lastRowLastColumn="0"/>
              <w:rPr>
                <w:lang w:val="en-AU"/>
              </w:rPr>
            </w:pPr>
            <w:r w:rsidRPr="007C7284">
              <w:rPr>
                <w:lang w:val="en-AU"/>
              </w:rPr>
              <w:t>Women</w:t>
            </w:r>
          </w:p>
        </w:tc>
      </w:tr>
      <w:tr w:rsidR="00867D8E" w:rsidRPr="007C7284" w:rsidTr="00867D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rsidR="00867D8E" w:rsidRPr="007C7284" w:rsidRDefault="00867D8E" w:rsidP="00867D8E">
            <w:pPr>
              <w:rPr>
                <w:lang w:val="en-AU"/>
              </w:rPr>
            </w:pPr>
            <w:r w:rsidRPr="007C7284">
              <w:rPr>
                <w:lang w:val="en-AU"/>
              </w:rPr>
              <w:t>A</w:t>
            </w:r>
            <w:r w:rsidR="009566D8" w:rsidRPr="007C7284">
              <w:rPr>
                <w:lang w:val="en-AU"/>
              </w:rPr>
              <w:t>FR</w:t>
            </w:r>
          </w:p>
        </w:tc>
        <w:tc>
          <w:tcPr>
            <w:tcW w:w="3021" w:type="dxa"/>
          </w:tcPr>
          <w:p w:rsidR="00867D8E" w:rsidRPr="007C7284" w:rsidRDefault="00867D8E" w:rsidP="00867D8E">
            <w:pPr>
              <w:cnfStyle w:val="000000100000" w:firstRow="0" w:lastRow="0" w:firstColumn="0" w:lastColumn="0" w:oddVBand="0" w:evenVBand="0" w:oddHBand="1" w:evenHBand="0" w:firstRowFirstColumn="0" w:firstRowLastColumn="0" w:lastRowFirstColumn="0" w:lastRowLastColumn="0"/>
              <w:rPr>
                <w:lang w:val="en-AU"/>
              </w:rPr>
            </w:pPr>
            <w:r w:rsidRPr="007C7284">
              <w:rPr>
                <w:lang w:val="en-AU"/>
              </w:rPr>
              <w:t xml:space="preserve">Former drinkers are capped at 5% (the remaining become </w:t>
            </w:r>
            <w:r w:rsidR="007C7284">
              <w:rPr>
                <w:lang w:val="en-AU"/>
              </w:rPr>
              <w:t xml:space="preserve">lifetime </w:t>
            </w:r>
            <w:r w:rsidRPr="007C7284">
              <w:rPr>
                <w:lang w:val="en-AU"/>
              </w:rPr>
              <w:t>abstainers</w:t>
            </w:r>
            <w:r w:rsidR="007C7284">
              <w:rPr>
                <w:lang w:val="en-AU"/>
              </w:rPr>
              <w:t>; LTA</w:t>
            </w:r>
            <w:r w:rsidRPr="007C7284">
              <w:rPr>
                <w:lang w:val="en-AU"/>
              </w:rPr>
              <w:t>)</w:t>
            </w:r>
          </w:p>
        </w:tc>
        <w:tc>
          <w:tcPr>
            <w:tcW w:w="3021" w:type="dxa"/>
          </w:tcPr>
          <w:p w:rsidR="00867D8E" w:rsidRPr="007C7284" w:rsidRDefault="00867D8E" w:rsidP="00867D8E">
            <w:pPr>
              <w:cnfStyle w:val="000000100000" w:firstRow="0" w:lastRow="0" w:firstColumn="0" w:lastColumn="0" w:oddVBand="0" w:evenVBand="0" w:oddHBand="1" w:evenHBand="0" w:firstRowFirstColumn="0" w:firstRowLastColumn="0" w:lastRowFirstColumn="0" w:lastRowLastColumn="0"/>
              <w:rPr>
                <w:lang w:val="en-AU"/>
              </w:rPr>
            </w:pPr>
            <w:r w:rsidRPr="007C7284">
              <w:rPr>
                <w:lang w:val="en-AU"/>
              </w:rPr>
              <w:t>Former drinkers are capped at 5% (the remaining become abstainers)</w:t>
            </w:r>
          </w:p>
        </w:tc>
      </w:tr>
      <w:tr w:rsidR="00867D8E" w:rsidRPr="007C7284" w:rsidTr="00867D8E">
        <w:tc>
          <w:tcPr>
            <w:cnfStyle w:val="001000000000" w:firstRow="0" w:lastRow="0" w:firstColumn="1" w:lastColumn="0" w:oddVBand="0" w:evenVBand="0" w:oddHBand="0" w:evenHBand="0" w:firstRowFirstColumn="0" w:firstRowLastColumn="0" w:lastRowFirstColumn="0" w:lastRowLastColumn="0"/>
            <w:tcW w:w="3020" w:type="dxa"/>
          </w:tcPr>
          <w:p w:rsidR="00867D8E" w:rsidRPr="007C7284" w:rsidRDefault="00867D8E" w:rsidP="00867D8E">
            <w:pPr>
              <w:rPr>
                <w:lang w:val="en-AU"/>
              </w:rPr>
            </w:pPr>
            <w:r w:rsidRPr="007C7284">
              <w:rPr>
                <w:lang w:val="en-AU"/>
              </w:rPr>
              <w:t>A</w:t>
            </w:r>
            <w:r w:rsidR="009566D8" w:rsidRPr="007C7284">
              <w:rPr>
                <w:lang w:val="en-AU"/>
              </w:rPr>
              <w:t>MR</w:t>
            </w:r>
          </w:p>
        </w:tc>
        <w:tc>
          <w:tcPr>
            <w:tcW w:w="3021" w:type="dxa"/>
          </w:tcPr>
          <w:p w:rsidR="00867D8E" w:rsidRPr="007C7284" w:rsidRDefault="00867D8E" w:rsidP="00867D8E">
            <w:pPr>
              <w:cnfStyle w:val="000000000000" w:firstRow="0" w:lastRow="0" w:firstColumn="0" w:lastColumn="0" w:oddVBand="0" w:evenVBand="0" w:oddHBand="0" w:evenHBand="0" w:firstRowFirstColumn="0" w:firstRowLastColumn="0" w:lastRowFirstColumn="0" w:lastRowLastColumn="0"/>
              <w:rPr>
                <w:lang w:val="en-AU"/>
              </w:rPr>
            </w:pPr>
            <w:r w:rsidRPr="007C7284">
              <w:rPr>
                <w:lang w:val="en-AU"/>
              </w:rPr>
              <w:t xml:space="preserve">- USA &amp; Canada: Former drinkers not capped. </w:t>
            </w:r>
          </w:p>
          <w:p w:rsidR="00867D8E" w:rsidRPr="007C7284" w:rsidRDefault="00867D8E" w:rsidP="00867D8E">
            <w:pPr>
              <w:cnfStyle w:val="000000000000" w:firstRow="0" w:lastRow="0" w:firstColumn="0" w:lastColumn="0" w:oddVBand="0" w:evenVBand="0" w:oddHBand="0" w:evenHBand="0" w:firstRowFirstColumn="0" w:firstRowLastColumn="0" w:lastRowFirstColumn="0" w:lastRowLastColumn="0"/>
              <w:rPr>
                <w:lang w:val="en-AU"/>
              </w:rPr>
            </w:pPr>
            <w:r w:rsidRPr="007C7284">
              <w:rPr>
                <w:lang w:val="en-AU"/>
              </w:rPr>
              <w:t xml:space="preserve"> - all other countries capped at 5% (the remaining become </w:t>
            </w:r>
            <w:r w:rsidR="007C7284">
              <w:rPr>
                <w:lang w:val="en-AU"/>
              </w:rPr>
              <w:t>LTA</w:t>
            </w:r>
            <w:r w:rsidRPr="007C7284">
              <w:rPr>
                <w:lang w:val="en-AU"/>
              </w:rPr>
              <w:t>)</w:t>
            </w:r>
          </w:p>
          <w:p w:rsidR="00867D8E" w:rsidRPr="007C7284" w:rsidRDefault="00867D8E" w:rsidP="00867D8E">
            <w:pPr>
              <w:cnfStyle w:val="000000000000" w:firstRow="0" w:lastRow="0" w:firstColumn="0" w:lastColumn="0" w:oddVBand="0" w:evenVBand="0" w:oddHBand="0" w:evenHBand="0" w:firstRowFirstColumn="0" w:firstRowLastColumn="0" w:lastRowFirstColumn="0" w:lastRowLastColumn="0"/>
              <w:rPr>
                <w:lang w:val="en-AU"/>
              </w:rPr>
            </w:pPr>
          </w:p>
        </w:tc>
        <w:tc>
          <w:tcPr>
            <w:tcW w:w="3021" w:type="dxa"/>
          </w:tcPr>
          <w:p w:rsidR="00867D8E" w:rsidRPr="007C7284" w:rsidRDefault="00867D8E" w:rsidP="00867D8E">
            <w:pPr>
              <w:cnfStyle w:val="000000000000" w:firstRow="0" w:lastRow="0" w:firstColumn="0" w:lastColumn="0" w:oddVBand="0" w:evenVBand="0" w:oddHBand="0" w:evenHBand="0" w:firstRowFirstColumn="0" w:firstRowLastColumn="0" w:lastRowFirstColumn="0" w:lastRowLastColumn="0"/>
              <w:rPr>
                <w:lang w:val="en-AU"/>
              </w:rPr>
            </w:pPr>
            <w:r w:rsidRPr="007C7284">
              <w:rPr>
                <w:lang w:val="en-AU"/>
              </w:rPr>
              <w:t xml:space="preserve">- USA &amp; Canada: Former drinkers capped at 10% </w:t>
            </w:r>
          </w:p>
          <w:p w:rsidR="00867D8E" w:rsidRPr="007C7284" w:rsidRDefault="00867D8E" w:rsidP="00867D8E">
            <w:pPr>
              <w:cnfStyle w:val="000000000000" w:firstRow="0" w:lastRow="0" w:firstColumn="0" w:lastColumn="0" w:oddVBand="0" w:evenVBand="0" w:oddHBand="0" w:evenHBand="0" w:firstRowFirstColumn="0" w:firstRowLastColumn="0" w:lastRowFirstColumn="0" w:lastRowLastColumn="0"/>
              <w:rPr>
                <w:lang w:val="en-AU"/>
              </w:rPr>
            </w:pPr>
            <w:r w:rsidRPr="007C7284">
              <w:rPr>
                <w:lang w:val="en-AU"/>
              </w:rPr>
              <w:t xml:space="preserve"> - all other countries capped at 5% (the remaining become </w:t>
            </w:r>
            <w:r w:rsidR="007C7284">
              <w:rPr>
                <w:lang w:val="en-AU"/>
              </w:rPr>
              <w:t>LTA</w:t>
            </w:r>
            <w:r w:rsidRPr="007C7284">
              <w:rPr>
                <w:lang w:val="en-AU"/>
              </w:rPr>
              <w:t>)</w:t>
            </w:r>
          </w:p>
          <w:p w:rsidR="00867D8E" w:rsidRPr="007C7284" w:rsidRDefault="00867D8E" w:rsidP="00867D8E">
            <w:pPr>
              <w:cnfStyle w:val="000000000000" w:firstRow="0" w:lastRow="0" w:firstColumn="0" w:lastColumn="0" w:oddVBand="0" w:evenVBand="0" w:oddHBand="0" w:evenHBand="0" w:firstRowFirstColumn="0" w:firstRowLastColumn="0" w:lastRowFirstColumn="0" w:lastRowLastColumn="0"/>
              <w:rPr>
                <w:lang w:val="en-AU"/>
              </w:rPr>
            </w:pPr>
          </w:p>
        </w:tc>
      </w:tr>
      <w:tr w:rsidR="00867D8E" w:rsidRPr="007C7284" w:rsidTr="00867D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rsidR="00867D8E" w:rsidRPr="007C7284" w:rsidRDefault="00867D8E" w:rsidP="00867D8E">
            <w:pPr>
              <w:rPr>
                <w:lang w:val="en-AU"/>
              </w:rPr>
            </w:pPr>
            <w:r w:rsidRPr="007C7284">
              <w:rPr>
                <w:lang w:val="en-AU"/>
              </w:rPr>
              <w:t>E</w:t>
            </w:r>
            <w:r w:rsidR="009566D8" w:rsidRPr="007C7284">
              <w:rPr>
                <w:lang w:val="en-AU"/>
              </w:rPr>
              <w:t>MR</w:t>
            </w:r>
          </w:p>
        </w:tc>
        <w:tc>
          <w:tcPr>
            <w:tcW w:w="3021" w:type="dxa"/>
          </w:tcPr>
          <w:p w:rsidR="00867D8E" w:rsidRPr="007C7284" w:rsidRDefault="00867D8E" w:rsidP="00867D8E">
            <w:pPr>
              <w:cnfStyle w:val="000000100000" w:firstRow="0" w:lastRow="0" w:firstColumn="0" w:lastColumn="0" w:oddVBand="0" w:evenVBand="0" w:oddHBand="1" w:evenHBand="0" w:firstRowFirstColumn="0" w:firstRowLastColumn="0" w:lastRowFirstColumn="0" w:lastRowLastColumn="0"/>
              <w:rPr>
                <w:lang w:val="en-AU"/>
              </w:rPr>
            </w:pPr>
            <w:r w:rsidRPr="007C7284">
              <w:rPr>
                <w:lang w:val="en-AU"/>
              </w:rPr>
              <w:t xml:space="preserve">Former drinkers are capped at 5% (the remaining become </w:t>
            </w:r>
            <w:r w:rsidR="007C7284">
              <w:rPr>
                <w:lang w:val="en-AU"/>
              </w:rPr>
              <w:t>LTA</w:t>
            </w:r>
            <w:r w:rsidRPr="007C7284">
              <w:rPr>
                <w:lang w:val="en-AU"/>
              </w:rPr>
              <w:t>)</w:t>
            </w:r>
          </w:p>
        </w:tc>
        <w:tc>
          <w:tcPr>
            <w:tcW w:w="3021" w:type="dxa"/>
          </w:tcPr>
          <w:p w:rsidR="00867D8E" w:rsidRPr="007C7284" w:rsidRDefault="00867D8E" w:rsidP="00867D8E">
            <w:pPr>
              <w:cnfStyle w:val="000000100000" w:firstRow="0" w:lastRow="0" w:firstColumn="0" w:lastColumn="0" w:oddVBand="0" w:evenVBand="0" w:oddHBand="1" w:evenHBand="0" w:firstRowFirstColumn="0" w:firstRowLastColumn="0" w:lastRowFirstColumn="0" w:lastRowLastColumn="0"/>
              <w:rPr>
                <w:lang w:val="en-AU"/>
              </w:rPr>
            </w:pPr>
            <w:r w:rsidRPr="007C7284">
              <w:rPr>
                <w:lang w:val="en-AU"/>
              </w:rPr>
              <w:t xml:space="preserve">Former drinkers are capped at 5% (the remaining become </w:t>
            </w:r>
            <w:r w:rsidR="007C7284">
              <w:rPr>
                <w:lang w:val="en-AU"/>
              </w:rPr>
              <w:t>LTA</w:t>
            </w:r>
            <w:r w:rsidRPr="007C7284">
              <w:rPr>
                <w:lang w:val="en-AU"/>
              </w:rPr>
              <w:t>)</w:t>
            </w:r>
          </w:p>
        </w:tc>
      </w:tr>
      <w:tr w:rsidR="00867D8E" w:rsidRPr="007C7284" w:rsidTr="00867D8E">
        <w:tc>
          <w:tcPr>
            <w:cnfStyle w:val="001000000000" w:firstRow="0" w:lastRow="0" w:firstColumn="1" w:lastColumn="0" w:oddVBand="0" w:evenVBand="0" w:oddHBand="0" w:evenHBand="0" w:firstRowFirstColumn="0" w:firstRowLastColumn="0" w:lastRowFirstColumn="0" w:lastRowLastColumn="0"/>
            <w:tcW w:w="3020" w:type="dxa"/>
          </w:tcPr>
          <w:p w:rsidR="00867D8E" w:rsidRPr="007C7284" w:rsidRDefault="009566D8" w:rsidP="00867D8E">
            <w:pPr>
              <w:rPr>
                <w:lang w:val="en-AU"/>
              </w:rPr>
            </w:pPr>
            <w:r w:rsidRPr="007C7284">
              <w:rPr>
                <w:lang w:val="en-AU"/>
              </w:rPr>
              <w:t>EUR</w:t>
            </w:r>
            <w:r w:rsidR="00867D8E" w:rsidRPr="007C7284">
              <w:rPr>
                <w:lang w:val="en-AU"/>
              </w:rPr>
              <w:t xml:space="preserve"> (except </w:t>
            </w:r>
            <w:r w:rsidR="005D4D94" w:rsidRPr="007C7284">
              <w:rPr>
                <w:lang w:val="en-AU"/>
              </w:rPr>
              <w:t>Russia and surrounding countries</w:t>
            </w:r>
            <w:r w:rsidR="00867D8E" w:rsidRPr="007C7284">
              <w:rPr>
                <w:lang w:val="en-AU"/>
              </w:rPr>
              <w:t>)</w:t>
            </w:r>
            <w:r w:rsidR="005D4D94" w:rsidRPr="007C7284">
              <w:rPr>
                <w:lang w:val="en-AU"/>
              </w:rPr>
              <w:t>*</w:t>
            </w:r>
            <w:r w:rsidR="00BD3143" w:rsidRPr="007C7284">
              <w:rPr>
                <w:lang w:val="en-AU"/>
              </w:rPr>
              <w:t>*</w:t>
            </w:r>
          </w:p>
        </w:tc>
        <w:tc>
          <w:tcPr>
            <w:tcW w:w="3021" w:type="dxa"/>
          </w:tcPr>
          <w:p w:rsidR="00867D8E" w:rsidRPr="007C7284" w:rsidRDefault="00867D8E" w:rsidP="00867D8E">
            <w:pPr>
              <w:cnfStyle w:val="000000000000" w:firstRow="0" w:lastRow="0" w:firstColumn="0" w:lastColumn="0" w:oddVBand="0" w:evenVBand="0" w:oddHBand="0" w:evenHBand="0" w:firstRowFirstColumn="0" w:firstRowLastColumn="0" w:lastRowFirstColumn="0" w:lastRowLastColumn="0"/>
              <w:rPr>
                <w:lang w:val="en-AU"/>
              </w:rPr>
            </w:pPr>
            <w:r w:rsidRPr="007C7284">
              <w:rPr>
                <w:lang w:val="en-AU"/>
              </w:rPr>
              <w:t>No change applied</w:t>
            </w:r>
          </w:p>
        </w:tc>
        <w:tc>
          <w:tcPr>
            <w:tcW w:w="3021" w:type="dxa"/>
          </w:tcPr>
          <w:p w:rsidR="00867D8E" w:rsidRPr="007C7284" w:rsidRDefault="00867D8E" w:rsidP="00867D8E">
            <w:pPr>
              <w:cnfStyle w:val="000000000000" w:firstRow="0" w:lastRow="0" w:firstColumn="0" w:lastColumn="0" w:oddVBand="0" w:evenVBand="0" w:oddHBand="0" w:evenHBand="0" w:firstRowFirstColumn="0" w:firstRowLastColumn="0" w:lastRowFirstColumn="0" w:lastRowLastColumn="0"/>
              <w:rPr>
                <w:lang w:val="en-AU"/>
              </w:rPr>
            </w:pPr>
            <w:r w:rsidRPr="007C7284">
              <w:rPr>
                <w:lang w:val="en-AU"/>
              </w:rPr>
              <w:t xml:space="preserve">Former drinkers capped at 10% (the remaining become </w:t>
            </w:r>
            <w:r w:rsidR="007C7284">
              <w:rPr>
                <w:lang w:val="en-AU"/>
              </w:rPr>
              <w:t>LTA</w:t>
            </w:r>
            <w:r w:rsidRPr="007C7284">
              <w:rPr>
                <w:lang w:val="en-AU"/>
              </w:rPr>
              <w:t>)</w:t>
            </w:r>
          </w:p>
        </w:tc>
      </w:tr>
      <w:tr w:rsidR="00867D8E" w:rsidRPr="007C7284" w:rsidTr="00867D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rsidR="00867D8E" w:rsidRPr="007C7284" w:rsidRDefault="00867D8E" w:rsidP="009566D8">
            <w:pPr>
              <w:rPr>
                <w:lang w:val="en-AU"/>
              </w:rPr>
            </w:pPr>
            <w:r w:rsidRPr="007C7284">
              <w:rPr>
                <w:lang w:val="en-AU"/>
              </w:rPr>
              <w:t>S</w:t>
            </w:r>
            <w:r w:rsidR="009566D8" w:rsidRPr="007C7284">
              <w:rPr>
                <w:lang w:val="en-AU"/>
              </w:rPr>
              <w:t>EAR</w:t>
            </w:r>
          </w:p>
        </w:tc>
        <w:tc>
          <w:tcPr>
            <w:tcW w:w="3021" w:type="dxa"/>
          </w:tcPr>
          <w:p w:rsidR="00867D8E" w:rsidRPr="007C7284" w:rsidRDefault="00867D8E" w:rsidP="00867D8E">
            <w:pPr>
              <w:cnfStyle w:val="000000100000" w:firstRow="0" w:lastRow="0" w:firstColumn="0" w:lastColumn="0" w:oddVBand="0" w:evenVBand="0" w:oddHBand="1" w:evenHBand="0" w:firstRowFirstColumn="0" w:firstRowLastColumn="0" w:lastRowFirstColumn="0" w:lastRowLastColumn="0"/>
              <w:rPr>
                <w:lang w:val="en-AU"/>
              </w:rPr>
            </w:pPr>
            <w:r w:rsidRPr="007C7284">
              <w:rPr>
                <w:lang w:val="en-AU"/>
              </w:rPr>
              <w:t xml:space="preserve">Former drinkers are capped at 5% (the remaining become </w:t>
            </w:r>
            <w:r w:rsidR="007C7284">
              <w:rPr>
                <w:lang w:val="en-AU"/>
              </w:rPr>
              <w:t>LTA</w:t>
            </w:r>
            <w:r w:rsidRPr="007C7284">
              <w:rPr>
                <w:lang w:val="en-AU"/>
              </w:rPr>
              <w:t>)</w:t>
            </w:r>
          </w:p>
        </w:tc>
        <w:tc>
          <w:tcPr>
            <w:tcW w:w="3021" w:type="dxa"/>
          </w:tcPr>
          <w:p w:rsidR="00867D8E" w:rsidRPr="007C7284" w:rsidRDefault="00867D8E" w:rsidP="00867D8E">
            <w:pPr>
              <w:cnfStyle w:val="000000100000" w:firstRow="0" w:lastRow="0" w:firstColumn="0" w:lastColumn="0" w:oddVBand="0" w:evenVBand="0" w:oddHBand="1" w:evenHBand="0" w:firstRowFirstColumn="0" w:firstRowLastColumn="0" w:lastRowFirstColumn="0" w:lastRowLastColumn="0"/>
              <w:rPr>
                <w:lang w:val="en-AU"/>
              </w:rPr>
            </w:pPr>
            <w:r w:rsidRPr="007C7284">
              <w:rPr>
                <w:lang w:val="en-AU"/>
              </w:rPr>
              <w:t xml:space="preserve">Former drinkers are capped at 5% (the remaining become </w:t>
            </w:r>
            <w:r w:rsidR="007C7284">
              <w:rPr>
                <w:lang w:val="en-AU"/>
              </w:rPr>
              <w:t>LTA</w:t>
            </w:r>
            <w:r w:rsidRPr="007C7284">
              <w:rPr>
                <w:lang w:val="en-AU"/>
              </w:rPr>
              <w:t>)</w:t>
            </w:r>
          </w:p>
        </w:tc>
      </w:tr>
      <w:tr w:rsidR="00867D8E" w:rsidRPr="007C7284" w:rsidTr="00867D8E">
        <w:tc>
          <w:tcPr>
            <w:cnfStyle w:val="001000000000" w:firstRow="0" w:lastRow="0" w:firstColumn="1" w:lastColumn="0" w:oddVBand="0" w:evenVBand="0" w:oddHBand="0" w:evenHBand="0" w:firstRowFirstColumn="0" w:firstRowLastColumn="0" w:lastRowFirstColumn="0" w:lastRowLastColumn="0"/>
            <w:tcW w:w="3020" w:type="dxa"/>
          </w:tcPr>
          <w:p w:rsidR="00867D8E" w:rsidRPr="007C7284" w:rsidRDefault="00867D8E" w:rsidP="00867D8E">
            <w:pPr>
              <w:rPr>
                <w:lang w:val="en-AU"/>
              </w:rPr>
            </w:pPr>
            <w:r w:rsidRPr="007C7284">
              <w:rPr>
                <w:lang w:val="en-AU"/>
              </w:rPr>
              <w:t>W</w:t>
            </w:r>
            <w:r w:rsidR="009566D8" w:rsidRPr="007C7284">
              <w:rPr>
                <w:lang w:val="en-AU"/>
              </w:rPr>
              <w:t>PR</w:t>
            </w:r>
          </w:p>
        </w:tc>
        <w:tc>
          <w:tcPr>
            <w:tcW w:w="3021" w:type="dxa"/>
          </w:tcPr>
          <w:p w:rsidR="00867D8E" w:rsidRPr="007C7284" w:rsidRDefault="00867D8E" w:rsidP="00867D8E">
            <w:pPr>
              <w:cnfStyle w:val="000000000000" w:firstRow="0" w:lastRow="0" w:firstColumn="0" w:lastColumn="0" w:oddVBand="0" w:evenVBand="0" w:oddHBand="0" w:evenHBand="0" w:firstRowFirstColumn="0" w:firstRowLastColumn="0" w:lastRowFirstColumn="0" w:lastRowLastColumn="0"/>
              <w:rPr>
                <w:lang w:val="en-AU"/>
              </w:rPr>
            </w:pPr>
            <w:r w:rsidRPr="007C7284">
              <w:rPr>
                <w:lang w:val="en-AU"/>
              </w:rPr>
              <w:t>- China, Japan, Australia, New Zealand, South Korea, Singapore, Brunei: Former drinkers capped at 10%</w:t>
            </w:r>
          </w:p>
          <w:p w:rsidR="00867D8E" w:rsidRPr="007C7284" w:rsidRDefault="00867D8E" w:rsidP="00867D8E">
            <w:pPr>
              <w:cnfStyle w:val="000000000000" w:firstRow="0" w:lastRow="0" w:firstColumn="0" w:lastColumn="0" w:oddVBand="0" w:evenVBand="0" w:oddHBand="0" w:evenHBand="0" w:firstRowFirstColumn="0" w:firstRowLastColumn="0" w:lastRowFirstColumn="0" w:lastRowLastColumn="0"/>
              <w:rPr>
                <w:lang w:val="en-AU"/>
              </w:rPr>
            </w:pPr>
            <w:r w:rsidRPr="007C7284">
              <w:rPr>
                <w:lang w:val="en-AU"/>
              </w:rPr>
              <w:t xml:space="preserve"> - all other countries are capped at 5% (the remaining become </w:t>
            </w:r>
            <w:r w:rsidR="007C7284">
              <w:rPr>
                <w:lang w:val="en-AU"/>
              </w:rPr>
              <w:t>lifetime LTA</w:t>
            </w:r>
            <w:r w:rsidRPr="007C7284">
              <w:rPr>
                <w:lang w:val="en-AU"/>
              </w:rPr>
              <w:t>)</w:t>
            </w:r>
          </w:p>
          <w:p w:rsidR="00867D8E" w:rsidRPr="007C7284" w:rsidRDefault="00867D8E" w:rsidP="00867D8E">
            <w:pPr>
              <w:cnfStyle w:val="000000000000" w:firstRow="0" w:lastRow="0" w:firstColumn="0" w:lastColumn="0" w:oddVBand="0" w:evenVBand="0" w:oddHBand="0" w:evenHBand="0" w:firstRowFirstColumn="0" w:firstRowLastColumn="0" w:lastRowFirstColumn="0" w:lastRowLastColumn="0"/>
              <w:rPr>
                <w:lang w:val="en-AU"/>
              </w:rPr>
            </w:pPr>
          </w:p>
        </w:tc>
        <w:tc>
          <w:tcPr>
            <w:tcW w:w="3021" w:type="dxa"/>
          </w:tcPr>
          <w:p w:rsidR="00867D8E" w:rsidRPr="007C7284" w:rsidRDefault="00867D8E" w:rsidP="00867D8E">
            <w:pPr>
              <w:cnfStyle w:val="000000000000" w:firstRow="0" w:lastRow="0" w:firstColumn="0" w:lastColumn="0" w:oddVBand="0" w:evenVBand="0" w:oddHBand="0" w:evenHBand="0" w:firstRowFirstColumn="0" w:firstRowLastColumn="0" w:lastRowFirstColumn="0" w:lastRowLastColumn="0"/>
              <w:rPr>
                <w:lang w:val="en-AU"/>
              </w:rPr>
            </w:pPr>
            <w:r w:rsidRPr="007C7284">
              <w:rPr>
                <w:lang w:val="en-AU"/>
              </w:rPr>
              <w:t>- China, Japan, Australia, New Zealand, South Korea, Singapore, Brunei: Former drinkers capped at 10%</w:t>
            </w:r>
          </w:p>
          <w:p w:rsidR="00867D8E" w:rsidRPr="007C7284" w:rsidRDefault="00867D8E" w:rsidP="00867D8E">
            <w:pPr>
              <w:cnfStyle w:val="000000000000" w:firstRow="0" w:lastRow="0" w:firstColumn="0" w:lastColumn="0" w:oddVBand="0" w:evenVBand="0" w:oddHBand="0" w:evenHBand="0" w:firstRowFirstColumn="0" w:firstRowLastColumn="0" w:lastRowFirstColumn="0" w:lastRowLastColumn="0"/>
              <w:rPr>
                <w:lang w:val="en-AU"/>
              </w:rPr>
            </w:pPr>
            <w:r w:rsidRPr="007C7284">
              <w:rPr>
                <w:lang w:val="en-AU"/>
              </w:rPr>
              <w:t xml:space="preserve"> - all other countries are capped at 5% (the remaining become </w:t>
            </w:r>
            <w:r w:rsidR="007C7284">
              <w:rPr>
                <w:lang w:val="en-AU"/>
              </w:rPr>
              <w:t>LTA</w:t>
            </w:r>
            <w:r w:rsidRPr="007C7284">
              <w:rPr>
                <w:lang w:val="en-AU"/>
              </w:rPr>
              <w:t>)</w:t>
            </w:r>
          </w:p>
          <w:p w:rsidR="00867D8E" w:rsidRPr="007C7284" w:rsidRDefault="00867D8E" w:rsidP="00867D8E">
            <w:pPr>
              <w:cnfStyle w:val="000000000000" w:firstRow="0" w:lastRow="0" w:firstColumn="0" w:lastColumn="0" w:oddVBand="0" w:evenVBand="0" w:oddHBand="0" w:evenHBand="0" w:firstRowFirstColumn="0" w:firstRowLastColumn="0" w:lastRowFirstColumn="0" w:lastRowLastColumn="0"/>
              <w:rPr>
                <w:lang w:val="en-AU"/>
              </w:rPr>
            </w:pPr>
          </w:p>
        </w:tc>
      </w:tr>
      <w:tr w:rsidR="00867D8E" w:rsidRPr="007C7284" w:rsidTr="00867D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rsidR="00867D8E" w:rsidRPr="007C7284" w:rsidRDefault="00867D8E" w:rsidP="00867D8E">
            <w:pPr>
              <w:rPr>
                <w:lang w:val="en-AU"/>
              </w:rPr>
            </w:pPr>
            <w:r w:rsidRPr="007C7284">
              <w:rPr>
                <w:lang w:val="en-AU"/>
              </w:rPr>
              <w:t>NON-MS</w:t>
            </w:r>
          </w:p>
        </w:tc>
        <w:tc>
          <w:tcPr>
            <w:tcW w:w="3021" w:type="dxa"/>
          </w:tcPr>
          <w:p w:rsidR="00867D8E" w:rsidRPr="007C7284" w:rsidRDefault="00867D8E" w:rsidP="00867D8E">
            <w:pPr>
              <w:cnfStyle w:val="000000100000" w:firstRow="0" w:lastRow="0" w:firstColumn="0" w:lastColumn="0" w:oddVBand="0" w:evenVBand="0" w:oddHBand="1" w:evenHBand="0" w:firstRowFirstColumn="0" w:firstRowLastColumn="0" w:lastRowFirstColumn="0" w:lastRowLastColumn="0"/>
              <w:rPr>
                <w:lang w:val="en-AU"/>
              </w:rPr>
            </w:pPr>
            <w:r w:rsidRPr="007C7284">
              <w:rPr>
                <w:lang w:val="en-AU"/>
              </w:rPr>
              <w:t xml:space="preserve">Former drinkers capped at 10% (the remaining become </w:t>
            </w:r>
            <w:r w:rsidR="007C7284">
              <w:rPr>
                <w:lang w:val="en-AU"/>
              </w:rPr>
              <w:t>LTA</w:t>
            </w:r>
            <w:r w:rsidRPr="007C7284">
              <w:rPr>
                <w:lang w:val="en-AU"/>
              </w:rPr>
              <w:t>)</w:t>
            </w:r>
          </w:p>
        </w:tc>
        <w:tc>
          <w:tcPr>
            <w:tcW w:w="3021" w:type="dxa"/>
          </w:tcPr>
          <w:p w:rsidR="00867D8E" w:rsidRPr="007C7284" w:rsidRDefault="00867D8E" w:rsidP="00867D8E">
            <w:pPr>
              <w:cnfStyle w:val="000000100000" w:firstRow="0" w:lastRow="0" w:firstColumn="0" w:lastColumn="0" w:oddVBand="0" w:evenVBand="0" w:oddHBand="1" w:evenHBand="0" w:firstRowFirstColumn="0" w:firstRowLastColumn="0" w:lastRowFirstColumn="0" w:lastRowLastColumn="0"/>
              <w:rPr>
                <w:lang w:val="en-AU"/>
              </w:rPr>
            </w:pPr>
            <w:r w:rsidRPr="007C7284">
              <w:rPr>
                <w:lang w:val="en-AU"/>
              </w:rPr>
              <w:t xml:space="preserve">Former drinkers capped at 10% (the remaining become </w:t>
            </w:r>
            <w:r w:rsidR="007C7284">
              <w:rPr>
                <w:lang w:val="en-AU"/>
              </w:rPr>
              <w:t>LTA</w:t>
            </w:r>
            <w:r w:rsidRPr="007C7284">
              <w:rPr>
                <w:lang w:val="en-AU"/>
              </w:rPr>
              <w:t>)</w:t>
            </w:r>
          </w:p>
        </w:tc>
      </w:tr>
    </w:tbl>
    <w:p w:rsidR="00BD3143" w:rsidRPr="007C7284" w:rsidRDefault="00BD3143" w:rsidP="005D4D94">
      <w:pPr>
        <w:spacing w:after="0" w:line="240" w:lineRule="auto"/>
        <w:rPr>
          <w:sz w:val="18"/>
          <w:szCs w:val="18"/>
          <w:lang w:val="en-AU"/>
        </w:rPr>
      </w:pPr>
      <w:r w:rsidRPr="007C7284">
        <w:rPr>
          <w:sz w:val="18"/>
          <w:szCs w:val="18"/>
          <w:lang w:val="en-AU"/>
        </w:rPr>
        <w:t>*</w:t>
      </w:r>
      <w:r w:rsidRPr="007C7284">
        <w:rPr>
          <w:sz w:val="18"/>
          <w:szCs w:val="18"/>
        </w:rPr>
        <w:t xml:space="preserve"> </w:t>
      </w:r>
      <w:r w:rsidRPr="007C7284">
        <w:rPr>
          <w:sz w:val="18"/>
          <w:szCs w:val="18"/>
          <w:lang w:val="en-AU"/>
        </w:rPr>
        <w:t>African Region (AFR), Region of the Americas (AMR), South-East Asia Region (SEAR), European Region (EUR), European Region (EUR), Western Pacific Region (WPR)</w:t>
      </w:r>
      <w:r w:rsidR="0079514C" w:rsidRPr="007C7284">
        <w:rPr>
          <w:sz w:val="18"/>
          <w:szCs w:val="18"/>
          <w:lang w:val="en-AU"/>
        </w:rPr>
        <w:t>, Countries that are outside of the WHO regions (NON-MS)</w:t>
      </w:r>
      <w:r w:rsidRPr="007C7284">
        <w:rPr>
          <w:sz w:val="18"/>
          <w:szCs w:val="18"/>
          <w:lang w:val="en-AU"/>
        </w:rPr>
        <w:t>.</w:t>
      </w:r>
    </w:p>
    <w:p w:rsidR="005D4D94" w:rsidRPr="007C7284" w:rsidRDefault="00BD3143" w:rsidP="005D4D94">
      <w:pPr>
        <w:spacing w:after="0" w:line="240" w:lineRule="auto"/>
        <w:rPr>
          <w:color w:val="000000" w:themeColor="text1"/>
          <w:sz w:val="18"/>
          <w:szCs w:val="18"/>
        </w:rPr>
      </w:pPr>
      <w:r w:rsidRPr="007C7284">
        <w:rPr>
          <w:sz w:val="18"/>
          <w:szCs w:val="18"/>
          <w:lang w:val="en-AU"/>
        </w:rPr>
        <w:t>*</w:t>
      </w:r>
      <w:r w:rsidR="005D4D94" w:rsidRPr="007C7284">
        <w:rPr>
          <w:sz w:val="18"/>
          <w:szCs w:val="18"/>
          <w:lang w:val="en-AU"/>
        </w:rPr>
        <w:t xml:space="preserve">* </w:t>
      </w:r>
      <w:r w:rsidR="005D4D94" w:rsidRPr="007C7284">
        <w:rPr>
          <w:rFonts w:eastAsia="Times New Roman" w:cs="Times New Roman"/>
          <w:color w:val="000000" w:themeColor="text1"/>
          <w:sz w:val="18"/>
          <w:szCs w:val="18"/>
          <w:lang w:val="en-CA"/>
        </w:rPr>
        <w:t>Russia and surrounding countries</w:t>
      </w:r>
      <w:r w:rsidR="005D4D94" w:rsidRPr="007C7284" w:rsidDel="00955ABA">
        <w:rPr>
          <w:color w:val="000000" w:themeColor="text1"/>
          <w:sz w:val="18"/>
          <w:szCs w:val="18"/>
        </w:rPr>
        <w:t xml:space="preserve"> </w:t>
      </w:r>
      <w:r w:rsidR="005D4D94" w:rsidRPr="007C7284">
        <w:rPr>
          <w:color w:val="000000" w:themeColor="text1"/>
          <w:sz w:val="18"/>
          <w:szCs w:val="18"/>
        </w:rPr>
        <w:t xml:space="preserve">includes Belarus, Moldova, Russia and Ukraine. </w:t>
      </w:r>
    </w:p>
    <w:p w:rsidR="00BD3143" w:rsidRPr="007C7284" w:rsidRDefault="00BD3143">
      <w:pPr>
        <w:rPr>
          <w:lang w:val="en-AU"/>
        </w:rPr>
      </w:pPr>
      <w:r w:rsidRPr="007C7284">
        <w:rPr>
          <w:lang w:val="en-AU"/>
        </w:rPr>
        <w:br w:type="page"/>
      </w:r>
    </w:p>
    <w:p w:rsidR="00BD3143" w:rsidRPr="007C7284" w:rsidRDefault="00FB1E09" w:rsidP="00E6364E">
      <w:pPr>
        <w:pStyle w:val="Heading2"/>
      </w:pPr>
      <w:r w:rsidRPr="007C7284">
        <w:lastRenderedPageBreak/>
        <w:t xml:space="preserve">Web appendix </w:t>
      </w:r>
      <w:r w:rsidR="001B357B">
        <w:t>3</w:t>
      </w:r>
      <w:r w:rsidR="00BD3143" w:rsidRPr="007C7284">
        <w:t>. Countries in each Wo</w:t>
      </w:r>
      <w:r w:rsidR="00C96ED8" w:rsidRPr="007C7284">
        <w:t>rld Health Organization region</w:t>
      </w:r>
    </w:p>
    <w:p w:rsidR="00BD3143" w:rsidRPr="007C7284" w:rsidRDefault="00BD3143" w:rsidP="00BD3143">
      <w:pPr>
        <w:rPr>
          <w:sz w:val="20"/>
          <w:szCs w:val="20"/>
        </w:rPr>
      </w:pPr>
      <w:r w:rsidRPr="007C7284">
        <w:rPr>
          <w:b/>
          <w:sz w:val="20"/>
          <w:szCs w:val="20"/>
        </w:rPr>
        <w:t>African Region (AFR):</w:t>
      </w:r>
      <w:r w:rsidRPr="007C7284">
        <w:rPr>
          <w:sz w:val="20"/>
          <w:szCs w:val="20"/>
        </w:rPr>
        <w:t xml:space="preserve"> Algeria, Angola, Benin, Botswana, Burkina Faso, Burundi, Cabo Verde, Cameroon, Central African Republic, Chad, Comoros, Congo, Côte d'Ivoire, Democratic Republic of the Congo, Equatorial Guinea, Eritrea, Ethiopia, Gabon, Gambia, Ghana, Guinea, Guinea-Bissau, Kenya, Lesotho, Liberia, Madagascar, Malawi, Mali, Mauritania, Mauritius, Mozambique, Namibia, Niger, Nigeria, Rwanda, Sao Tome and Principe, Senegal, Seychelles, Sierra Leone, South Africa, Swaziland, Togo, Uganda, United Republic of Tanzania, Zambia, and Zimbabwe</w:t>
      </w:r>
    </w:p>
    <w:p w:rsidR="00BD3143" w:rsidRPr="007C7284" w:rsidRDefault="00BD3143" w:rsidP="00BD3143">
      <w:pPr>
        <w:rPr>
          <w:sz w:val="20"/>
          <w:szCs w:val="20"/>
        </w:rPr>
      </w:pPr>
      <w:r w:rsidRPr="007C7284">
        <w:rPr>
          <w:b/>
          <w:sz w:val="20"/>
          <w:szCs w:val="20"/>
        </w:rPr>
        <w:t>Region of the Americas (AMR):</w:t>
      </w:r>
      <w:r w:rsidRPr="007C7284">
        <w:rPr>
          <w:sz w:val="20"/>
          <w:szCs w:val="20"/>
        </w:rPr>
        <w:t xml:space="preserve"> Antigua and Barbuda, Argentina, Bahamas, Barbados, Belize, Bolivia (Plurinational State of), Brazil, Canada, Chile, Colombia, Costa Rica, Cuba, Dominica, Dominican Republic, Ecuador, El Salvador, Grenada, Guatemala, Guyana, Haiti, Honduras, Jamaica, Mexico, Nicaragua, Panama, Paraguay, Peru, Saint Kitts and Nevis, Saint Lucia, Saint Vincent and the Grenadines, Suriname, Trinidad and Tobago, United States of America, Uruguay, and Venezuela (Bolivarian Republic of)</w:t>
      </w:r>
    </w:p>
    <w:p w:rsidR="00BD3143" w:rsidRPr="007C7284" w:rsidRDefault="00BD3143" w:rsidP="00BD3143">
      <w:pPr>
        <w:rPr>
          <w:sz w:val="20"/>
          <w:szCs w:val="20"/>
        </w:rPr>
      </w:pPr>
      <w:r w:rsidRPr="007C7284">
        <w:rPr>
          <w:b/>
          <w:sz w:val="20"/>
          <w:szCs w:val="20"/>
        </w:rPr>
        <w:t xml:space="preserve">South-East Asia Region (SEAR): </w:t>
      </w:r>
      <w:r w:rsidRPr="007C7284">
        <w:rPr>
          <w:sz w:val="20"/>
          <w:szCs w:val="20"/>
        </w:rPr>
        <w:t>Bangladesh, Bhutan, Democratic People's Republic of Korea, India, Indonesia, Maldives, Myanmar, Nepal, Sri Lanka, Thailand, and Timor-Leste</w:t>
      </w:r>
    </w:p>
    <w:p w:rsidR="00BD3143" w:rsidRPr="007C7284" w:rsidRDefault="00BD3143" w:rsidP="00BD3143">
      <w:pPr>
        <w:rPr>
          <w:sz w:val="20"/>
          <w:szCs w:val="20"/>
        </w:rPr>
      </w:pPr>
      <w:r w:rsidRPr="007C7284">
        <w:rPr>
          <w:b/>
          <w:sz w:val="20"/>
          <w:szCs w:val="20"/>
        </w:rPr>
        <w:t>European Region (EUR):</w:t>
      </w:r>
      <w:r w:rsidRPr="007C7284">
        <w:rPr>
          <w:sz w:val="20"/>
          <w:szCs w:val="20"/>
        </w:rPr>
        <w:t xml:space="preserve"> Albania, Andorra, Armenia, Austria, Azerbaijan, Belarus, Belgium, Bosnia and Herzegovina, Bulgaria, Croatia, Cyprus, Czech Republic, Denmark, Estonia, Finland, France, Georgia, Germany, Greece, Hungary, Iceland, Ireland, Israel, Italy, Kazakhstan, Kyrgyzstan, Latvia, Lithuania, Luxembourg, Malta, Monaco, Montenegro, Netherlands, Norway, Poland, Portugal, Republic of Moldova, Romania, Russian Federation, San Marino, Serbia, Slovakia, Slovenia, Spain, Sweden, Switzerland, Tajikistan, The former Yugoslav Republic of Macedonia, Turkey, Turkmenistan, Ukraine, United Kingdom, and Uzbekistan</w:t>
      </w:r>
    </w:p>
    <w:p w:rsidR="00BD3143" w:rsidRPr="007C7284" w:rsidRDefault="00BD3143" w:rsidP="00BD3143">
      <w:pPr>
        <w:rPr>
          <w:sz w:val="20"/>
          <w:szCs w:val="20"/>
        </w:rPr>
      </w:pPr>
      <w:r w:rsidRPr="007C7284">
        <w:rPr>
          <w:b/>
          <w:sz w:val="20"/>
          <w:szCs w:val="20"/>
        </w:rPr>
        <w:t>Eastern Mediterranean Region (EMR):</w:t>
      </w:r>
      <w:r w:rsidRPr="007C7284">
        <w:rPr>
          <w:sz w:val="20"/>
          <w:szCs w:val="20"/>
        </w:rPr>
        <w:t xml:space="preserve"> Afghanistan, Bahrain, Djibouti, Egypt, Iran (Islamic Republic of), Iraq, Jordan, Kuwait, Lebanon, Libya, Morocco, Oman, Pakistan, Qatar, Saudi Arabia, Somalia, South Sudan, Sudan, Syrian Arab Republic, Tunisia, United Arab Emirates, and Yemen</w:t>
      </w:r>
    </w:p>
    <w:p w:rsidR="00BD3143" w:rsidRPr="007C7284" w:rsidRDefault="00BD3143" w:rsidP="00BD3143">
      <w:r w:rsidRPr="007C7284">
        <w:rPr>
          <w:b/>
          <w:sz w:val="20"/>
          <w:szCs w:val="20"/>
        </w:rPr>
        <w:t>Western Pacific Region (WPR):</w:t>
      </w:r>
      <w:r w:rsidRPr="007C7284">
        <w:rPr>
          <w:sz w:val="20"/>
          <w:szCs w:val="20"/>
        </w:rPr>
        <w:t xml:space="preserve"> Australia, Brunei Darussalam, Cambodia, China, Cook Islands, Fiji, Japan, Kiribati, Lao People's Democratic Republic, Malaysia, Marshall Islands, Micronesia (Federated States of), Mongolia, Nauru, New Zealand, Niue, Palau, Papua New Guinea, Philippines, Republic of Korea, Samoa, Singapore, Solomon Islands, Tonga, Tuvalu, Vanuatu, and Viet Nam</w:t>
      </w:r>
    </w:p>
    <w:p w:rsidR="00FB1E09" w:rsidRPr="007C7284" w:rsidRDefault="00FB1E09">
      <w:pPr>
        <w:rPr>
          <w:lang w:val="en-AU"/>
        </w:rPr>
      </w:pPr>
      <w:r w:rsidRPr="007C7284">
        <w:rPr>
          <w:lang w:val="en-AU"/>
        </w:rPr>
        <w:br w:type="page"/>
      </w:r>
    </w:p>
    <w:p w:rsidR="00FB1E09" w:rsidRPr="007C7284" w:rsidRDefault="00FB1E09" w:rsidP="00E6364E">
      <w:pPr>
        <w:pStyle w:val="Heading2"/>
      </w:pPr>
      <w:r w:rsidRPr="007C7284">
        <w:lastRenderedPageBreak/>
        <w:t xml:space="preserve">Web appendix </w:t>
      </w:r>
      <w:r w:rsidR="001B357B">
        <w:t>4</w:t>
      </w:r>
      <w:r w:rsidRPr="007C7284">
        <w:t xml:space="preserve">. </w:t>
      </w:r>
      <w:r w:rsidR="00FE160B">
        <w:t>Estimating age-specific risk relations</w:t>
      </w:r>
      <w:r w:rsidR="00FE160B" w:rsidRPr="007C7284">
        <w:t xml:space="preserve"> </w:t>
      </w:r>
      <w:bookmarkStart w:id="1" w:name="_GoBack"/>
      <w:bookmarkEnd w:id="1"/>
      <w:r w:rsidRPr="007C7284">
        <w:t>for Russia and sourounding countries</w:t>
      </w:r>
    </w:p>
    <w:p w:rsidR="00FB1E09" w:rsidRPr="000B0F58" w:rsidRDefault="00FB1E09" w:rsidP="00FB1E09">
      <w:pPr>
        <w:spacing w:line="480" w:lineRule="auto"/>
        <w:ind w:firstLine="720"/>
        <w:rPr>
          <w:lang w:val="en-CA"/>
        </w:rPr>
      </w:pPr>
      <w:r w:rsidRPr="000B0F58">
        <w:rPr>
          <w:lang w:val="en-CA"/>
        </w:rPr>
        <w:t xml:space="preserve">The age adjustment of the alcohol Relative Risk (RR) functions for ischemic heart disease Belarus, Moldova, Russia and the Ukraine was performed using the RR functions from </w:t>
      </w:r>
      <w:r w:rsidR="00617A21" w:rsidRPr="000B0F58">
        <w:rPr>
          <w:lang w:val="en-CA"/>
        </w:rPr>
        <w:fldChar w:fldCharType="begin"/>
      </w:r>
      <w:r w:rsidR="00617A21" w:rsidRPr="000B0F58">
        <w:rPr>
          <w:lang w:val="en-CA"/>
        </w:rPr>
        <w:instrText xml:space="preserve"> ADDIN EN.CITE &lt;EndNote&gt;&lt;Cite&gt;&lt;Author&gt;Zaridze&lt;/Author&gt;&lt;Year&gt;2009&lt;/Year&gt;&lt;RecNum&gt;8109&lt;/RecNum&gt;&lt;DisplayText&gt;[1]&lt;/DisplayText&gt;&lt;record&gt;&lt;rec-number&gt;8109&lt;/rec-number&gt;&lt;foreign-keys&gt;&lt;key app="EN" db-id="0vtd22wtmw20auerz5av0vs00tafp25ptzfw"&gt;8109&lt;/key&gt;&lt;/foreign-keys&gt;&lt;ref-type name="Journal Article"&gt;17&lt;/ref-type&gt;&lt;contributors&gt;&lt;authors&gt;&lt;author&gt;Zaridze, D.&lt;/author&gt;&lt;author&gt;Brennan, P.&lt;/author&gt;&lt;author&gt;Boreham, J.&lt;/author&gt;&lt;author&gt;Boroda, A.&lt;/author&gt;&lt;author&gt;Karpov, R.&lt;/author&gt;&lt;author&gt;Lazarev, A.&lt;/author&gt;&lt;author&gt;Konobeevskaya, I.&lt;/author&gt;&lt;author&gt;Igitov, V.&lt;/author&gt;&lt;author&gt;Terechova, T.&lt;/author&gt;&lt;author&gt;Boffetta, P.&lt;/author&gt;&lt;author&gt;Peto, R.&lt;/author&gt;&lt;/authors&gt;&lt;/contributors&gt;&lt;titles&gt;&lt;title&gt;Alcohol and cause-specific mortality in Russia: a retrospective case-control study of 48,557 adult deaths&lt;/title&gt;&lt;secondary-title&gt;Lancet&lt;/secondary-title&gt;&lt;/titles&gt;&lt;periodical&gt;&lt;full-title&gt;Lancet&lt;/full-title&gt;&lt;/periodical&gt;&lt;pages&gt;2201-2214&lt;/pages&gt;&lt;volume&gt;373&lt;/volume&gt;&lt;reprint-edition&gt;NOT IN FILE&lt;/reprint-edition&gt;&lt;keywords&gt;&lt;keyword&gt;Adult&lt;/keyword&gt;&lt;keyword&gt;Alcohol&lt;/keyword&gt;&lt;keyword&gt;Case Control Study&lt;/keyword&gt;&lt;keyword&gt;Case-Control Studies&lt;/keyword&gt;&lt;keyword&gt;Death&lt;/keyword&gt;&lt;keyword&gt;DEATHS&lt;/keyword&gt;&lt;keyword&gt;mortality&lt;/keyword&gt;&lt;keyword&gt;Russia&lt;/keyword&gt;&lt;keyword&gt;Studies&lt;/keyword&gt;&lt;/keywords&gt;&lt;dates&gt;&lt;year&gt;2009&lt;/year&gt;&lt;/dates&gt;&lt;urls&gt;&lt;/urls&gt;&lt;/record&gt;&lt;/Cite&gt;&lt;/EndNote&gt;</w:instrText>
      </w:r>
      <w:r w:rsidR="00617A21" w:rsidRPr="000B0F58">
        <w:rPr>
          <w:lang w:val="en-CA"/>
        </w:rPr>
        <w:fldChar w:fldCharType="separate"/>
      </w:r>
      <w:r w:rsidR="00617A21" w:rsidRPr="000B0F58">
        <w:rPr>
          <w:noProof/>
          <w:lang w:val="en-CA"/>
        </w:rPr>
        <w:t>[</w:t>
      </w:r>
      <w:hyperlink w:anchor="_ENREF_1" w:tooltip="Zaridze, 2009 #8109" w:history="1">
        <w:r w:rsidR="00617A21" w:rsidRPr="000B0F58">
          <w:rPr>
            <w:noProof/>
            <w:lang w:val="en-CA"/>
          </w:rPr>
          <w:t>1</w:t>
        </w:r>
      </w:hyperlink>
      <w:r w:rsidR="00617A21" w:rsidRPr="000B0F58">
        <w:rPr>
          <w:noProof/>
          <w:lang w:val="en-CA"/>
        </w:rPr>
        <w:t>]</w:t>
      </w:r>
      <w:r w:rsidR="00617A21" w:rsidRPr="000B0F58">
        <w:rPr>
          <w:lang w:val="en-CA"/>
        </w:rPr>
        <w:fldChar w:fldCharType="end"/>
      </w:r>
      <w:r w:rsidRPr="000B0F58">
        <w:rPr>
          <w:lang w:val="en-CA"/>
        </w:rPr>
        <w:t xml:space="preserve"> and the age RR ratios from </w:t>
      </w:r>
      <w:r w:rsidR="00617A21" w:rsidRPr="000B0F58">
        <w:rPr>
          <w:lang w:val="en-CA"/>
        </w:rPr>
        <w:fldChar w:fldCharType="begin"/>
      </w:r>
      <w:r w:rsidR="00617A21" w:rsidRPr="000B0F58">
        <w:rPr>
          <w:lang w:val="en-CA"/>
        </w:rPr>
        <w:instrText xml:space="preserve"> ADDIN EN.CITE &lt;EndNote&gt;&lt;Cite&gt;&lt;Author&gt;Zaridze&lt;/Author&gt;&lt;Year&gt;2014&lt;/Year&gt;&lt;RecNum&gt;24413&lt;/RecNum&gt;&lt;DisplayText&gt;[2]&lt;/DisplayText&gt;&lt;record&gt;&lt;rec-number&gt;24413&lt;/rec-number&gt;&lt;foreign-keys&gt;&lt;key app="EN" db-id="0vtd22wtmw20auerz5av0vs00tafp25ptzfw"&gt;24413&lt;/key&gt;&lt;/foreign-keys&gt;&lt;ref-type name="Journal Article"&gt;17&lt;/ref-type&gt;&lt;contributors&gt;&lt;authors&gt;&lt;author&gt;Zaridze, D.&lt;/author&gt;&lt;author&gt;Lewington, S.&lt;/author&gt;&lt;author&gt;Boroda, A.&lt;/author&gt;&lt;author&gt;Scélo, G.&lt;/author&gt;&lt;author&gt;Karpov, R.&lt;/author&gt;&lt;author&gt;Lazarev, A.&lt;/author&gt;&lt;author&gt;Konobeevskaya, I.&lt;/author&gt;&lt;author&gt;Igitov, V.&lt;/author&gt;&lt;author&gt;Terechova, T.&lt;/author&gt;&lt;author&gt;Boffetta, P.&lt;/author&gt;&lt;author&gt;Sherliker, P.&lt;/author&gt;&lt;author&gt;Kong, X.&lt;/author&gt;&lt;author&gt;Whitlock, G.&lt;/author&gt;&lt;author&gt;Boreham, J.&lt;/author&gt;&lt;author&gt;Brennan, P.&lt;/author&gt;&lt;author&gt;Peto, R.&lt;/author&gt;&lt;/authors&gt;&lt;/contributors&gt;&lt;titles&gt;&lt;title&gt;Alcohol and mortality in Russia: prospective observational study of 151,000 adults&lt;/title&gt;&lt;secondary-title&gt;Lancet&lt;/secondary-title&gt;&lt;/titles&gt;&lt;periodical&gt;&lt;full-title&gt;Lancet&lt;/full-title&gt;&lt;/periodical&gt;&lt;pages&gt;62247-3&lt;/pages&gt;&lt;volume&gt;pii: S0140-6736&lt;/volume&gt;&lt;number&gt;13&lt;/number&gt;&lt;dates&gt;&lt;year&gt;2014&lt;/year&gt;&lt;/dates&gt;&lt;urls&gt;&lt;/urls&gt;&lt;electronic-resource-num&gt;doi: 10.1016/S0140-6736(13)62247-3. &lt;/electronic-resource-num&gt;&lt;/record&gt;&lt;/Cite&gt;&lt;/EndNote&gt;</w:instrText>
      </w:r>
      <w:r w:rsidR="00617A21" w:rsidRPr="000B0F58">
        <w:rPr>
          <w:lang w:val="en-CA"/>
        </w:rPr>
        <w:fldChar w:fldCharType="separate"/>
      </w:r>
      <w:r w:rsidR="00617A21" w:rsidRPr="000B0F58">
        <w:rPr>
          <w:noProof/>
          <w:lang w:val="en-CA"/>
        </w:rPr>
        <w:t>[</w:t>
      </w:r>
      <w:hyperlink w:anchor="_ENREF_2" w:tooltip="Zaridze, 2014 #24413" w:history="1">
        <w:r w:rsidR="00617A21" w:rsidRPr="000B0F58">
          <w:rPr>
            <w:noProof/>
            <w:lang w:val="en-CA"/>
          </w:rPr>
          <w:t>2</w:t>
        </w:r>
      </w:hyperlink>
      <w:r w:rsidR="00617A21" w:rsidRPr="000B0F58">
        <w:rPr>
          <w:noProof/>
          <w:lang w:val="en-CA"/>
        </w:rPr>
        <w:t>]</w:t>
      </w:r>
      <w:r w:rsidR="00617A21" w:rsidRPr="000B0F58">
        <w:rPr>
          <w:lang w:val="en-CA"/>
        </w:rPr>
        <w:fldChar w:fldCharType="end"/>
      </w:r>
      <w:r w:rsidRPr="000B0F58">
        <w:rPr>
          <w:lang w:val="en-CA"/>
        </w:rPr>
        <w:t xml:space="preserve">. The age adjusted RR was calculated using the following formula: </w:t>
      </w:r>
    </w:p>
    <w:p w:rsidR="00FB1E09" w:rsidRPr="000B0F58" w:rsidRDefault="00FB1E09" w:rsidP="00FB1E09">
      <w:pPr>
        <w:spacing w:line="480" w:lineRule="auto"/>
        <w:rPr>
          <w:lang w:val="en-CA"/>
        </w:rPr>
      </w:pPr>
      <m:oMathPara>
        <m:oMath>
          <m:r>
            <w:rPr>
              <w:rFonts w:ascii="Cambria Math" w:hAnsi="Cambria Math"/>
              <w:lang w:val="en-CA"/>
            </w:rPr>
            <m:t>RRi(x)AA=</m:t>
          </m:r>
          <m:func>
            <m:funcPr>
              <m:ctrlPr>
                <w:rPr>
                  <w:rFonts w:ascii="Cambria Math" w:hAnsi="Cambria Math"/>
                  <w:lang w:val="en-CA"/>
                </w:rPr>
              </m:ctrlPr>
            </m:funcPr>
            <m:fName>
              <m:r>
                <m:rPr>
                  <m:sty m:val="p"/>
                </m:rPr>
                <w:rPr>
                  <w:rFonts w:ascii="Cambria Math" w:hAnsi="Cambria Math"/>
                  <w:lang w:val="en-CA"/>
                </w:rPr>
                <m:t>exp</m:t>
              </m:r>
            </m:fName>
            <m:e>
              <m:d>
                <m:dPr>
                  <m:ctrlPr>
                    <w:rPr>
                      <w:rFonts w:ascii="Cambria Math" w:hAnsi="Cambria Math"/>
                      <w:i/>
                      <w:lang w:val="en-CA"/>
                    </w:rPr>
                  </m:ctrlPr>
                </m:dPr>
                <m:e>
                  <m:r>
                    <w:rPr>
                      <w:rFonts w:ascii="Cambria Math" w:hAnsi="Cambria Math"/>
                      <w:lang w:val="en-CA"/>
                    </w:rPr>
                    <m:t>AgeAdjust</m:t>
                  </m:r>
                </m:e>
              </m:d>
            </m:e>
          </m:func>
          <m:r>
            <w:rPr>
              <w:rFonts w:ascii="Cambria Math" w:hAnsi="Cambria Math"/>
              <w:lang w:val="en-CA"/>
            </w:rPr>
            <m:t>*</m:t>
          </m:r>
          <m:r>
            <m:rPr>
              <m:sty m:val="p"/>
            </m:rPr>
            <w:rPr>
              <w:rFonts w:ascii="Cambria Math" w:hAnsi="Cambria Math"/>
              <w:lang w:val="en-CA"/>
            </w:rPr>
            <m:t>exp⁡</m:t>
          </m:r>
          <m:r>
            <w:rPr>
              <w:rFonts w:ascii="Cambria Math" w:hAnsi="Cambria Math"/>
              <w:lang w:val="en-CA"/>
            </w:rPr>
            <m:t>(</m:t>
          </m:r>
          <m:func>
            <m:funcPr>
              <m:ctrlPr>
                <w:rPr>
                  <w:rFonts w:ascii="Cambria Math" w:hAnsi="Cambria Math"/>
                  <w:lang w:val="en-CA"/>
                </w:rPr>
              </m:ctrlPr>
            </m:funcPr>
            <m:fName>
              <m:r>
                <m:rPr>
                  <m:sty m:val="p"/>
                </m:rPr>
                <w:rPr>
                  <w:rFonts w:ascii="Cambria Math" w:hAnsi="Cambria Math"/>
                  <w:lang w:val="en-CA"/>
                </w:rPr>
                <m:t>ln</m:t>
              </m:r>
              <m:ctrlPr>
                <w:rPr>
                  <w:rFonts w:ascii="Cambria Math" w:hAnsi="Cambria Math"/>
                  <w:i/>
                  <w:lang w:val="en-CA"/>
                </w:rPr>
              </m:ctrlPr>
            </m:fName>
            <m:e>
              <m:d>
                <m:dPr>
                  <m:ctrlPr>
                    <w:rPr>
                      <w:rFonts w:ascii="Cambria Math" w:hAnsi="Cambria Math"/>
                      <w:i/>
                      <w:lang w:val="en-CA"/>
                    </w:rPr>
                  </m:ctrlPr>
                </m:dPr>
                <m:e>
                  <m:r>
                    <w:rPr>
                      <w:rFonts w:ascii="Cambria Math" w:hAnsi="Cambria Math"/>
                      <w:lang w:val="en-CA"/>
                    </w:rPr>
                    <m:t>RRi(x)</m:t>
                  </m:r>
                </m:e>
              </m:d>
            </m:e>
          </m:func>
          <m:r>
            <w:rPr>
              <w:rFonts w:ascii="Cambria Math" w:hAnsi="Cambria Math"/>
              <w:lang w:val="en-CA"/>
            </w:rPr>
            <m:t>)</m:t>
          </m:r>
        </m:oMath>
      </m:oMathPara>
    </w:p>
    <w:p w:rsidR="00FB1E09" w:rsidRPr="000B0F58" w:rsidRDefault="00FB1E09" w:rsidP="00FB1E09">
      <w:pPr>
        <w:spacing w:line="480" w:lineRule="auto"/>
        <w:rPr>
          <w:lang w:val="en-CA"/>
        </w:rPr>
      </w:pPr>
      <w:r w:rsidRPr="000B0F58">
        <w:rPr>
          <w:lang w:val="en-CA"/>
        </w:rPr>
        <w:t xml:space="preserve">where </w:t>
      </w:r>
      <w:proofErr w:type="spellStart"/>
      <w:r w:rsidRPr="000B0F58">
        <w:rPr>
          <w:lang w:val="en-CA"/>
        </w:rPr>
        <w:t>ln</w:t>
      </w:r>
      <w:r w:rsidRPr="000B0F58">
        <w:rPr>
          <w:i/>
          <w:lang w:val="en-CA"/>
        </w:rPr>
        <w:t>RRi</w:t>
      </w:r>
      <w:proofErr w:type="spellEnd"/>
      <w:r w:rsidRPr="000B0F58">
        <w:rPr>
          <w:i/>
          <w:lang w:val="en-CA"/>
        </w:rPr>
        <w:t xml:space="preserve">(x) </w:t>
      </w:r>
      <w:r w:rsidRPr="000B0F58">
        <w:rPr>
          <w:lang w:val="en-CA"/>
        </w:rPr>
        <w:t xml:space="preserve">represents the natural logarithm of the RR for disease </w:t>
      </w:r>
      <w:proofErr w:type="spellStart"/>
      <w:r w:rsidRPr="000B0F58">
        <w:rPr>
          <w:i/>
          <w:lang w:val="en-CA"/>
        </w:rPr>
        <w:t>i</w:t>
      </w:r>
      <w:proofErr w:type="spellEnd"/>
      <w:r w:rsidRPr="000B0F58">
        <w:rPr>
          <w:lang w:val="en-CA"/>
        </w:rPr>
        <w:t xml:space="preserve"> and alcohol consumption </w:t>
      </w:r>
      <w:r w:rsidRPr="000B0F58">
        <w:rPr>
          <w:i/>
          <w:lang w:val="en-CA"/>
        </w:rPr>
        <w:t>x</w:t>
      </w:r>
      <w:r w:rsidRPr="000B0F58">
        <w:rPr>
          <w:lang w:val="en-CA"/>
        </w:rPr>
        <w:t xml:space="preserve"> </w:t>
      </w:r>
      <w:r w:rsidR="00617A21" w:rsidRPr="000B0F58">
        <w:rPr>
          <w:lang w:val="en-CA"/>
        </w:rPr>
        <w:fldChar w:fldCharType="begin"/>
      </w:r>
      <w:r w:rsidR="00617A21" w:rsidRPr="000B0F58">
        <w:rPr>
          <w:lang w:val="en-CA"/>
        </w:rPr>
        <w:instrText xml:space="preserve"> ADDIN EN.CITE &lt;EndNote&gt;&lt;Cite&gt;&lt;Author&gt;Zaridze&lt;/Author&gt;&lt;Year&gt;2009&lt;/Year&gt;&lt;RecNum&gt;8109&lt;/RecNum&gt;&lt;DisplayText&gt;[1]&lt;/DisplayText&gt;&lt;record&gt;&lt;rec-number&gt;8109&lt;/rec-number&gt;&lt;foreign-keys&gt;&lt;key app="EN" db-id="0vtd22wtmw20auerz5av0vs00tafp25ptzfw"&gt;8109&lt;/key&gt;&lt;/foreign-keys&gt;&lt;ref-type name="Journal Article"&gt;17&lt;/ref-type&gt;&lt;contributors&gt;&lt;authors&gt;&lt;author&gt;Zaridze, D.&lt;/author&gt;&lt;author&gt;Brennan, P.&lt;/author&gt;&lt;author&gt;Boreham, J.&lt;/author&gt;&lt;author&gt;Boroda, A.&lt;/author&gt;&lt;author&gt;Karpov, R.&lt;/author&gt;&lt;author&gt;Lazarev, A.&lt;/author&gt;&lt;author&gt;Konobeevskaya, I.&lt;/author&gt;&lt;author&gt;Igitov, V.&lt;/author&gt;&lt;author&gt;Terechova, T.&lt;/author&gt;&lt;author&gt;Boffetta, P.&lt;/author&gt;&lt;author&gt;Peto, R.&lt;/author&gt;&lt;/authors&gt;&lt;/contributors&gt;&lt;titles&gt;&lt;title&gt;Alcohol and cause-specific mortality in Russia: a retrospective case-control study of 48,557 adult deaths&lt;/title&gt;&lt;secondary-title&gt;Lancet&lt;/secondary-title&gt;&lt;/titles&gt;&lt;periodical&gt;&lt;full-title&gt;Lancet&lt;/full-title&gt;&lt;/periodical&gt;&lt;pages&gt;2201-2214&lt;/pages&gt;&lt;volume&gt;373&lt;/volume&gt;&lt;reprint-edition&gt;NOT IN FILE&lt;/reprint-edition&gt;&lt;keywords&gt;&lt;keyword&gt;Adult&lt;/keyword&gt;&lt;keyword&gt;Alcohol&lt;/keyword&gt;&lt;keyword&gt;Case Control Study&lt;/keyword&gt;&lt;keyword&gt;Case-Control Studies&lt;/keyword&gt;&lt;keyword&gt;Death&lt;/keyword&gt;&lt;keyword&gt;DEATHS&lt;/keyword&gt;&lt;keyword&gt;mortality&lt;/keyword&gt;&lt;keyword&gt;Russia&lt;/keyword&gt;&lt;keyword&gt;Studies&lt;/keyword&gt;&lt;/keywords&gt;&lt;dates&gt;&lt;year&gt;2009&lt;/year&gt;&lt;/dates&gt;&lt;urls&gt;&lt;/urls&gt;&lt;/record&gt;&lt;/Cite&gt;&lt;/EndNote&gt;</w:instrText>
      </w:r>
      <w:r w:rsidR="00617A21" w:rsidRPr="000B0F58">
        <w:rPr>
          <w:lang w:val="en-CA"/>
        </w:rPr>
        <w:fldChar w:fldCharType="separate"/>
      </w:r>
      <w:r w:rsidR="00617A21" w:rsidRPr="000B0F58">
        <w:rPr>
          <w:noProof/>
          <w:lang w:val="en-CA"/>
        </w:rPr>
        <w:t>[</w:t>
      </w:r>
      <w:hyperlink w:anchor="_ENREF_1" w:tooltip="Zaridze, 2009 #8109" w:history="1">
        <w:r w:rsidR="00617A21" w:rsidRPr="000B0F58">
          <w:rPr>
            <w:noProof/>
            <w:lang w:val="en-CA"/>
          </w:rPr>
          <w:t>1</w:t>
        </w:r>
      </w:hyperlink>
      <w:r w:rsidR="00617A21" w:rsidRPr="000B0F58">
        <w:rPr>
          <w:noProof/>
          <w:lang w:val="en-CA"/>
        </w:rPr>
        <w:t>]</w:t>
      </w:r>
      <w:r w:rsidR="00617A21" w:rsidRPr="000B0F58">
        <w:rPr>
          <w:lang w:val="en-CA"/>
        </w:rPr>
        <w:fldChar w:fldCharType="end"/>
      </w:r>
      <w:r w:rsidRPr="000B0F58">
        <w:rPr>
          <w:lang w:val="en-CA"/>
        </w:rPr>
        <w:t xml:space="preserve">, </w:t>
      </w:r>
      <w:proofErr w:type="spellStart"/>
      <w:r w:rsidRPr="000B0F58">
        <w:rPr>
          <w:i/>
          <w:lang w:val="en-CA"/>
        </w:rPr>
        <w:t>AgeAdjust</w:t>
      </w:r>
      <w:proofErr w:type="spellEnd"/>
      <w:r w:rsidRPr="000B0F58">
        <w:rPr>
          <w:lang w:val="en-CA"/>
        </w:rPr>
        <w:t xml:space="preserve"> is the age adjustment coefficient (different coefficients were used for the ages 15 to 34, 35 to 64, and 65 plus) and </w:t>
      </w:r>
      <w:proofErr w:type="spellStart"/>
      <w:r w:rsidRPr="000B0F58">
        <w:rPr>
          <w:lang w:val="en-CA"/>
        </w:rPr>
        <w:t>RR</w:t>
      </w:r>
      <w:r w:rsidRPr="000B0F58">
        <w:rPr>
          <w:i/>
          <w:lang w:val="en-CA"/>
        </w:rPr>
        <w:t>i</w:t>
      </w:r>
      <w:proofErr w:type="spellEnd"/>
      <w:r w:rsidRPr="000B0F58">
        <w:rPr>
          <w:i/>
          <w:lang w:val="en-CA"/>
        </w:rPr>
        <w:t>(x)AA</w:t>
      </w:r>
      <w:r w:rsidRPr="000B0F58">
        <w:rPr>
          <w:lang w:val="en-CA"/>
        </w:rPr>
        <w:t xml:space="preserve"> represents the age-adjusted RR for disease </w:t>
      </w:r>
      <w:proofErr w:type="spellStart"/>
      <w:r w:rsidRPr="000B0F58">
        <w:rPr>
          <w:i/>
          <w:lang w:val="en-CA"/>
        </w:rPr>
        <w:t>i</w:t>
      </w:r>
      <w:proofErr w:type="spellEnd"/>
      <w:r w:rsidRPr="000B0F58">
        <w:rPr>
          <w:lang w:val="en-CA"/>
        </w:rPr>
        <w:t xml:space="preserve"> and consumption </w:t>
      </w:r>
      <w:r w:rsidRPr="000B0F58">
        <w:rPr>
          <w:i/>
          <w:lang w:val="en-CA"/>
        </w:rPr>
        <w:t>x</w:t>
      </w:r>
      <w:r w:rsidRPr="000B0F58">
        <w:rPr>
          <w:lang w:val="en-CA"/>
        </w:rPr>
        <w:t>.</w:t>
      </w:r>
    </w:p>
    <w:p w:rsidR="00FB1E09" w:rsidRPr="000B0F58" w:rsidRDefault="00FB1E09" w:rsidP="00FB1E09">
      <w:pPr>
        <w:spacing w:line="480" w:lineRule="auto"/>
        <w:ind w:firstLine="720"/>
        <w:rPr>
          <w:lang w:val="en-CA"/>
        </w:rPr>
      </w:pPr>
      <w:proofErr w:type="spellStart"/>
      <w:r w:rsidRPr="000B0F58">
        <w:rPr>
          <w:lang w:val="en-CA"/>
        </w:rPr>
        <w:t>AgeAdjust</w:t>
      </w:r>
      <w:proofErr w:type="spellEnd"/>
      <w:r w:rsidRPr="000B0F58">
        <w:rPr>
          <w:lang w:val="en-CA"/>
        </w:rPr>
        <w:t xml:space="preserve"> coefficients were estimated based on the ratio of the </w:t>
      </w:r>
      <w:proofErr w:type="spellStart"/>
      <w:r w:rsidRPr="000B0F58">
        <w:rPr>
          <w:lang w:val="en-CA"/>
        </w:rPr>
        <w:t>RR</w:t>
      </w:r>
      <w:r w:rsidRPr="000B0F58">
        <w:rPr>
          <w:i/>
          <w:lang w:val="en-CA"/>
        </w:rPr>
        <w:t>i</w:t>
      </w:r>
      <w:proofErr w:type="spellEnd"/>
      <w:r w:rsidRPr="000B0F58">
        <w:rPr>
          <w:i/>
          <w:lang w:val="en-CA"/>
        </w:rPr>
        <w:t>(x)</w:t>
      </w:r>
      <w:r w:rsidRPr="000B0F58">
        <w:rPr>
          <w:lang w:val="en-CA"/>
        </w:rPr>
        <w:t xml:space="preserve"> between people aged 35 to 54 years and aged 55 to 74 years. This ratio was transformed using the natural logarithm and divided by the group age difference to obtain the natural logarithmic ratio increase by age. The </w:t>
      </w:r>
      <w:proofErr w:type="spellStart"/>
      <w:r w:rsidRPr="000B0F58">
        <w:rPr>
          <w:lang w:val="en-CA"/>
        </w:rPr>
        <w:t>AgeAdjust</w:t>
      </w:r>
      <w:proofErr w:type="spellEnd"/>
      <w:r w:rsidRPr="000B0F58">
        <w:rPr>
          <w:lang w:val="en-CA"/>
        </w:rPr>
        <w:t xml:space="preserve"> coefficients for those people 15 to 34, 35 to 64, and 65 years of age and older were estimated using the logarithmic relationship and the difference between the mean age of the age group of interest and the mean age of death upon which the original RRs were based, using data from </w:t>
      </w:r>
      <w:r w:rsidR="00617A21" w:rsidRPr="000B0F58">
        <w:rPr>
          <w:lang w:val="en-CA"/>
        </w:rPr>
        <w:fldChar w:fldCharType="begin"/>
      </w:r>
      <w:r w:rsidR="00617A21" w:rsidRPr="000B0F58">
        <w:rPr>
          <w:lang w:val="en-CA"/>
        </w:rPr>
        <w:instrText xml:space="preserve"> ADDIN EN.CITE &lt;EndNote&gt;&lt;Cite&gt;&lt;Author&gt;Zaridze&lt;/Author&gt;&lt;Year&gt;2009&lt;/Year&gt;&lt;RecNum&gt;8109&lt;/RecNum&gt;&lt;DisplayText&gt;[1]&lt;/DisplayText&gt;&lt;record&gt;&lt;rec-number&gt;8109&lt;/rec-number&gt;&lt;foreign-keys&gt;&lt;key app="EN" db-id="0vtd22wtmw20auerz5av0vs00tafp25ptzfw"&gt;8109&lt;/key&gt;&lt;/foreign-keys&gt;&lt;ref-type name="Journal Article"&gt;17&lt;/ref-type&gt;&lt;contributors&gt;&lt;authors&gt;&lt;author&gt;Zaridze, D.&lt;/author&gt;&lt;author&gt;Brennan, P.&lt;/author&gt;&lt;author&gt;Boreham, J.&lt;/author&gt;&lt;author&gt;Boroda, A.&lt;/author&gt;&lt;author&gt;Karpov, R.&lt;/author&gt;&lt;author&gt;Lazarev, A.&lt;/author&gt;&lt;author&gt;Konobeevskaya, I.&lt;/author&gt;&lt;author&gt;Igitov, V.&lt;/author&gt;&lt;author&gt;Terechova, T.&lt;/author&gt;&lt;author&gt;Boffetta, P.&lt;/author&gt;&lt;author&gt;Peto, R.&lt;/author&gt;&lt;/authors&gt;&lt;/contributors&gt;&lt;titles&gt;&lt;title&gt;Alcohol and cause-specific mortality in Russia: a retrospective case-control study of 48,557 adult deaths&lt;/title&gt;&lt;secondary-title&gt;Lancet&lt;/secondary-title&gt;&lt;/titles&gt;&lt;periodical&gt;&lt;full-title&gt;Lancet&lt;/full-title&gt;&lt;/periodical&gt;&lt;pages&gt;2201-2214&lt;/pages&gt;&lt;volume&gt;373&lt;/volume&gt;&lt;reprint-edition&gt;NOT IN FILE&lt;/reprint-edition&gt;&lt;keywords&gt;&lt;keyword&gt;Adult&lt;/keyword&gt;&lt;keyword&gt;Alcohol&lt;/keyword&gt;&lt;keyword&gt;Case Control Study&lt;/keyword&gt;&lt;keyword&gt;Case-Control Studies&lt;/keyword&gt;&lt;keyword&gt;Death&lt;/keyword&gt;&lt;keyword&gt;DEATHS&lt;/keyword&gt;&lt;keyword&gt;mortality&lt;/keyword&gt;&lt;keyword&gt;Russia&lt;/keyword&gt;&lt;keyword&gt;Studies&lt;/keyword&gt;&lt;/keywords&gt;&lt;dates&gt;&lt;year&gt;2009&lt;/year&gt;&lt;/dates&gt;&lt;urls&gt;&lt;/urls&gt;&lt;/record&gt;&lt;/Cite&gt;&lt;/EndNote&gt;</w:instrText>
      </w:r>
      <w:r w:rsidR="00617A21" w:rsidRPr="000B0F58">
        <w:rPr>
          <w:lang w:val="en-CA"/>
        </w:rPr>
        <w:fldChar w:fldCharType="separate"/>
      </w:r>
      <w:r w:rsidR="00617A21" w:rsidRPr="000B0F58">
        <w:rPr>
          <w:noProof/>
          <w:lang w:val="en-CA"/>
        </w:rPr>
        <w:t>[</w:t>
      </w:r>
      <w:hyperlink w:anchor="_ENREF_1" w:tooltip="Zaridze, 2009 #8109" w:history="1">
        <w:r w:rsidR="00617A21" w:rsidRPr="000B0F58">
          <w:rPr>
            <w:noProof/>
            <w:lang w:val="en-CA"/>
          </w:rPr>
          <w:t>1</w:t>
        </w:r>
      </w:hyperlink>
      <w:r w:rsidR="00617A21" w:rsidRPr="000B0F58">
        <w:rPr>
          <w:noProof/>
          <w:lang w:val="en-CA"/>
        </w:rPr>
        <w:t>]</w:t>
      </w:r>
      <w:r w:rsidR="00617A21" w:rsidRPr="000B0F58">
        <w:rPr>
          <w:lang w:val="en-CA"/>
        </w:rPr>
        <w:fldChar w:fldCharType="end"/>
      </w:r>
      <w:r w:rsidRPr="000B0F58">
        <w:rPr>
          <w:lang w:val="en-CA"/>
        </w:rPr>
        <w:t>.</w:t>
      </w:r>
    </w:p>
    <w:p w:rsidR="00FB1E09" w:rsidRPr="000B0F58" w:rsidRDefault="00FB1E09" w:rsidP="00FB1E09">
      <w:pPr>
        <w:spacing w:line="480" w:lineRule="auto"/>
        <w:ind w:firstLine="720"/>
        <w:rPr>
          <w:lang w:val="en-CA"/>
        </w:rPr>
      </w:pPr>
      <w:r w:rsidRPr="000B0F58">
        <w:rPr>
          <w:lang w:val="en-CA"/>
        </w:rPr>
        <w:t xml:space="preserve">The uncertainty for the </w:t>
      </w:r>
      <w:proofErr w:type="spellStart"/>
      <w:r w:rsidRPr="000B0F58">
        <w:rPr>
          <w:lang w:val="en-CA"/>
        </w:rPr>
        <w:t>AgeAdjust</w:t>
      </w:r>
      <w:proofErr w:type="spellEnd"/>
      <w:r w:rsidRPr="000B0F58">
        <w:rPr>
          <w:lang w:val="en-CA"/>
        </w:rPr>
        <w:t xml:space="preserve"> coefficients was calculated based on 40,000 simulations. The age-specific RRs were provided for current smokers by the following alcohol consumption categories: &lt;1 bottle of vodka, 1 to &lt;3 bottles of vodka, and 3 or more bottles of vodka, and no specific sample size data were provided for these groups.  Therefore, imputation was performed using the sample size for male current smokers and the total male sample population within each alcohol consumption risk group, and the total male sample population in each age group  </w:t>
      </w:r>
    </w:p>
    <w:p w:rsidR="00FB1E09" w:rsidRPr="000B0F58" w:rsidRDefault="00FB1E09" w:rsidP="00FB1E09">
      <w:pPr>
        <w:spacing w:line="480" w:lineRule="auto"/>
        <w:ind w:firstLine="720"/>
        <w:rPr>
          <w:lang w:val="en-CA"/>
        </w:rPr>
      </w:pPr>
      <w:r w:rsidRPr="000B0F58">
        <w:rPr>
          <w:lang w:val="en-CA"/>
        </w:rPr>
        <w:t xml:space="preserve">The age adjustment method presented here differs from the method used for all other countries as a large proportion of the uncertainty distributions for the RRs for ischemic heart disease from </w:t>
      </w:r>
      <w:r w:rsidR="00617A21" w:rsidRPr="000B0F58">
        <w:rPr>
          <w:lang w:val="en-CA"/>
        </w:rPr>
        <w:fldChar w:fldCharType="begin"/>
      </w:r>
      <w:r w:rsidR="00617A21" w:rsidRPr="000B0F58">
        <w:rPr>
          <w:lang w:val="en-CA"/>
        </w:rPr>
        <w:instrText xml:space="preserve"> ADDIN EN.CITE &lt;EndNote&gt;&lt;Cite&gt;&lt;Author&gt;Zaridze&lt;/Author&gt;&lt;Year&gt;2014&lt;/Year&gt;&lt;RecNum&gt;24413&lt;/RecNum&gt;&lt;DisplayText&gt;[2]&lt;/DisplayText&gt;&lt;record&gt;&lt;rec-number&gt;24413&lt;/rec-number&gt;&lt;foreign-keys&gt;&lt;key app="EN" db-id="0vtd22wtmw20auerz5av0vs00tafp25ptzfw"&gt;24413&lt;/key&gt;&lt;/foreign-keys&gt;&lt;ref-type name="Journal Article"&gt;17&lt;/ref-type&gt;&lt;contributors&gt;&lt;authors&gt;&lt;author&gt;Zaridze, D.&lt;/author&gt;&lt;author&gt;Lewington, S.&lt;/author&gt;&lt;author&gt;Boroda, A.&lt;/author&gt;&lt;author&gt;Scélo, G.&lt;/author&gt;&lt;author&gt;Karpov, R.&lt;/author&gt;&lt;author&gt;Lazarev, A.&lt;/author&gt;&lt;author&gt;Konobeevskaya, I.&lt;/author&gt;&lt;author&gt;Igitov, V.&lt;/author&gt;&lt;author&gt;Terechova, T.&lt;/author&gt;&lt;author&gt;Boffetta, P.&lt;/author&gt;&lt;author&gt;Sherliker, P.&lt;/author&gt;&lt;author&gt;Kong, X.&lt;/author&gt;&lt;author&gt;Whitlock, G.&lt;/author&gt;&lt;author&gt;Boreham, J.&lt;/author&gt;&lt;author&gt;Brennan, P.&lt;/author&gt;&lt;author&gt;Peto, R.&lt;/author&gt;&lt;/authors&gt;&lt;/contributors&gt;&lt;titles&gt;&lt;title&gt;Alcohol and mortality in Russia: prospective observational study of 151,000 adults&lt;/title&gt;&lt;secondary-title&gt;Lancet&lt;/secondary-title&gt;&lt;/titles&gt;&lt;periodical&gt;&lt;full-title&gt;Lancet&lt;/full-title&gt;&lt;/periodical&gt;&lt;pages&gt;62247-3&lt;/pages&gt;&lt;volume&gt;pii: S0140-6736&lt;/volume&gt;&lt;number&gt;13&lt;/number&gt;&lt;dates&gt;&lt;year&gt;2014&lt;/year&gt;&lt;/dates&gt;&lt;urls&gt;&lt;/urls&gt;&lt;electronic-resource-num&gt;doi: 10.1016/S0140-6736(13)62247-3. &lt;/electronic-resource-num&gt;&lt;/record&gt;&lt;/Cite&gt;&lt;/EndNote&gt;</w:instrText>
      </w:r>
      <w:r w:rsidR="00617A21" w:rsidRPr="000B0F58">
        <w:rPr>
          <w:lang w:val="en-CA"/>
        </w:rPr>
        <w:fldChar w:fldCharType="separate"/>
      </w:r>
      <w:r w:rsidR="00617A21" w:rsidRPr="000B0F58">
        <w:rPr>
          <w:noProof/>
          <w:lang w:val="en-CA"/>
        </w:rPr>
        <w:t>[</w:t>
      </w:r>
      <w:hyperlink w:anchor="_ENREF_2" w:tooltip="Zaridze, 2014 #24413" w:history="1">
        <w:r w:rsidR="00617A21" w:rsidRPr="000B0F58">
          <w:rPr>
            <w:noProof/>
            <w:lang w:val="en-CA"/>
          </w:rPr>
          <w:t>2</w:t>
        </w:r>
      </w:hyperlink>
      <w:r w:rsidR="00617A21" w:rsidRPr="000B0F58">
        <w:rPr>
          <w:noProof/>
          <w:lang w:val="en-CA"/>
        </w:rPr>
        <w:t>]</w:t>
      </w:r>
      <w:r w:rsidR="00617A21" w:rsidRPr="000B0F58">
        <w:rPr>
          <w:lang w:val="en-CA"/>
        </w:rPr>
        <w:fldChar w:fldCharType="end"/>
      </w:r>
      <w:r w:rsidRPr="000B0F58">
        <w:rPr>
          <w:lang w:val="en-CA"/>
        </w:rPr>
        <w:t xml:space="preserve"> crossed zero. Since this uncertainty distribution crossed zero, the variance of x/y was not </w:t>
      </w:r>
      <w:r w:rsidRPr="000B0F58">
        <w:rPr>
          <w:lang w:val="en-CA"/>
        </w:rPr>
        <w:lastRenderedPageBreak/>
        <w:t xml:space="preserve">interpretable especially for areas of the probability distribution when y approaches 0 as the ratio will approach positive or negative infinity and is then undefined at 0. Additionally the age adjustment for ischemic stroke using data from </w:t>
      </w:r>
      <w:r w:rsidR="00617A21" w:rsidRPr="000B0F58">
        <w:rPr>
          <w:lang w:val="en-CA"/>
        </w:rPr>
        <w:fldChar w:fldCharType="begin"/>
      </w:r>
      <w:r w:rsidR="00617A21" w:rsidRPr="000B0F58">
        <w:rPr>
          <w:lang w:val="en-CA"/>
        </w:rPr>
        <w:instrText xml:space="preserve"> ADDIN EN.CITE &lt;EndNote&gt;&lt;Cite&gt;&lt;Author&gt;Zaridze&lt;/Author&gt;&lt;Year&gt;2014&lt;/Year&gt;&lt;RecNum&gt;24413&lt;/RecNum&gt;&lt;DisplayText&gt;[2]&lt;/DisplayText&gt;&lt;record&gt;&lt;rec-number&gt;24413&lt;/rec-number&gt;&lt;foreign-keys&gt;&lt;key app="EN" db-id="0vtd22wtmw20auerz5av0vs00tafp25ptzfw"&gt;24413&lt;/key&gt;&lt;/foreign-keys&gt;&lt;ref-type name="Journal Article"&gt;17&lt;/ref-type&gt;&lt;contributors&gt;&lt;authors&gt;&lt;author&gt;Zaridze, D.&lt;/author&gt;&lt;author&gt;Lewington, S.&lt;/author&gt;&lt;author&gt;Boroda, A.&lt;/author&gt;&lt;author&gt;Scélo, G.&lt;/author&gt;&lt;author&gt;Karpov, R.&lt;/author&gt;&lt;author&gt;Lazarev, A.&lt;/author&gt;&lt;author&gt;Konobeevskaya, I.&lt;/author&gt;&lt;author&gt;Igitov, V.&lt;/author&gt;&lt;author&gt;Terechova, T.&lt;/author&gt;&lt;author&gt;Boffetta, P.&lt;/author&gt;&lt;author&gt;Sherliker, P.&lt;/author&gt;&lt;author&gt;Kong, X.&lt;/author&gt;&lt;author&gt;Whitlock, G.&lt;/author&gt;&lt;author&gt;Boreham, J.&lt;/author&gt;&lt;author&gt;Brennan, P.&lt;/author&gt;&lt;author&gt;Peto, R.&lt;/author&gt;&lt;/authors&gt;&lt;/contributors&gt;&lt;titles&gt;&lt;title&gt;Alcohol and mortality in Russia: prospective observational study of 151,000 adults&lt;/title&gt;&lt;secondary-title&gt;Lancet&lt;/secondary-title&gt;&lt;/titles&gt;&lt;periodical&gt;&lt;full-title&gt;Lancet&lt;/full-title&gt;&lt;/periodical&gt;&lt;pages&gt;62247-3&lt;/pages&gt;&lt;volume&gt;pii: S0140-6736&lt;/volume&gt;&lt;number&gt;13&lt;/number&gt;&lt;dates&gt;&lt;year&gt;2014&lt;/year&gt;&lt;/dates&gt;&lt;urls&gt;&lt;/urls&gt;&lt;electronic-resource-num&gt;doi: 10.1016/S0140-6736(13)62247-3. &lt;/electronic-resource-num&gt;&lt;/record&gt;&lt;/Cite&gt;&lt;/EndNote&gt;</w:instrText>
      </w:r>
      <w:r w:rsidR="00617A21" w:rsidRPr="000B0F58">
        <w:rPr>
          <w:lang w:val="en-CA"/>
        </w:rPr>
        <w:fldChar w:fldCharType="separate"/>
      </w:r>
      <w:r w:rsidR="00617A21" w:rsidRPr="000B0F58">
        <w:rPr>
          <w:noProof/>
          <w:lang w:val="en-CA"/>
        </w:rPr>
        <w:t>[</w:t>
      </w:r>
      <w:hyperlink w:anchor="_ENREF_2" w:tooltip="Zaridze, 2014 #24413" w:history="1">
        <w:r w:rsidR="00617A21" w:rsidRPr="000B0F58">
          <w:rPr>
            <w:noProof/>
            <w:lang w:val="en-CA"/>
          </w:rPr>
          <w:t>2</w:t>
        </w:r>
      </w:hyperlink>
      <w:r w:rsidR="00617A21" w:rsidRPr="000B0F58">
        <w:rPr>
          <w:noProof/>
          <w:lang w:val="en-CA"/>
        </w:rPr>
        <w:t>]</w:t>
      </w:r>
      <w:r w:rsidR="00617A21" w:rsidRPr="000B0F58">
        <w:rPr>
          <w:lang w:val="en-CA"/>
        </w:rPr>
        <w:fldChar w:fldCharType="end"/>
      </w:r>
      <w:r w:rsidR="00617A21" w:rsidRPr="000B0F58">
        <w:rPr>
          <w:lang w:val="en-CA"/>
        </w:rPr>
        <w:t xml:space="preserve"> </w:t>
      </w:r>
      <w:r w:rsidRPr="000B0F58">
        <w:rPr>
          <w:lang w:val="en-CA"/>
        </w:rPr>
        <w:t>was found to be not significant and thus no age adjustment was performed for ischemic stroke for Russia and the surrounding countri</w:t>
      </w:r>
      <w:r w:rsidR="000B0F58">
        <w:rPr>
          <w:lang w:val="en-CA"/>
        </w:rPr>
        <w:t>e</w:t>
      </w:r>
      <w:r w:rsidRPr="000B0F58">
        <w:rPr>
          <w:lang w:val="en-CA"/>
        </w:rPr>
        <w:t xml:space="preserve">s. Therefore, more research is needed to determine if age adjustment for the alcohol RR for ischemic stroke is needed.  </w:t>
      </w:r>
    </w:p>
    <w:p w:rsidR="00617A21" w:rsidRPr="00617A21" w:rsidRDefault="00617A21" w:rsidP="00435233">
      <w:pPr>
        <w:pStyle w:val="Heading3"/>
        <w:rPr>
          <w:noProof/>
          <w:lang w:val="en-CA"/>
        </w:rPr>
      </w:pPr>
      <w:r>
        <w:rPr>
          <w:rFonts w:cs="Times New Roman"/>
          <w:lang w:val="en-CA"/>
        </w:rPr>
        <w:fldChar w:fldCharType="begin"/>
      </w:r>
      <w:r>
        <w:rPr>
          <w:rFonts w:cs="Times New Roman"/>
          <w:lang w:val="en-CA"/>
        </w:rPr>
        <w:instrText xml:space="preserve"> ADDIN EN.REFLIST </w:instrText>
      </w:r>
      <w:r>
        <w:rPr>
          <w:rFonts w:cs="Times New Roman"/>
          <w:lang w:val="en-CA"/>
        </w:rPr>
        <w:fldChar w:fldCharType="separate"/>
      </w:r>
      <w:r w:rsidRPr="00617A21">
        <w:rPr>
          <w:noProof/>
          <w:lang w:val="en-CA"/>
        </w:rPr>
        <w:t>Reference List</w:t>
      </w:r>
    </w:p>
    <w:p w:rsidR="00617A21" w:rsidRPr="00617A21" w:rsidRDefault="00617A21" w:rsidP="00617A21">
      <w:pPr>
        <w:spacing w:after="0"/>
        <w:jc w:val="center"/>
        <w:rPr>
          <w:rFonts w:ascii="Calibri" w:eastAsia="Times New Roman" w:hAnsi="Calibri" w:cs="Calibri"/>
          <w:noProof/>
          <w:lang w:val="en-CA"/>
        </w:rPr>
      </w:pPr>
    </w:p>
    <w:p w:rsidR="00617A21" w:rsidRDefault="00617A21" w:rsidP="00617A21">
      <w:pPr>
        <w:spacing w:after="0" w:line="240" w:lineRule="auto"/>
        <w:ind w:left="720" w:hanging="720"/>
        <w:rPr>
          <w:rFonts w:ascii="Calibri" w:eastAsia="Times New Roman" w:hAnsi="Calibri" w:cs="Calibri"/>
          <w:noProof/>
          <w:lang w:val="en-CA"/>
        </w:rPr>
      </w:pPr>
      <w:bookmarkStart w:id="2" w:name="_ENREF_1"/>
      <w:r>
        <w:rPr>
          <w:rFonts w:ascii="Calibri" w:eastAsia="Times New Roman" w:hAnsi="Calibri" w:cs="Calibri"/>
          <w:noProof/>
          <w:lang w:val="en-CA"/>
        </w:rPr>
        <w:t xml:space="preserve">1. </w:t>
      </w:r>
      <w:r w:rsidR="001B357B">
        <w:rPr>
          <w:rFonts w:ascii="Calibri" w:eastAsia="Times New Roman" w:hAnsi="Calibri" w:cs="Calibri"/>
          <w:noProof/>
          <w:lang w:val="en-CA"/>
        </w:rPr>
        <w:tab/>
      </w:r>
      <w:r>
        <w:rPr>
          <w:rFonts w:ascii="Calibri" w:eastAsia="Times New Roman" w:hAnsi="Calibri" w:cs="Calibri"/>
          <w:noProof/>
          <w:lang w:val="en-CA"/>
        </w:rPr>
        <w:t xml:space="preserve">Zaridze D, Brennan P, Boreham J, et al. </w:t>
      </w:r>
      <w:r w:rsidRPr="00E6364E">
        <w:rPr>
          <w:rFonts w:ascii="Calibri" w:eastAsia="Times New Roman" w:hAnsi="Calibri" w:cs="Calibri"/>
          <w:b/>
          <w:noProof/>
          <w:lang w:val="en-CA"/>
        </w:rPr>
        <w:t>Alcohol and cause-specific mortality in Russia: a retrospective case-control study of 48,557 adult deaths</w:t>
      </w:r>
      <w:r>
        <w:rPr>
          <w:rFonts w:ascii="Calibri" w:eastAsia="Times New Roman" w:hAnsi="Calibri" w:cs="Calibri"/>
          <w:noProof/>
          <w:lang w:val="en-CA"/>
        </w:rPr>
        <w:t xml:space="preserve">. </w:t>
      </w:r>
      <w:r w:rsidRPr="00E6364E">
        <w:rPr>
          <w:rFonts w:ascii="Calibri" w:eastAsia="Times New Roman" w:hAnsi="Calibri" w:cs="Calibri"/>
          <w:i/>
          <w:noProof/>
          <w:lang w:val="en-CA"/>
        </w:rPr>
        <w:t>Lancet</w:t>
      </w:r>
      <w:r>
        <w:rPr>
          <w:rFonts w:ascii="Calibri" w:eastAsia="Times New Roman" w:hAnsi="Calibri" w:cs="Calibri"/>
          <w:noProof/>
          <w:lang w:val="en-CA"/>
        </w:rPr>
        <w:t xml:space="preserve"> 2009;373:2201-14.</w:t>
      </w:r>
      <w:bookmarkEnd w:id="2"/>
    </w:p>
    <w:p w:rsidR="00617A21" w:rsidRDefault="00617A21" w:rsidP="00617A21">
      <w:pPr>
        <w:spacing w:after="0" w:line="240" w:lineRule="auto"/>
        <w:ind w:left="720" w:hanging="720"/>
        <w:rPr>
          <w:rFonts w:ascii="Calibri" w:eastAsia="Times New Roman" w:hAnsi="Calibri" w:cs="Calibri"/>
          <w:noProof/>
          <w:lang w:val="en-CA"/>
        </w:rPr>
      </w:pPr>
      <w:bookmarkStart w:id="3" w:name="_ENREF_2"/>
      <w:r>
        <w:rPr>
          <w:rFonts w:ascii="Calibri" w:eastAsia="Times New Roman" w:hAnsi="Calibri" w:cs="Calibri"/>
          <w:noProof/>
          <w:lang w:val="en-CA"/>
        </w:rPr>
        <w:t xml:space="preserve">2. </w:t>
      </w:r>
      <w:r w:rsidR="001B357B">
        <w:rPr>
          <w:rFonts w:ascii="Calibri" w:eastAsia="Times New Roman" w:hAnsi="Calibri" w:cs="Calibri"/>
          <w:noProof/>
          <w:lang w:val="en-CA"/>
        </w:rPr>
        <w:tab/>
      </w:r>
      <w:r>
        <w:rPr>
          <w:rFonts w:ascii="Calibri" w:eastAsia="Times New Roman" w:hAnsi="Calibri" w:cs="Calibri"/>
          <w:noProof/>
          <w:lang w:val="en-CA"/>
        </w:rPr>
        <w:t xml:space="preserve">Zaridze D, Lewington S, Boroda A, et al. </w:t>
      </w:r>
      <w:r w:rsidRPr="00E6364E">
        <w:rPr>
          <w:rFonts w:ascii="Calibri" w:eastAsia="Times New Roman" w:hAnsi="Calibri" w:cs="Calibri"/>
          <w:b/>
          <w:noProof/>
          <w:lang w:val="en-CA"/>
        </w:rPr>
        <w:t>Alcohol and mortality in Russia: prospective observational study of 151,000 adults</w:t>
      </w:r>
      <w:r>
        <w:rPr>
          <w:rFonts w:ascii="Calibri" w:eastAsia="Times New Roman" w:hAnsi="Calibri" w:cs="Calibri"/>
          <w:noProof/>
          <w:lang w:val="en-CA"/>
        </w:rPr>
        <w:t xml:space="preserve">. </w:t>
      </w:r>
      <w:r w:rsidRPr="00E6364E">
        <w:rPr>
          <w:rFonts w:ascii="Calibri" w:eastAsia="Times New Roman" w:hAnsi="Calibri" w:cs="Calibri"/>
          <w:i/>
          <w:noProof/>
          <w:lang w:val="en-CA"/>
        </w:rPr>
        <w:t>Lancet</w:t>
      </w:r>
      <w:r>
        <w:rPr>
          <w:rFonts w:ascii="Calibri" w:eastAsia="Times New Roman" w:hAnsi="Calibri" w:cs="Calibri"/>
          <w:noProof/>
          <w:lang w:val="en-CA"/>
        </w:rPr>
        <w:t xml:space="preserve"> 2014;pii: S0140-6736:62247-3.</w:t>
      </w:r>
      <w:bookmarkEnd w:id="3"/>
    </w:p>
    <w:p w:rsidR="00617A21" w:rsidRDefault="00617A21" w:rsidP="00617A21">
      <w:pPr>
        <w:spacing w:after="0" w:line="240" w:lineRule="auto"/>
        <w:rPr>
          <w:rFonts w:ascii="Calibri" w:eastAsia="Times New Roman" w:hAnsi="Calibri" w:cs="Calibri"/>
          <w:noProof/>
          <w:lang w:val="en-CA"/>
        </w:rPr>
      </w:pPr>
    </w:p>
    <w:p w:rsidR="00FB1E09" w:rsidRPr="007C7284" w:rsidRDefault="00617A21" w:rsidP="00FB1E09">
      <w:pPr>
        <w:spacing w:line="480" w:lineRule="auto"/>
        <w:ind w:firstLine="720"/>
        <w:rPr>
          <w:rFonts w:eastAsia="Times New Roman" w:cs="Times New Roman"/>
          <w:lang w:val="en-CA"/>
        </w:rPr>
      </w:pPr>
      <w:r>
        <w:rPr>
          <w:rFonts w:eastAsia="Times New Roman" w:cs="Times New Roman"/>
          <w:lang w:val="en-CA"/>
        </w:rPr>
        <w:fldChar w:fldCharType="end"/>
      </w:r>
    </w:p>
    <w:sectPr w:rsidR="00FB1E09" w:rsidRPr="007C72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AdvOT07517017">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F706B9"/>
    <w:multiLevelType w:val="hybridMultilevel"/>
    <w:tmpl w:val="0444D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3F3531"/>
    <w:multiLevelType w:val="hybridMultilevel"/>
    <w:tmpl w:val="0DEEB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230FF4"/>
    <w:multiLevelType w:val="hybridMultilevel"/>
    <w:tmpl w:val="B6381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J Heart Aug 2014&lt;/Style&gt;&lt;LeftDelim&gt;{&lt;/LeftDelim&gt;&lt;RightDelim&gt;}&lt;/RightDelim&gt;&lt;FontName&gt;Calibri&lt;/FontName&gt;&lt;FontSize&gt;11&lt;/FontSize&gt;&lt;ReflistTitle&gt;Reference Lis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vtd22wtmw20auerz5av0vs00tafp25ptzfw&quot;&gt;Michelle Aug EndNote Library&lt;record-ids&gt;&lt;item&gt;8109&lt;/item&gt;&lt;item&gt;24413&lt;/item&gt;&lt;/record-ids&gt;&lt;/item&gt;&lt;/Libraries&gt;"/>
  </w:docVars>
  <w:rsids>
    <w:rsidRoot w:val="00867D8E"/>
    <w:rsid w:val="000126D4"/>
    <w:rsid w:val="00014F20"/>
    <w:rsid w:val="00015791"/>
    <w:rsid w:val="00046D33"/>
    <w:rsid w:val="00063617"/>
    <w:rsid w:val="000729E5"/>
    <w:rsid w:val="00097CF4"/>
    <w:rsid w:val="000B0F58"/>
    <w:rsid w:val="000B2D8F"/>
    <w:rsid w:val="000C0142"/>
    <w:rsid w:val="000C2C35"/>
    <w:rsid w:val="000C59A2"/>
    <w:rsid w:val="000E0EBE"/>
    <w:rsid w:val="00100278"/>
    <w:rsid w:val="00101933"/>
    <w:rsid w:val="0013174B"/>
    <w:rsid w:val="00140051"/>
    <w:rsid w:val="001539B9"/>
    <w:rsid w:val="00155753"/>
    <w:rsid w:val="00155E80"/>
    <w:rsid w:val="001616BD"/>
    <w:rsid w:val="0016608C"/>
    <w:rsid w:val="001961FE"/>
    <w:rsid w:val="001963ED"/>
    <w:rsid w:val="001967CC"/>
    <w:rsid w:val="001A5C1C"/>
    <w:rsid w:val="001B357B"/>
    <w:rsid w:val="001C6F56"/>
    <w:rsid w:val="001E3F64"/>
    <w:rsid w:val="001E49D8"/>
    <w:rsid w:val="001E6F6A"/>
    <w:rsid w:val="001E7560"/>
    <w:rsid w:val="001F1407"/>
    <w:rsid w:val="001F7443"/>
    <w:rsid w:val="00204C77"/>
    <w:rsid w:val="00255584"/>
    <w:rsid w:val="00256C94"/>
    <w:rsid w:val="00292553"/>
    <w:rsid w:val="002B03DF"/>
    <w:rsid w:val="002C6614"/>
    <w:rsid w:val="002D568E"/>
    <w:rsid w:val="002F347A"/>
    <w:rsid w:val="002F6B0B"/>
    <w:rsid w:val="003202BA"/>
    <w:rsid w:val="00331A70"/>
    <w:rsid w:val="003343AF"/>
    <w:rsid w:val="0034638B"/>
    <w:rsid w:val="00363DB9"/>
    <w:rsid w:val="00374282"/>
    <w:rsid w:val="00387B81"/>
    <w:rsid w:val="003971AB"/>
    <w:rsid w:val="003B2300"/>
    <w:rsid w:val="003D44B4"/>
    <w:rsid w:val="003E2FF8"/>
    <w:rsid w:val="003F7FD6"/>
    <w:rsid w:val="00415063"/>
    <w:rsid w:val="004162FE"/>
    <w:rsid w:val="00422715"/>
    <w:rsid w:val="004235C5"/>
    <w:rsid w:val="00423EC7"/>
    <w:rsid w:val="00435233"/>
    <w:rsid w:val="004356DF"/>
    <w:rsid w:val="00453225"/>
    <w:rsid w:val="00466AD6"/>
    <w:rsid w:val="0047745B"/>
    <w:rsid w:val="0048610B"/>
    <w:rsid w:val="004B650C"/>
    <w:rsid w:val="004D5642"/>
    <w:rsid w:val="00505B83"/>
    <w:rsid w:val="005251F8"/>
    <w:rsid w:val="005253F3"/>
    <w:rsid w:val="00527472"/>
    <w:rsid w:val="005277E6"/>
    <w:rsid w:val="005300C2"/>
    <w:rsid w:val="005349EA"/>
    <w:rsid w:val="00537199"/>
    <w:rsid w:val="00550255"/>
    <w:rsid w:val="005A1A5A"/>
    <w:rsid w:val="005D4D94"/>
    <w:rsid w:val="005E2A42"/>
    <w:rsid w:val="00601595"/>
    <w:rsid w:val="006079C2"/>
    <w:rsid w:val="00617A21"/>
    <w:rsid w:val="0062007C"/>
    <w:rsid w:val="00625CE4"/>
    <w:rsid w:val="0063478B"/>
    <w:rsid w:val="00645609"/>
    <w:rsid w:val="00655997"/>
    <w:rsid w:val="006737AA"/>
    <w:rsid w:val="00693F7B"/>
    <w:rsid w:val="006A089F"/>
    <w:rsid w:val="006A3756"/>
    <w:rsid w:val="006A7FF6"/>
    <w:rsid w:val="006B3CCA"/>
    <w:rsid w:val="006B4CFE"/>
    <w:rsid w:val="006B768A"/>
    <w:rsid w:val="006E0EA5"/>
    <w:rsid w:val="00701A60"/>
    <w:rsid w:val="00713AD2"/>
    <w:rsid w:val="00740E30"/>
    <w:rsid w:val="00741BDA"/>
    <w:rsid w:val="00741F62"/>
    <w:rsid w:val="00744F36"/>
    <w:rsid w:val="00761FA9"/>
    <w:rsid w:val="0076743F"/>
    <w:rsid w:val="00772BC2"/>
    <w:rsid w:val="007731C5"/>
    <w:rsid w:val="0079514C"/>
    <w:rsid w:val="007B1433"/>
    <w:rsid w:val="007C7284"/>
    <w:rsid w:val="007F41B6"/>
    <w:rsid w:val="00806108"/>
    <w:rsid w:val="008169BE"/>
    <w:rsid w:val="008171EA"/>
    <w:rsid w:val="008437E2"/>
    <w:rsid w:val="008664BC"/>
    <w:rsid w:val="00867D8E"/>
    <w:rsid w:val="008902BC"/>
    <w:rsid w:val="00893945"/>
    <w:rsid w:val="008C0E07"/>
    <w:rsid w:val="008E05ED"/>
    <w:rsid w:val="008E76DD"/>
    <w:rsid w:val="008F3EDA"/>
    <w:rsid w:val="00907150"/>
    <w:rsid w:val="009274B3"/>
    <w:rsid w:val="00943EA5"/>
    <w:rsid w:val="009566D8"/>
    <w:rsid w:val="009660B6"/>
    <w:rsid w:val="0097567F"/>
    <w:rsid w:val="00991F14"/>
    <w:rsid w:val="009A3F92"/>
    <w:rsid w:val="009B21DD"/>
    <w:rsid w:val="009B6DAA"/>
    <w:rsid w:val="009C1655"/>
    <w:rsid w:val="009D2C4B"/>
    <w:rsid w:val="009E1EAA"/>
    <w:rsid w:val="009E7E27"/>
    <w:rsid w:val="009F3949"/>
    <w:rsid w:val="00A011B7"/>
    <w:rsid w:val="00A07108"/>
    <w:rsid w:val="00A15785"/>
    <w:rsid w:val="00A16ECD"/>
    <w:rsid w:val="00A35A6B"/>
    <w:rsid w:val="00A60E0B"/>
    <w:rsid w:val="00A6572B"/>
    <w:rsid w:val="00A91AB6"/>
    <w:rsid w:val="00AB1CCC"/>
    <w:rsid w:val="00AC2622"/>
    <w:rsid w:val="00AC44FF"/>
    <w:rsid w:val="00AC6FBA"/>
    <w:rsid w:val="00B03686"/>
    <w:rsid w:val="00B32F7C"/>
    <w:rsid w:val="00B5416D"/>
    <w:rsid w:val="00B57FC6"/>
    <w:rsid w:val="00B771DB"/>
    <w:rsid w:val="00BB4856"/>
    <w:rsid w:val="00BB4B42"/>
    <w:rsid w:val="00BD0814"/>
    <w:rsid w:val="00BD3143"/>
    <w:rsid w:val="00BD3791"/>
    <w:rsid w:val="00BF22B1"/>
    <w:rsid w:val="00BF3400"/>
    <w:rsid w:val="00C03EA4"/>
    <w:rsid w:val="00C2215D"/>
    <w:rsid w:val="00C23839"/>
    <w:rsid w:val="00C30E32"/>
    <w:rsid w:val="00C661C0"/>
    <w:rsid w:val="00C72CFF"/>
    <w:rsid w:val="00C76E34"/>
    <w:rsid w:val="00C96ED8"/>
    <w:rsid w:val="00D105E1"/>
    <w:rsid w:val="00D12D80"/>
    <w:rsid w:val="00D30767"/>
    <w:rsid w:val="00D31322"/>
    <w:rsid w:val="00D34C1A"/>
    <w:rsid w:val="00D4120C"/>
    <w:rsid w:val="00D512C5"/>
    <w:rsid w:val="00D5187E"/>
    <w:rsid w:val="00D57FB2"/>
    <w:rsid w:val="00D67C9A"/>
    <w:rsid w:val="00D80673"/>
    <w:rsid w:val="00D9063A"/>
    <w:rsid w:val="00DB780A"/>
    <w:rsid w:val="00DD1B19"/>
    <w:rsid w:val="00DD5F4E"/>
    <w:rsid w:val="00DF723C"/>
    <w:rsid w:val="00E02EFA"/>
    <w:rsid w:val="00E044FB"/>
    <w:rsid w:val="00E15661"/>
    <w:rsid w:val="00E1746A"/>
    <w:rsid w:val="00E24EB0"/>
    <w:rsid w:val="00E26805"/>
    <w:rsid w:val="00E44C62"/>
    <w:rsid w:val="00E45DEF"/>
    <w:rsid w:val="00E5185D"/>
    <w:rsid w:val="00E57CDB"/>
    <w:rsid w:val="00E57F0A"/>
    <w:rsid w:val="00E6364E"/>
    <w:rsid w:val="00E90CB2"/>
    <w:rsid w:val="00EA3354"/>
    <w:rsid w:val="00ED4330"/>
    <w:rsid w:val="00EF1F63"/>
    <w:rsid w:val="00F23F4B"/>
    <w:rsid w:val="00F411F7"/>
    <w:rsid w:val="00F44A49"/>
    <w:rsid w:val="00F67755"/>
    <w:rsid w:val="00F74946"/>
    <w:rsid w:val="00F97AE2"/>
    <w:rsid w:val="00FA1512"/>
    <w:rsid w:val="00FB1E09"/>
    <w:rsid w:val="00FB22B1"/>
    <w:rsid w:val="00FB25B4"/>
    <w:rsid w:val="00FC4DF8"/>
    <w:rsid w:val="00FE160B"/>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6472DE81-98C2-490F-8513-BC0C76B40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67D8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6364E"/>
    <w:pPr>
      <w:keepNext/>
      <w:keepLines/>
      <w:spacing w:before="200" w:after="120"/>
      <w:outlineLvl w:val="1"/>
    </w:pPr>
    <w:rPr>
      <w:rFonts w:asciiTheme="majorHAnsi" w:eastAsiaTheme="majorEastAsia" w:hAnsiTheme="majorHAnsi" w:cstheme="majorBidi"/>
      <w:b/>
      <w:bCs/>
      <w:color w:val="5B9BD5" w:themeColor="accent1"/>
      <w:sz w:val="24"/>
      <w:szCs w:val="24"/>
      <w:lang w:val="en-AU"/>
    </w:rPr>
  </w:style>
  <w:style w:type="paragraph" w:styleId="Heading3">
    <w:name w:val="heading 3"/>
    <w:basedOn w:val="Normal"/>
    <w:next w:val="Normal"/>
    <w:link w:val="Heading3Char"/>
    <w:uiPriority w:val="9"/>
    <w:unhideWhenUsed/>
    <w:qFormat/>
    <w:rsid w:val="001B357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7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
    <w:name w:val="Grid Table 5 Dark - Accent 51"/>
    <w:basedOn w:val="TableNormal"/>
    <w:uiPriority w:val="50"/>
    <w:rsid w:val="00867D8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customStyle="1" w:styleId="Heading1Char">
    <w:name w:val="Heading 1 Char"/>
    <w:basedOn w:val="DefaultParagraphFont"/>
    <w:link w:val="Heading1"/>
    <w:uiPriority w:val="9"/>
    <w:rsid w:val="00867D8E"/>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FB1E0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B1E09"/>
    <w:rPr>
      <w:rFonts w:ascii="Lucida Grande" w:hAnsi="Lucida Grande" w:cs="Lucida Grande"/>
      <w:sz w:val="18"/>
      <w:szCs w:val="18"/>
    </w:rPr>
  </w:style>
  <w:style w:type="character" w:customStyle="1" w:styleId="Heading2Char">
    <w:name w:val="Heading 2 Char"/>
    <w:basedOn w:val="DefaultParagraphFont"/>
    <w:link w:val="Heading2"/>
    <w:uiPriority w:val="9"/>
    <w:rsid w:val="00E6364E"/>
    <w:rPr>
      <w:rFonts w:asciiTheme="majorHAnsi" w:eastAsiaTheme="majorEastAsia" w:hAnsiTheme="majorHAnsi" w:cstheme="majorBidi"/>
      <w:b/>
      <w:bCs/>
      <w:color w:val="5B9BD5" w:themeColor="accent1"/>
      <w:sz w:val="24"/>
      <w:szCs w:val="24"/>
      <w:lang w:val="en-AU"/>
    </w:rPr>
  </w:style>
  <w:style w:type="character" w:styleId="Hyperlink">
    <w:name w:val="Hyperlink"/>
    <w:basedOn w:val="DefaultParagraphFont"/>
    <w:uiPriority w:val="99"/>
    <w:unhideWhenUsed/>
    <w:rsid w:val="00617A21"/>
    <w:rPr>
      <w:color w:val="0563C1" w:themeColor="hyperlink"/>
      <w:u w:val="single"/>
    </w:rPr>
  </w:style>
  <w:style w:type="paragraph" w:styleId="ListParagraph">
    <w:name w:val="List Paragraph"/>
    <w:basedOn w:val="Normal"/>
    <w:uiPriority w:val="34"/>
    <w:qFormat/>
    <w:rsid w:val="001B357B"/>
    <w:pPr>
      <w:ind w:left="720"/>
      <w:contextualSpacing/>
    </w:pPr>
  </w:style>
  <w:style w:type="paragraph" w:customStyle="1" w:styleId="EndNoteBibliography">
    <w:name w:val="EndNote Bibliography"/>
    <w:basedOn w:val="Normal"/>
    <w:link w:val="EndNoteBibliographyChar"/>
    <w:rsid w:val="001B357B"/>
    <w:pPr>
      <w:spacing w:after="0" w:line="240" w:lineRule="auto"/>
      <w:ind w:firstLine="720"/>
    </w:pPr>
    <w:rPr>
      <w:rFonts w:ascii="Calibri" w:hAnsi="Calibri"/>
      <w:noProof/>
      <w:color w:val="000000" w:themeColor="text1"/>
      <w:lang w:val="en-US"/>
    </w:rPr>
  </w:style>
  <w:style w:type="character" w:customStyle="1" w:styleId="EndNoteBibliographyChar">
    <w:name w:val="EndNote Bibliography Char"/>
    <w:basedOn w:val="DefaultParagraphFont"/>
    <w:link w:val="EndNoteBibliography"/>
    <w:rsid w:val="001B357B"/>
    <w:rPr>
      <w:rFonts w:ascii="Calibri" w:hAnsi="Calibri"/>
      <w:noProof/>
      <w:color w:val="000000" w:themeColor="text1"/>
      <w:lang w:val="en-US"/>
    </w:rPr>
  </w:style>
  <w:style w:type="character" w:customStyle="1" w:styleId="Heading3Char">
    <w:name w:val="Heading 3 Char"/>
    <w:basedOn w:val="DefaultParagraphFont"/>
    <w:link w:val="Heading3"/>
    <w:uiPriority w:val="9"/>
    <w:rsid w:val="001B357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9BBBA-39EC-4346-B876-413442A52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2444</Words>
  <Characters>13931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Gerrit Gmel</dc:creator>
  <cp:keywords/>
  <dc:description/>
  <cp:lastModifiedBy>jtrehm</cp:lastModifiedBy>
  <cp:revision>4</cp:revision>
  <dcterms:created xsi:type="dcterms:W3CDTF">2016-02-20T23:51:00Z</dcterms:created>
  <dcterms:modified xsi:type="dcterms:W3CDTF">2016-02-21T00:11:00Z</dcterms:modified>
</cp:coreProperties>
</file>