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1BB" w:rsidRPr="00812BAB" w:rsidRDefault="00C76A2E" w:rsidP="00215F0B">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Cost assumptions and estimation</w:t>
      </w:r>
    </w:p>
    <w:p w:rsidR="005C11BB" w:rsidRDefault="00812BAB" w:rsidP="00215F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E</w:t>
      </w:r>
      <w:r w:rsidR="005C11BB" w:rsidRPr="005106B9">
        <w:rPr>
          <w:rFonts w:ascii="Times New Roman" w:hAnsi="Times New Roman" w:cs="Times New Roman"/>
          <w:sz w:val="24"/>
          <w:szCs w:val="24"/>
        </w:rPr>
        <w:t xml:space="preserve">stimation of cost associated with the three arms </w:t>
      </w:r>
      <w:r w:rsidR="005C11BB">
        <w:rPr>
          <w:rFonts w:ascii="Times New Roman" w:hAnsi="Times New Roman" w:cs="Times New Roman"/>
          <w:sz w:val="24"/>
          <w:szCs w:val="24"/>
        </w:rPr>
        <w:t>is made based on the following assumptions</w:t>
      </w:r>
      <w:r>
        <w:rPr>
          <w:rFonts w:ascii="Times New Roman" w:hAnsi="Times New Roman" w:cs="Times New Roman"/>
          <w:sz w:val="24"/>
          <w:szCs w:val="24"/>
        </w:rPr>
        <w:t>.</w:t>
      </w:r>
    </w:p>
    <w:p w:rsidR="005C11BB" w:rsidRPr="005106B9" w:rsidRDefault="005C11BB" w:rsidP="00215F0B">
      <w:pPr>
        <w:pStyle w:val="NoSpacing"/>
        <w:spacing w:line="480" w:lineRule="auto"/>
      </w:pPr>
    </w:p>
    <w:p w:rsidR="005C11BB" w:rsidRPr="005106B9" w:rsidRDefault="005C11BB" w:rsidP="00215F0B">
      <w:pPr>
        <w:pStyle w:val="NoSpacing"/>
        <w:numPr>
          <w:ilvl w:val="0"/>
          <w:numId w:val="2"/>
        </w:numPr>
        <w:spacing w:line="480" w:lineRule="auto"/>
        <w:rPr>
          <w:rFonts w:ascii="Times New Roman" w:hAnsi="Times New Roman" w:cs="Times New Roman"/>
          <w:sz w:val="24"/>
          <w:szCs w:val="24"/>
        </w:rPr>
      </w:pPr>
      <w:r w:rsidRPr="005106B9">
        <w:rPr>
          <w:rFonts w:ascii="Times New Roman" w:hAnsi="Times New Roman" w:cs="Times New Roman"/>
          <w:sz w:val="24"/>
          <w:szCs w:val="24"/>
        </w:rPr>
        <w:t>C</w:t>
      </w:r>
      <w:r w:rsidRPr="005106B9">
        <w:rPr>
          <w:rFonts w:ascii="Times New Roman" w:hAnsi="Times New Roman"/>
          <w:bCs/>
          <w:sz w:val="24"/>
          <w:szCs w:val="24"/>
        </w:rPr>
        <w:t xml:space="preserve">ost for purchasing the bundling pouch: The price was computed based on the secondary data acquired from </w:t>
      </w:r>
      <w:r>
        <w:rPr>
          <w:rFonts w:ascii="Times New Roman" w:hAnsi="Times New Roman"/>
          <w:bCs/>
          <w:sz w:val="24"/>
          <w:szCs w:val="24"/>
        </w:rPr>
        <w:t>Micronutrient Initiative (</w:t>
      </w:r>
      <w:r w:rsidRPr="005106B9">
        <w:rPr>
          <w:rFonts w:ascii="Times New Roman" w:hAnsi="Times New Roman"/>
          <w:bCs/>
          <w:sz w:val="24"/>
          <w:szCs w:val="24"/>
        </w:rPr>
        <w:t>MI</w:t>
      </w:r>
      <w:r>
        <w:rPr>
          <w:rFonts w:ascii="Times New Roman" w:hAnsi="Times New Roman"/>
          <w:bCs/>
          <w:sz w:val="24"/>
          <w:szCs w:val="24"/>
        </w:rPr>
        <w:t>) Ethiopia</w:t>
      </w:r>
      <w:r w:rsidRPr="005106B9">
        <w:rPr>
          <w:rFonts w:ascii="Times New Roman" w:hAnsi="Times New Roman"/>
          <w:bCs/>
          <w:sz w:val="24"/>
          <w:szCs w:val="24"/>
        </w:rPr>
        <w:t xml:space="preserve">. </w:t>
      </w:r>
    </w:p>
    <w:p w:rsidR="005C11BB" w:rsidRDefault="005C11BB" w:rsidP="00215F0B">
      <w:pPr>
        <w:pStyle w:val="NoSpacing"/>
        <w:numPr>
          <w:ilvl w:val="0"/>
          <w:numId w:val="2"/>
        </w:numPr>
        <w:spacing w:line="480" w:lineRule="auto"/>
        <w:rPr>
          <w:rFonts w:ascii="Times New Roman" w:hAnsi="Times New Roman" w:cs="Times New Roman"/>
          <w:sz w:val="24"/>
          <w:szCs w:val="24"/>
        </w:rPr>
      </w:pPr>
      <w:r w:rsidRPr="005106B9">
        <w:rPr>
          <w:rFonts w:ascii="Times New Roman" w:hAnsi="Times New Roman" w:cs="Times New Roman"/>
          <w:sz w:val="24"/>
          <w:szCs w:val="24"/>
        </w:rPr>
        <w:t xml:space="preserve">Personnel cost for bundling: The personnel cost for the ‘peripheral bundling’ approach was estimated by assuming that a health worker takes 5 seconds to complete bundling for a diarrhea treatment. </w:t>
      </w:r>
      <w:r w:rsidR="00812BAB">
        <w:rPr>
          <w:rFonts w:ascii="Times New Roman" w:hAnsi="Times New Roman" w:cs="Times New Roman"/>
          <w:sz w:val="24"/>
          <w:szCs w:val="24"/>
        </w:rPr>
        <w:t>The estimate was made</w:t>
      </w:r>
      <w:r w:rsidRPr="005106B9">
        <w:rPr>
          <w:rFonts w:ascii="Times New Roman" w:hAnsi="Times New Roman" w:cs="Times New Roman"/>
          <w:sz w:val="24"/>
          <w:szCs w:val="24"/>
        </w:rPr>
        <w:t xml:space="preserve"> </w:t>
      </w:r>
      <w:r w:rsidR="00812BAB">
        <w:rPr>
          <w:rFonts w:ascii="Times New Roman" w:hAnsi="Times New Roman" w:cs="Times New Roman"/>
          <w:sz w:val="24"/>
          <w:szCs w:val="24"/>
        </w:rPr>
        <w:t>based on field observations. La</w:t>
      </w:r>
      <w:r w:rsidRPr="005106B9">
        <w:rPr>
          <w:rFonts w:ascii="Times New Roman" w:hAnsi="Times New Roman" w:cs="Times New Roman"/>
          <w:sz w:val="24"/>
          <w:szCs w:val="24"/>
        </w:rPr>
        <w:t xml:space="preserve">ter, the time was changed into monitory </w:t>
      </w:r>
      <w:r w:rsidR="00812BAB">
        <w:rPr>
          <w:rFonts w:ascii="Times New Roman" w:hAnsi="Times New Roman" w:cs="Times New Roman"/>
          <w:sz w:val="24"/>
          <w:szCs w:val="24"/>
        </w:rPr>
        <w:t>values</w:t>
      </w:r>
      <w:r w:rsidRPr="005106B9">
        <w:rPr>
          <w:rFonts w:ascii="Times New Roman" w:hAnsi="Times New Roman" w:cs="Times New Roman"/>
          <w:sz w:val="24"/>
          <w:szCs w:val="24"/>
        </w:rPr>
        <w:t xml:space="preserve"> based on the existing overtime payment rate of the </w:t>
      </w:r>
      <w:r w:rsidR="00215F0B">
        <w:rPr>
          <w:rFonts w:ascii="Times New Roman" w:hAnsi="Times New Roman" w:cs="Times New Roman"/>
          <w:sz w:val="24"/>
          <w:szCs w:val="24"/>
        </w:rPr>
        <w:t xml:space="preserve">Ethiopian </w:t>
      </w:r>
      <w:r w:rsidR="00812BAB">
        <w:rPr>
          <w:rFonts w:ascii="Times New Roman" w:hAnsi="Times New Roman" w:cs="Times New Roman"/>
          <w:sz w:val="24"/>
          <w:szCs w:val="24"/>
        </w:rPr>
        <w:t>government</w:t>
      </w:r>
      <w:r w:rsidRPr="005106B9">
        <w:rPr>
          <w:rFonts w:ascii="Times New Roman" w:hAnsi="Times New Roman" w:cs="Times New Roman"/>
          <w:sz w:val="24"/>
          <w:szCs w:val="24"/>
        </w:rPr>
        <w:t xml:space="preserve">. The personnel cost for the </w:t>
      </w:r>
      <w:r w:rsidR="00812BAB">
        <w:rPr>
          <w:rFonts w:ascii="Times New Roman" w:hAnsi="Times New Roman" w:cs="Times New Roman"/>
          <w:sz w:val="24"/>
          <w:szCs w:val="24"/>
        </w:rPr>
        <w:t>‘</w:t>
      </w:r>
      <w:r w:rsidRPr="005106B9">
        <w:rPr>
          <w:rFonts w:ascii="Times New Roman" w:hAnsi="Times New Roman" w:cs="Times New Roman"/>
          <w:sz w:val="24"/>
          <w:szCs w:val="24"/>
        </w:rPr>
        <w:t>central bundling</w:t>
      </w:r>
      <w:r w:rsidR="00812BAB">
        <w:rPr>
          <w:rFonts w:ascii="Times New Roman" w:hAnsi="Times New Roman" w:cs="Times New Roman"/>
          <w:sz w:val="24"/>
          <w:szCs w:val="24"/>
        </w:rPr>
        <w:t>’</w:t>
      </w:r>
      <w:r w:rsidRPr="005106B9">
        <w:rPr>
          <w:rFonts w:ascii="Times New Roman" w:hAnsi="Times New Roman" w:cs="Times New Roman"/>
          <w:sz w:val="24"/>
          <w:szCs w:val="24"/>
        </w:rPr>
        <w:t xml:space="preserve"> approach was estimated based on the fina</w:t>
      </w:r>
      <w:r w:rsidR="00812BAB">
        <w:rPr>
          <w:rFonts w:ascii="Times New Roman" w:hAnsi="Times New Roman" w:cs="Times New Roman"/>
          <w:sz w:val="24"/>
          <w:szCs w:val="24"/>
        </w:rPr>
        <w:t>ncial support provided</w:t>
      </w:r>
      <w:r w:rsidRPr="005106B9">
        <w:rPr>
          <w:rFonts w:ascii="Times New Roman" w:hAnsi="Times New Roman" w:cs="Times New Roman"/>
          <w:sz w:val="24"/>
          <w:szCs w:val="24"/>
        </w:rPr>
        <w:t xml:space="preserve"> by MI to </w:t>
      </w:r>
      <w:r>
        <w:rPr>
          <w:rFonts w:ascii="Times New Roman" w:hAnsi="Times New Roman" w:cs="Times New Roman"/>
          <w:sz w:val="24"/>
          <w:szCs w:val="24"/>
        </w:rPr>
        <w:t>Pharmaceuticals Fund and Supply Agency (</w:t>
      </w:r>
      <w:r w:rsidRPr="005106B9">
        <w:rPr>
          <w:rFonts w:ascii="Times New Roman" w:hAnsi="Times New Roman" w:cs="Times New Roman"/>
          <w:sz w:val="24"/>
          <w:szCs w:val="24"/>
        </w:rPr>
        <w:t>PFSA</w:t>
      </w:r>
      <w:r>
        <w:rPr>
          <w:rFonts w:ascii="Times New Roman" w:hAnsi="Times New Roman" w:cs="Times New Roman"/>
          <w:sz w:val="24"/>
          <w:szCs w:val="24"/>
        </w:rPr>
        <w:t>)</w:t>
      </w:r>
      <w:r w:rsidRPr="005106B9">
        <w:rPr>
          <w:rFonts w:ascii="Times New Roman" w:hAnsi="Times New Roman" w:cs="Times New Roman"/>
          <w:sz w:val="24"/>
          <w:szCs w:val="24"/>
        </w:rPr>
        <w:t xml:space="preserve"> to cover the personnel cost for central bundling.</w:t>
      </w:r>
    </w:p>
    <w:p w:rsidR="005C11BB" w:rsidRPr="005106B9" w:rsidRDefault="005C11BB" w:rsidP="00215F0B">
      <w:pPr>
        <w:pStyle w:val="NoSpacing"/>
        <w:numPr>
          <w:ilvl w:val="0"/>
          <w:numId w:val="2"/>
        </w:numPr>
        <w:spacing w:line="480" w:lineRule="auto"/>
        <w:rPr>
          <w:rFonts w:ascii="Times New Roman" w:hAnsi="Times New Roman" w:cs="Times New Roman"/>
          <w:sz w:val="24"/>
          <w:szCs w:val="24"/>
        </w:rPr>
      </w:pPr>
      <w:r w:rsidRPr="005106B9">
        <w:rPr>
          <w:rFonts w:ascii="Times New Roman" w:hAnsi="Times New Roman" w:cs="Times New Roman"/>
          <w:sz w:val="24"/>
          <w:szCs w:val="24"/>
        </w:rPr>
        <w:t xml:space="preserve">Cost for transportation of zinc, ORS and bundling pouch: The </w:t>
      </w:r>
      <w:r w:rsidR="00C76A2E">
        <w:rPr>
          <w:rFonts w:ascii="Times New Roman" w:hAnsi="Times New Roman" w:cs="Times New Roman"/>
          <w:sz w:val="24"/>
          <w:szCs w:val="24"/>
        </w:rPr>
        <w:t xml:space="preserve">cost was estimated based on: </w:t>
      </w:r>
      <w:r w:rsidR="00812BAB">
        <w:rPr>
          <w:rFonts w:ascii="Times New Roman" w:hAnsi="Times New Roman" w:cs="Times New Roman"/>
          <w:sz w:val="24"/>
          <w:szCs w:val="24"/>
        </w:rPr>
        <w:t>(</w:t>
      </w:r>
      <w:proofErr w:type="spellStart"/>
      <w:r w:rsidR="00812BAB">
        <w:rPr>
          <w:rFonts w:ascii="Times New Roman" w:hAnsi="Times New Roman" w:cs="Times New Roman"/>
          <w:sz w:val="24"/>
          <w:szCs w:val="24"/>
        </w:rPr>
        <w:t>i</w:t>
      </w:r>
      <w:proofErr w:type="spellEnd"/>
      <w:r w:rsidR="00812BAB">
        <w:rPr>
          <w:rFonts w:ascii="Times New Roman" w:hAnsi="Times New Roman" w:cs="Times New Roman"/>
          <w:sz w:val="24"/>
          <w:szCs w:val="24"/>
        </w:rPr>
        <w:t>)</w:t>
      </w:r>
      <w:r w:rsidRPr="005106B9">
        <w:rPr>
          <w:rFonts w:ascii="Times New Roman" w:hAnsi="Times New Roman" w:cs="Times New Roman"/>
          <w:sz w:val="24"/>
          <w:szCs w:val="24"/>
        </w:rPr>
        <w:t xml:space="preserve"> </w:t>
      </w:r>
      <w:r w:rsidR="00812BAB">
        <w:rPr>
          <w:rFonts w:ascii="Times New Roman" w:hAnsi="Times New Roman" w:cs="Times New Roman"/>
          <w:sz w:val="24"/>
          <w:szCs w:val="24"/>
        </w:rPr>
        <w:t>t</w:t>
      </w:r>
      <w:r w:rsidR="00812BAB" w:rsidRPr="005106B9">
        <w:rPr>
          <w:rFonts w:ascii="Times New Roman" w:hAnsi="Times New Roman" w:cs="Times New Roman"/>
          <w:sz w:val="24"/>
          <w:szCs w:val="24"/>
        </w:rPr>
        <w:t>he weights of 1 zinc strip, 2 sachets of ORS, 1 plastic pouch</w:t>
      </w:r>
      <w:r w:rsidR="00812BAB">
        <w:rPr>
          <w:rFonts w:ascii="Times New Roman" w:hAnsi="Times New Roman" w:cs="Times New Roman"/>
          <w:sz w:val="24"/>
          <w:szCs w:val="24"/>
        </w:rPr>
        <w:t>; (2)</w:t>
      </w:r>
      <w:r w:rsidR="00C76A2E">
        <w:rPr>
          <w:rFonts w:ascii="Times New Roman" w:hAnsi="Times New Roman" w:cs="Times New Roman"/>
          <w:sz w:val="24"/>
          <w:szCs w:val="24"/>
        </w:rPr>
        <w:t xml:space="preserve"> </w:t>
      </w:r>
      <w:r w:rsidR="00C76A2E" w:rsidRPr="005106B9">
        <w:rPr>
          <w:rFonts w:ascii="Times New Roman" w:hAnsi="Times New Roman" w:cs="Times New Roman"/>
          <w:sz w:val="24"/>
          <w:szCs w:val="24"/>
        </w:rPr>
        <w:t>gasoline needed for transport</w:t>
      </w:r>
      <w:r w:rsidR="00C76A2E">
        <w:rPr>
          <w:rFonts w:ascii="Times New Roman" w:hAnsi="Times New Roman" w:cs="Times New Roman"/>
          <w:sz w:val="24"/>
          <w:szCs w:val="24"/>
        </w:rPr>
        <w:t>ation (3) unit price of gasoline, (4) estimated distance for distributing the supply</w:t>
      </w:r>
      <w:r w:rsidR="00215F0B">
        <w:rPr>
          <w:rFonts w:ascii="Times New Roman" w:hAnsi="Times New Roman" w:cs="Times New Roman"/>
          <w:sz w:val="24"/>
          <w:szCs w:val="24"/>
        </w:rPr>
        <w:t xml:space="preserve"> to the study districts</w:t>
      </w:r>
      <w:r w:rsidR="00C76A2E">
        <w:rPr>
          <w:rFonts w:ascii="Times New Roman" w:hAnsi="Times New Roman" w:cs="Times New Roman"/>
          <w:sz w:val="24"/>
          <w:szCs w:val="24"/>
        </w:rPr>
        <w:t xml:space="preserve">, and (5) per diem for drivers. </w:t>
      </w:r>
    </w:p>
    <w:p w:rsidR="005C11BB" w:rsidRPr="005C11BB" w:rsidRDefault="005C11BB" w:rsidP="00215F0B">
      <w:pPr>
        <w:pStyle w:val="NoSpacing"/>
        <w:numPr>
          <w:ilvl w:val="0"/>
          <w:numId w:val="2"/>
        </w:numPr>
        <w:spacing w:line="480" w:lineRule="auto"/>
      </w:pPr>
      <w:r w:rsidRPr="005C11BB">
        <w:rPr>
          <w:rFonts w:ascii="Times New Roman" w:hAnsi="Times New Roman" w:cs="Times New Roman"/>
          <w:sz w:val="24"/>
          <w:szCs w:val="24"/>
        </w:rPr>
        <w:t>Price of zinc and ORS: The unit cost was determined based on review of literatures. In this study, the price estimated by Clinton Health Access Initiative (10.25 birr per 2 sachets</w:t>
      </w:r>
      <w:r w:rsidR="009278CD">
        <w:rPr>
          <w:rFonts w:ascii="Times New Roman" w:hAnsi="Times New Roman" w:cs="Times New Roman"/>
          <w:sz w:val="24"/>
          <w:szCs w:val="24"/>
        </w:rPr>
        <w:t xml:space="preserve"> of ORS and 1 strip of zinc) [1</w:t>
      </w:r>
      <w:r w:rsidRPr="005C11BB">
        <w:rPr>
          <w:rFonts w:ascii="Times New Roman" w:hAnsi="Times New Roman" w:cs="Times New Roman"/>
          <w:sz w:val="24"/>
          <w:szCs w:val="24"/>
        </w:rPr>
        <w:t xml:space="preserve">] was used as </w:t>
      </w:r>
      <w:r w:rsidR="00C76A2E" w:rsidRPr="005C11BB">
        <w:rPr>
          <w:rFonts w:ascii="Times New Roman" w:hAnsi="Times New Roman" w:cs="Times New Roman"/>
          <w:sz w:val="24"/>
          <w:szCs w:val="24"/>
        </w:rPr>
        <w:t>its</w:t>
      </w:r>
      <w:r w:rsidRPr="005C11BB">
        <w:rPr>
          <w:rFonts w:ascii="Times New Roman" w:hAnsi="Times New Roman" w:cs="Times New Roman"/>
          <w:sz w:val="24"/>
          <w:szCs w:val="24"/>
        </w:rPr>
        <w:t xml:space="preserve"> recent and compatibl</w:t>
      </w:r>
      <w:r w:rsidR="009278CD">
        <w:rPr>
          <w:rFonts w:ascii="Times New Roman" w:hAnsi="Times New Roman" w:cs="Times New Roman"/>
          <w:sz w:val="24"/>
          <w:szCs w:val="24"/>
        </w:rPr>
        <w:t>e with other global estimates [2</w:t>
      </w:r>
      <w:r w:rsidR="00215F0B">
        <w:rPr>
          <w:rFonts w:ascii="Times New Roman" w:hAnsi="Times New Roman" w:cs="Times New Roman"/>
          <w:sz w:val="24"/>
          <w:szCs w:val="24"/>
        </w:rPr>
        <w:t>]</w:t>
      </w:r>
      <w:r w:rsidR="009278CD">
        <w:rPr>
          <w:rFonts w:ascii="Times New Roman" w:hAnsi="Times New Roman" w:cs="Times New Roman"/>
          <w:sz w:val="24"/>
          <w:szCs w:val="24"/>
        </w:rPr>
        <w:t>,</w:t>
      </w:r>
      <w:r w:rsidR="00215F0B">
        <w:rPr>
          <w:rFonts w:ascii="Times New Roman" w:hAnsi="Times New Roman" w:cs="Times New Roman"/>
          <w:sz w:val="24"/>
          <w:szCs w:val="24"/>
        </w:rPr>
        <w:t xml:space="preserve"> [</w:t>
      </w:r>
      <w:r w:rsidRPr="005C11BB">
        <w:rPr>
          <w:rFonts w:ascii="Times New Roman" w:hAnsi="Times New Roman" w:cs="Times New Roman"/>
          <w:sz w:val="24"/>
          <w:szCs w:val="24"/>
        </w:rPr>
        <w:t xml:space="preserve">3].  </w:t>
      </w:r>
    </w:p>
    <w:p w:rsidR="005C11BB" w:rsidRPr="005106B9" w:rsidRDefault="005C11BB" w:rsidP="00215F0B">
      <w:pPr>
        <w:pStyle w:val="NoSpacing"/>
        <w:numPr>
          <w:ilvl w:val="0"/>
          <w:numId w:val="2"/>
        </w:numPr>
        <w:spacing w:line="480" w:lineRule="auto"/>
        <w:rPr>
          <w:rFonts w:ascii="Times New Roman" w:hAnsi="Times New Roman" w:cs="Times New Roman"/>
          <w:sz w:val="24"/>
          <w:szCs w:val="24"/>
        </w:rPr>
      </w:pPr>
      <w:r w:rsidRPr="005106B9">
        <w:rPr>
          <w:rFonts w:ascii="Times New Roman" w:hAnsi="Times New Roman" w:cs="Times New Roman"/>
          <w:sz w:val="24"/>
          <w:szCs w:val="24"/>
        </w:rPr>
        <w:t xml:space="preserve">Cost of orientation </w:t>
      </w:r>
      <w:r w:rsidR="00C76A2E">
        <w:rPr>
          <w:rFonts w:ascii="Times New Roman" w:hAnsi="Times New Roman" w:cs="Times New Roman"/>
          <w:sz w:val="24"/>
          <w:szCs w:val="24"/>
        </w:rPr>
        <w:t>training for initiating the</w:t>
      </w:r>
      <w:r w:rsidRPr="005106B9">
        <w:rPr>
          <w:rFonts w:ascii="Times New Roman" w:hAnsi="Times New Roman" w:cs="Times New Roman"/>
          <w:sz w:val="24"/>
          <w:szCs w:val="24"/>
        </w:rPr>
        <w:t xml:space="preserve"> bundling</w:t>
      </w:r>
      <w:r w:rsidR="00C76A2E">
        <w:rPr>
          <w:rFonts w:ascii="Times New Roman" w:hAnsi="Times New Roman" w:cs="Times New Roman"/>
          <w:sz w:val="24"/>
          <w:szCs w:val="24"/>
        </w:rPr>
        <w:t xml:space="preserve"> program</w:t>
      </w:r>
      <w:r w:rsidRPr="005106B9">
        <w:rPr>
          <w:rFonts w:ascii="Times New Roman" w:hAnsi="Times New Roman" w:cs="Times New Roman"/>
          <w:sz w:val="24"/>
          <w:szCs w:val="24"/>
        </w:rPr>
        <w:t>: The estimation was on the assumption that annually there would be an orientation/training of personnel for initiating and sustaining the bundling program. The orientation is likely to be integrated into the existing training</w:t>
      </w:r>
      <w:r w:rsidR="00C76A2E">
        <w:rPr>
          <w:rFonts w:ascii="Times New Roman" w:hAnsi="Times New Roman" w:cs="Times New Roman"/>
          <w:sz w:val="24"/>
          <w:szCs w:val="24"/>
        </w:rPr>
        <w:t>s</w:t>
      </w:r>
      <w:r w:rsidRPr="005106B9">
        <w:rPr>
          <w:rFonts w:ascii="Times New Roman" w:hAnsi="Times New Roman" w:cs="Times New Roman"/>
          <w:sz w:val="24"/>
          <w:szCs w:val="24"/>
        </w:rPr>
        <w:t xml:space="preserve">; hence, only incremental costs are considered. For the ‘central bundling’ </w:t>
      </w:r>
      <w:r w:rsidRPr="005106B9">
        <w:rPr>
          <w:rFonts w:ascii="Times New Roman" w:hAnsi="Times New Roman" w:cs="Times New Roman"/>
          <w:sz w:val="24"/>
          <w:szCs w:val="24"/>
        </w:rPr>
        <w:lastRenderedPageBreak/>
        <w:t xml:space="preserve">approach, annually 30 personnel (10 from the central PFSA hub and 20 from the other 10 branch hubs) </w:t>
      </w:r>
      <w:r w:rsidR="00C76A2E">
        <w:rPr>
          <w:rFonts w:ascii="Times New Roman" w:hAnsi="Times New Roman" w:cs="Times New Roman"/>
          <w:sz w:val="24"/>
          <w:szCs w:val="24"/>
        </w:rPr>
        <w:t>at least need to be</w:t>
      </w:r>
      <w:r w:rsidRPr="005106B9">
        <w:rPr>
          <w:rFonts w:ascii="Times New Roman" w:hAnsi="Times New Roman" w:cs="Times New Roman"/>
          <w:sz w:val="24"/>
          <w:szCs w:val="24"/>
        </w:rPr>
        <w:t xml:space="preserve"> oriented for a day and they will receive 210 </w:t>
      </w:r>
      <w:r>
        <w:rPr>
          <w:rFonts w:ascii="Times New Roman" w:hAnsi="Times New Roman" w:cs="Times New Roman"/>
          <w:sz w:val="24"/>
          <w:szCs w:val="24"/>
        </w:rPr>
        <w:t>ETB</w:t>
      </w:r>
      <w:r w:rsidRPr="005106B9">
        <w:rPr>
          <w:rFonts w:ascii="Times New Roman" w:hAnsi="Times New Roman" w:cs="Times New Roman"/>
          <w:sz w:val="24"/>
          <w:szCs w:val="24"/>
        </w:rPr>
        <w:t xml:space="preserve">/person as per dime. For the ‘peripheral bundling’ approach; from the existing 70 zones of the country 1 health professional and from the existing 3,285 health centers 1 health worker will receive an annual half a day orientation and will receive 105 </w:t>
      </w:r>
      <w:proofErr w:type="spellStart"/>
      <w:r w:rsidRPr="005106B9">
        <w:rPr>
          <w:rFonts w:ascii="Times New Roman" w:hAnsi="Times New Roman" w:cs="Times New Roman"/>
          <w:sz w:val="24"/>
          <w:szCs w:val="24"/>
        </w:rPr>
        <w:t>br</w:t>
      </w:r>
      <w:proofErr w:type="spellEnd"/>
      <w:r w:rsidRPr="005106B9">
        <w:rPr>
          <w:rFonts w:ascii="Times New Roman" w:hAnsi="Times New Roman" w:cs="Times New Roman"/>
          <w:sz w:val="24"/>
          <w:szCs w:val="24"/>
        </w:rPr>
        <w:t>/person per diem. For both approaches 10% contingency was added to accommodate other</w:t>
      </w:r>
      <w:r w:rsidR="00C76A2E">
        <w:rPr>
          <w:rFonts w:ascii="Times New Roman" w:hAnsi="Times New Roman" w:cs="Times New Roman"/>
          <w:sz w:val="24"/>
          <w:szCs w:val="24"/>
        </w:rPr>
        <w:t xml:space="preserve"> expenses associated with the training</w:t>
      </w:r>
      <w:r w:rsidRPr="005106B9">
        <w:rPr>
          <w:rFonts w:ascii="Times New Roman" w:hAnsi="Times New Roman" w:cs="Times New Roman"/>
          <w:sz w:val="24"/>
          <w:szCs w:val="24"/>
        </w:rPr>
        <w:t xml:space="preserve">. The total training cost was converted into unit price by dividing it by the expected number of diarrhea cases in the country per annum.     </w:t>
      </w:r>
    </w:p>
    <w:p w:rsidR="005C11BB" w:rsidRPr="005106B9" w:rsidRDefault="005C11BB" w:rsidP="00215F0B">
      <w:pPr>
        <w:pStyle w:val="NoSpacing"/>
        <w:numPr>
          <w:ilvl w:val="0"/>
          <w:numId w:val="2"/>
        </w:numPr>
        <w:spacing w:line="480" w:lineRule="auto"/>
        <w:rPr>
          <w:rFonts w:ascii="Times New Roman" w:hAnsi="Times New Roman" w:cs="Times New Roman"/>
          <w:sz w:val="24"/>
          <w:szCs w:val="24"/>
        </w:rPr>
      </w:pPr>
      <w:r w:rsidRPr="005106B9">
        <w:rPr>
          <w:rFonts w:ascii="Times New Roman" w:hAnsi="Times New Roman" w:cs="Times New Roman"/>
          <w:sz w:val="24"/>
          <w:szCs w:val="24"/>
        </w:rPr>
        <w:t xml:space="preserve">Intellectual cost: The intellectual cost for developing and validating the </w:t>
      </w:r>
      <w:r>
        <w:rPr>
          <w:rFonts w:ascii="Times New Roman" w:hAnsi="Times New Roman" w:cs="Times New Roman"/>
          <w:sz w:val="24"/>
          <w:szCs w:val="24"/>
        </w:rPr>
        <w:t xml:space="preserve">print </w:t>
      </w:r>
      <w:r w:rsidRPr="005106B9">
        <w:rPr>
          <w:rFonts w:ascii="Times New Roman" w:hAnsi="Times New Roman" w:cs="Times New Roman"/>
          <w:sz w:val="24"/>
          <w:szCs w:val="24"/>
        </w:rPr>
        <w:t xml:space="preserve">message was also considered in the cost estimation. The total cost spent by MI for the task was converted into unit cost by dividing it with the total number of diarrhea cases expected in the country over 5 years period. This is made based on the assumption that the BCI message will be revised every 5 years.    </w:t>
      </w:r>
    </w:p>
    <w:p w:rsidR="005C11BB" w:rsidRPr="00940FD5" w:rsidRDefault="005C11BB" w:rsidP="00215F0B">
      <w:pPr>
        <w:pStyle w:val="NoSpacing"/>
        <w:spacing w:line="480" w:lineRule="auto"/>
      </w:pPr>
    </w:p>
    <w:p w:rsidR="005C11BB" w:rsidRPr="00C76A2E" w:rsidRDefault="005C11BB" w:rsidP="00215F0B">
      <w:pPr>
        <w:pStyle w:val="NoSpacing"/>
        <w:spacing w:line="480" w:lineRule="auto"/>
        <w:rPr>
          <w:rFonts w:ascii="Times New Roman" w:hAnsi="Times New Roman" w:cs="Times New Roman"/>
          <w:b/>
          <w:sz w:val="24"/>
          <w:szCs w:val="24"/>
        </w:rPr>
      </w:pPr>
      <w:r w:rsidRPr="00C76A2E">
        <w:rPr>
          <w:rFonts w:ascii="Times New Roman" w:hAnsi="Times New Roman" w:cs="Times New Roman"/>
          <w:b/>
          <w:sz w:val="24"/>
          <w:szCs w:val="24"/>
        </w:rPr>
        <w:t>Estimation of the total national cost for treating diarrhea using the three approaches</w:t>
      </w:r>
    </w:p>
    <w:p w:rsidR="005C11BB" w:rsidRDefault="005C11BB" w:rsidP="00215F0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For the intension of making macro level comparisons, the total annual expenses of the country for treating acute watery diarrhea using the three different approaches (central bundling, peripheral bundling and the status quo) were estimated. The computation was made by multiplying the unit cost for treatment by the expected number of health institution based diarrhea treatments per annum. The estimation of the expected number of diarrhea treatments was made based on the following assumptions: </w:t>
      </w:r>
    </w:p>
    <w:p w:rsidR="005C11BB" w:rsidRDefault="005C11BB" w:rsidP="00215F0B">
      <w:pPr>
        <w:pStyle w:val="NoSpacing"/>
        <w:numPr>
          <w:ilvl w:val="0"/>
          <w:numId w:val="4"/>
        </w:numPr>
        <w:spacing w:line="480" w:lineRule="auto"/>
        <w:ind w:left="450" w:hanging="450"/>
        <w:rPr>
          <w:rFonts w:ascii="Times New Roman" w:hAnsi="Times New Roman" w:cs="Times New Roman"/>
          <w:sz w:val="24"/>
          <w:szCs w:val="24"/>
        </w:rPr>
      </w:pPr>
      <w:r>
        <w:rPr>
          <w:rFonts w:ascii="Times New Roman" w:hAnsi="Times New Roman" w:cs="Times New Roman"/>
          <w:sz w:val="24"/>
          <w:szCs w:val="24"/>
        </w:rPr>
        <w:t>According to a study conducted in 2012 [</w:t>
      </w:r>
      <w:r w:rsidR="009278CD">
        <w:rPr>
          <w:rFonts w:ascii="Times New Roman" w:hAnsi="Times New Roman" w:cs="Times New Roman"/>
          <w:sz w:val="24"/>
          <w:szCs w:val="24"/>
        </w:rPr>
        <w:t>4</w:t>
      </w:r>
      <w:r>
        <w:rPr>
          <w:rFonts w:ascii="Times New Roman" w:hAnsi="Times New Roman" w:cs="Times New Roman"/>
          <w:sz w:val="24"/>
          <w:szCs w:val="24"/>
        </w:rPr>
        <w:t xml:space="preserve">], in Sub-Saharan Africa 3 episodes of diarrhea occur per child/day. The figure was also adopted to Ethiopia;  </w:t>
      </w:r>
    </w:p>
    <w:p w:rsidR="005C11BB" w:rsidRDefault="005C11BB" w:rsidP="00215F0B">
      <w:pPr>
        <w:pStyle w:val="NoSpacing"/>
        <w:numPr>
          <w:ilvl w:val="0"/>
          <w:numId w:val="4"/>
        </w:numPr>
        <w:spacing w:line="480" w:lineRule="auto"/>
        <w:ind w:left="450" w:hanging="450"/>
        <w:rPr>
          <w:rFonts w:ascii="Times New Roman" w:hAnsi="Times New Roman" w:cs="Times New Roman"/>
          <w:sz w:val="24"/>
          <w:szCs w:val="24"/>
        </w:rPr>
      </w:pPr>
      <w:r w:rsidRPr="00BB462A">
        <w:rPr>
          <w:rFonts w:ascii="Times New Roman" w:hAnsi="Times New Roman" w:cs="Times New Roman"/>
          <w:sz w:val="24"/>
          <w:szCs w:val="24"/>
        </w:rPr>
        <w:lastRenderedPageBreak/>
        <w:t xml:space="preserve">Nevertheless, after the aforementioned study, Rota vaccine had been introduced into the Ethiopia’s Expanded Program for Immunization (EPI). This would intuitively </w:t>
      </w:r>
      <w:r>
        <w:rPr>
          <w:rFonts w:ascii="Times New Roman" w:hAnsi="Times New Roman" w:cs="Times New Roman"/>
          <w:sz w:val="24"/>
          <w:szCs w:val="24"/>
        </w:rPr>
        <w:t>reduce</w:t>
      </w:r>
      <w:r w:rsidRPr="00BB462A">
        <w:rPr>
          <w:rFonts w:ascii="Times New Roman" w:hAnsi="Times New Roman" w:cs="Times New Roman"/>
          <w:sz w:val="24"/>
          <w:szCs w:val="24"/>
        </w:rPr>
        <w:t xml:space="preserve"> the incidence of diarrhea</w:t>
      </w:r>
      <w:r>
        <w:rPr>
          <w:rFonts w:ascii="Times New Roman" w:hAnsi="Times New Roman" w:cs="Times New Roman"/>
          <w:sz w:val="24"/>
          <w:szCs w:val="24"/>
        </w:rPr>
        <w:t xml:space="preserve"> in the country</w:t>
      </w:r>
      <w:r w:rsidRPr="00BB462A">
        <w:rPr>
          <w:rFonts w:ascii="Times New Roman" w:hAnsi="Times New Roman" w:cs="Times New Roman"/>
          <w:sz w:val="24"/>
          <w:szCs w:val="24"/>
        </w:rPr>
        <w:t xml:space="preserve">. Accordingly the </w:t>
      </w:r>
      <w:r>
        <w:rPr>
          <w:rFonts w:ascii="Times New Roman" w:hAnsi="Times New Roman" w:cs="Times New Roman"/>
          <w:sz w:val="24"/>
          <w:szCs w:val="24"/>
        </w:rPr>
        <w:t>incidence (3 episodes/per child/day)</w:t>
      </w:r>
      <w:r w:rsidRPr="00BB462A">
        <w:rPr>
          <w:rFonts w:ascii="Times New Roman" w:hAnsi="Times New Roman" w:cs="Times New Roman"/>
          <w:sz w:val="24"/>
          <w:szCs w:val="24"/>
        </w:rPr>
        <w:t xml:space="preserve"> was corrected for the expected coverage and preventive efficacy of the vaccine. The Rota vaccine coverage in 2015 was assumed to be 56.2%. The figure was estimated by projecting the DPT-2 coverage reported in DHS 2005 [</w:t>
      </w:r>
      <w:r w:rsidR="009278CD">
        <w:rPr>
          <w:rFonts w:ascii="Times New Roman" w:hAnsi="Times New Roman" w:cs="Times New Roman"/>
          <w:sz w:val="24"/>
          <w:szCs w:val="24"/>
        </w:rPr>
        <w:t>5</w:t>
      </w:r>
      <w:r w:rsidRPr="00BB462A">
        <w:rPr>
          <w:rFonts w:ascii="Times New Roman" w:hAnsi="Times New Roman" w:cs="Times New Roman"/>
          <w:sz w:val="24"/>
          <w:szCs w:val="24"/>
        </w:rPr>
        <w:t>] and 2011 [</w:t>
      </w:r>
      <w:r>
        <w:rPr>
          <w:rFonts w:ascii="Times New Roman" w:hAnsi="Times New Roman" w:cs="Times New Roman"/>
          <w:sz w:val="24"/>
          <w:szCs w:val="24"/>
        </w:rPr>
        <w:t>6</w:t>
      </w:r>
      <w:r w:rsidRPr="00BB462A">
        <w:rPr>
          <w:rFonts w:ascii="Times New Roman" w:hAnsi="Times New Roman" w:cs="Times New Roman"/>
          <w:sz w:val="24"/>
          <w:szCs w:val="24"/>
        </w:rPr>
        <w:t xml:space="preserve">] surveys to the year 2015 </w:t>
      </w:r>
      <w:r>
        <w:rPr>
          <w:rFonts w:ascii="Times New Roman" w:hAnsi="Times New Roman" w:cs="Times New Roman"/>
          <w:sz w:val="24"/>
          <w:szCs w:val="24"/>
        </w:rPr>
        <w:t>as both vaccines</w:t>
      </w:r>
      <w:r w:rsidRPr="00BB462A">
        <w:rPr>
          <w:rFonts w:ascii="Times New Roman" w:hAnsi="Times New Roman" w:cs="Times New Roman"/>
          <w:sz w:val="24"/>
          <w:szCs w:val="24"/>
        </w:rPr>
        <w:t xml:space="preserve"> are administered at the same schedule. It was also assumed that the vaccine reduces the incidence of diarrhea by 42% [</w:t>
      </w:r>
      <w:r>
        <w:rPr>
          <w:rFonts w:ascii="Times New Roman" w:hAnsi="Times New Roman" w:cs="Times New Roman"/>
          <w:sz w:val="24"/>
          <w:szCs w:val="24"/>
        </w:rPr>
        <w:t>7</w:t>
      </w:r>
      <w:r w:rsidRPr="00BB462A">
        <w:rPr>
          <w:rFonts w:ascii="Times New Roman" w:hAnsi="Times New Roman" w:cs="Times New Roman"/>
          <w:sz w:val="24"/>
          <w:szCs w:val="24"/>
        </w:rPr>
        <w:t>]. Ultimately the corrected incidence of diarrhea</w:t>
      </w:r>
      <w:r>
        <w:rPr>
          <w:rFonts w:ascii="Times New Roman" w:hAnsi="Times New Roman" w:cs="Times New Roman"/>
          <w:sz w:val="24"/>
          <w:szCs w:val="24"/>
        </w:rPr>
        <w:t xml:space="preserve"> per </w:t>
      </w:r>
      <w:r w:rsidRPr="00BB462A">
        <w:rPr>
          <w:rFonts w:ascii="Times New Roman" w:hAnsi="Times New Roman" w:cs="Times New Roman"/>
          <w:sz w:val="24"/>
          <w:szCs w:val="24"/>
        </w:rPr>
        <w:t xml:space="preserve">child/year for the country was 2.5;  </w:t>
      </w:r>
    </w:p>
    <w:p w:rsidR="005C11BB" w:rsidRDefault="005C11BB" w:rsidP="00215F0B">
      <w:pPr>
        <w:pStyle w:val="NoSpacing"/>
        <w:numPr>
          <w:ilvl w:val="0"/>
          <w:numId w:val="4"/>
        </w:numPr>
        <w:spacing w:line="480" w:lineRule="auto"/>
        <w:ind w:left="450" w:hanging="450"/>
        <w:rPr>
          <w:rFonts w:ascii="Times New Roman" w:hAnsi="Times New Roman" w:cs="Times New Roman"/>
          <w:sz w:val="24"/>
          <w:szCs w:val="24"/>
        </w:rPr>
      </w:pPr>
      <w:r w:rsidRPr="00BB462A">
        <w:rPr>
          <w:rFonts w:ascii="Times New Roman" w:hAnsi="Times New Roman" w:cs="Times New Roman"/>
          <w:sz w:val="24"/>
          <w:szCs w:val="24"/>
        </w:rPr>
        <w:t>As of 2015 the country’s population is 95.9 million [</w:t>
      </w:r>
      <w:r>
        <w:rPr>
          <w:rFonts w:ascii="Times New Roman" w:hAnsi="Times New Roman" w:cs="Times New Roman"/>
          <w:sz w:val="24"/>
          <w:szCs w:val="24"/>
        </w:rPr>
        <w:t>8</w:t>
      </w:r>
      <w:r w:rsidRPr="00BB462A">
        <w:rPr>
          <w:rFonts w:ascii="Times New Roman" w:hAnsi="Times New Roman" w:cs="Times New Roman"/>
          <w:sz w:val="24"/>
          <w:szCs w:val="24"/>
        </w:rPr>
        <w:t>] and under five children contribute to 15% of the population [</w:t>
      </w:r>
      <w:r>
        <w:rPr>
          <w:rFonts w:ascii="Times New Roman" w:hAnsi="Times New Roman" w:cs="Times New Roman"/>
          <w:sz w:val="24"/>
          <w:szCs w:val="24"/>
        </w:rPr>
        <w:t xml:space="preserve">9]; </w:t>
      </w:r>
    </w:p>
    <w:p w:rsidR="00CC4CC3" w:rsidRPr="009278CD" w:rsidRDefault="005C11BB" w:rsidP="00215F0B">
      <w:pPr>
        <w:pStyle w:val="NoSpacing"/>
        <w:numPr>
          <w:ilvl w:val="0"/>
          <w:numId w:val="4"/>
        </w:numPr>
        <w:spacing w:line="480" w:lineRule="auto"/>
        <w:ind w:left="450" w:hanging="450"/>
      </w:pPr>
      <w:r w:rsidRPr="00C76A2E">
        <w:rPr>
          <w:rFonts w:ascii="Times New Roman" w:hAnsi="Times New Roman" w:cs="Times New Roman"/>
          <w:sz w:val="24"/>
          <w:szCs w:val="24"/>
        </w:rPr>
        <w:t xml:space="preserve">Based on the health care seeking behavior for diarrhea treatment, about 31.0% of the episodes are expected to be treated by ORS and zinc. The figure was projected to the year 2015 </w:t>
      </w:r>
      <w:r w:rsidR="009278CD">
        <w:rPr>
          <w:rFonts w:ascii="Times New Roman" w:hAnsi="Times New Roman" w:cs="Times New Roman"/>
          <w:sz w:val="24"/>
          <w:szCs w:val="24"/>
        </w:rPr>
        <w:t>based on the data of DHS 2000 [1</w:t>
      </w:r>
      <w:r w:rsidRPr="00C76A2E">
        <w:rPr>
          <w:rFonts w:ascii="Times New Roman" w:hAnsi="Times New Roman" w:cs="Times New Roman"/>
          <w:sz w:val="24"/>
          <w:szCs w:val="24"/>
        </w:rPr>
        <w:t xml:space="preserve">0] and DHS 2011 [6]. </w:t>
      </w:r>
    </w:p>
    <w:p w:rsidR="00215F0B" w:rsidRDefault="00215F0B">
      <w:pPr>
        <w:rPr>
          <w:rFonts w:ascii="Times New Roman" w:hAnsi="Times New Roman" w:cs="Times New Roman"/>
          <w:sz w:val="24"/>
          <w:szCs w:val="24"/>
        </w:rPr>
      </w:pPr>
      <w:r>
        <w:rPr>
          <w:rFonts w:ascii="Times New Roman" w:hAnsi="Times New Roman" w:cs="Times New Roman"/>
          <w:sz w:val="24"/>
          <w:szCs w:val="24"/>
        </w:rPr>
        <w:br w:type="page"/>
      </w:r>
    </w:p>
    <w:p w:rsidR="009278CD" w:rsidRPr="00215F0B" w:rsidRDefault="009278CD" w:rsidP="00215F0B">
      <w:pPr>
        <w:pStyle w:val="NoSpacing"/>
        <w:spacing w:line="480" w:lineRule="auto"/>
        <w:jc w:val="center"/>
        <w:rPr>
          <w:rFonts w:ascii="Times New Roman" w:hAnsi="Times New Roman" w:cs="Times New Roman"/>
          <w:b/>
          <w:sz w:val="24"/>
          <w:szCs w:val="24"/>
        </w:rPr>
      </w:pPr>
      <w:r w:rsidRPr="00215F0B">
        <w:rPr>
          <w:rFonts w:ascii="Times New Roman" w:hAnsi="Times New Roman" w:cs="Times New Roman"/>
          <w:b/>
          <w:sz w:val="24"/>
          <w:szCs w:val="24"/>
        </w:rPr>
        <w:lastRenderedPageBreak/>
        <w:t>References</w:t>
      </w:r>
    </w:p>
    <w:p w:rsidR="009278CD" w:rsidRPr="00215F0B" w:rsidRDefault="009278CD" w:rsidP="00215F0B">
      <w:pPr>
        <w:pStyle w:val="NoSpacing"/>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Clinton Health Access Initiative. Program areas: zinc and ORS, January</w:t>
      </w:r>
      <w:r w:rsidRPr="00057738">
        <w:rPr>
          <w:rFonts w:ascii="Times New Roman" w:hAnsi="Times New Roman" w:cs="Times New Roman"/>
          <w:sz w:val="24"/>
          <w:szCs w:val="24"/>
        </w:rPr>
        <w:t xml:space="preserve"> 201</w:t>
      </w:r>
      <w:r>
        <w:rPr>
          <w:rFonts w:ascii="Times New Roman" w:hAnsi="Times New Roman" w:cs="Times New Roman"/>
          <w:sz w:val="24"/>
          <w:szCs w:val="24"/>
        </w:rPr>
        <w:t>5</w:t>
      </w:r>
      <w:r w:rsidRPr="00057738">
        <w:rPr>
          <w:rFonts w:ascii="Times New Roman" w:hAnsi="Times New Roman" w:cs="Times New Roman"/>
          <w:sz w:val="24"/>
          <w:szCs w:val="24"/>
        </w:rPr>
        <w:t>. Available from:</w:t>
      </w:r>
      <w:r w:rsidRPr="00A61CC7">
        <w:t xml:space="preserve"> </w:t>
      </w:r>
      <w:hyperlink r:id="rId5" w:history="1">
        <w:r w:rsidR="00215F0B" w:rsidRPr="00554C95">
          <w:rPr>
            <w:rStyle w:val="Hyperlink"/>
            <w:rFonts w:ascii="Times New Roman" w:hAnsi="Times New Roman" w:cs="Times New Roman"/>
            <w:sz w:val="24"/>
            <w:szCs w:val="24"/>
          </w:rPr>
          <w:t>http://www.clintonhealthaccess.org/program-areas/maternal-and-child-health/zinc-ors</w:t>
        </w:r>
      </w:hyperlink>
      <w:r w:rsidR="00215F0B" w:rsidRPr="00215F0B">
        <w:rPr>
          <w:rFonts w:ascii="Times New Roman" w:hAnsi="Times New Roman" w:cs="Times New Roman"/>
          <w:sz w:val="24"/>
          <w:szCs w:val="24"/>
        </w:rPr>
        <w:t>.</w:t>
      </w:r>
      <w:r w:rsidRPr="00215F0B">
        <w:rPr>
          <w:rFonts w:ascii="Times New Roman" w:hAnsi="Times New Roman" w:cs="Times New Roman"/>
          <w:sz w:val="24"/>
          <w:szCs w:val="24"/>
        </w:rPr>
        <w:t xml:space="preserve"> Date accessed: May 01, 2015.</w:t>
      </w:r>
    </w:p>
    <w:p w:rsidR="009278CD" w:rsidRDefault="009278CD" w:rsidP="00215F0B">
      <w:pPr>
        <w:pStyle w:val="NoSpacing"/>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Zinc and health blog. February</w:t>
      </w:r>
      <w:r w:rsidRPr="00057738">
        <w:rPr>
          <w:rFonts w:ascii="Times New Roman" w:hAnsi="Times New Roman" w:cs="Times New Roman"/>
          <w:sz w:val="24"/>
          <w:szCs w:val="24"/>
        </w:rPr>
        <w:t xml:space="preserve"> 201</w:t>
      </w:r>
      <w:r>
        <w:rPr>
          <w:rFonts w:ascii="Times New Roman" w:hAnsi="Times New Roman" w:cs="Times New Roman"/>
          <w:sz w:val="24"/>
          <w:szCs w:val="24"/>
        </w:rPr>
        <w:t>5</w:t>
      </w:r>
      <w:r w:rsidRPr="00057738">
        <w:rPr>
          <w:rFonts w:ascii="Times New Roman" w:hAnsi="Times New Roman" w:cs="Times New Roman"/>
          <w:sz w:val="24"/>
          <w:szCs w:val="24"/>
        </w:rPr>
        <w:t>. Available from</w:t>
      </w:r>
      <w:r w:rsidRPr="00793014">
        <w:t xml:space="preserve"> </w:t>
      </w:r>
      <w:hyperlink r:id="rId6" w:history="1">
        <w:r w:rsidRPr="006E1513">
          <w:rPr>
            <w:rStyle w:val="Hyperlink"/>
            <w:rFonts w:ascii="Times New Roman" w:hAnsi="Times New Roman" w:cs="Times New Roman"/>
            <w:sz w:val="24"/>
            <w:szCs w:val="24"/>
          </w:rPr>
          <w:t>http://www.zincsaveslives.com/Generic.aspx?PAGE=Blog&amp;portalName=zinc</w:t>
        </w:r>
      </w:hyperlink>
      <w:r>
        <w:rPr>
          <w:rFonts w:ascii="Times New Roman" w:hAnsi="Times New Roman" w:cs="Times New Roman"/>
          <w:sz w:val="24"/>
          <w:szCs w:val="24"/>
        </w:rPr>
        <w:t xml:space="preserve">. </w:t>
      </w:r>
      <w:r w:rsidRPr="00A268B3">
        <w:rPr>
          <w:rFonts w:ascii="Times New Roman" w:hAnsi="Times New Roman" w:cs="Times New Roman"/>
          <w:sz w:val="24"/>
          <w:szCs w:val="24"/>
        </w:rPr>
        <w:t>Dat</w:t>
      </w:r>
      <w:r>
        <w:rPr>
          <w:rFonts w:ascii="Times New Roman" w:hAnsi="Times New Roman" w:cs="Times New Roman"/>
          <w:sz w:val="24"/>
          <w:szCs w:val="24"/>
        </w:rPr>
        <w:t>e</w:t>
      </w:r>
      <w:r w:rsidRPr="00A268B3">
        <w:rPr>
          <w:rFonts w:ascii="Times New Roman" w:hAnsi="Times New Roman" w:cs="Times New Roman"/>
          <w:sz w:val="24"/>
          <w:szCs w:val="24"/>
        </w:rPr>
        <w:t xml:space="preserve"> accessed: </w:t>
      </w:r>
      <w:r>
        <w:rPr>
          <w:rFonts w:ascii="Times New Roman" w:hAnsi="Times New Roman" w:cs="Times New Roman"/>
          <w:sz w:val="24"/>
          <w:szCs w:val="24"/>
        </w:rPr>
        <w:t>May 01, 2015.</w:t>
      </w:r>
    </w:p>
    <w:p w:rsidR="009278CD" w:rsidRDefault="009278CD" w:rsidP="00215F0B">
      <w:pPr>
        <w:pStyle w:val="NoSpacing"/>
        <w:numPr>
          <w:ilvl w:val="0"/>
          <w:numId w:val="5"/>
        </w:numPr>
        <w:spacing w:line="480" w:lineRule="auto"/>
        <w:rPr>
          <w:rFonts w:ascii="Times New Roman" w:hAnsi="Times New Roman" w:cs="Times New Roman"/>
          <w:sz w:val="24"/>
          <w:szCs w:val="24"/>
        </w:rPr>
      </w:pPr>
      <w:r w:rsidRPr="00AB6112">
        <w:rPr>
          <w:rFonts w:ascii="Times New Roman" w:hAnsi="Times New Roman" w:cs="Times New Roman"/>
          <w:sz w:val="24"/>
          <w:szCs w:val="24"/>
        </w:rPr>
        <w:t>ENN. Field exchange: Scaling up ORS and zinc treatment for diarrhea reduces mortality. December 2012. Available from</w:t>
      </w:r>
      <w:r w:rsidRPr="00793014">
        <w:t xml:space="preserve"> </w:t>
      </w:r>
      <w:hyperlink r:id="rId7" w:history="1">
        <w:r w:rsidRPr="00AB6112">
          <w:rPr>
            <w:rStyle w:val="Hyperlink"/>
            <w:rFonts w:ascii="Times New Roman" w:hAnsi="Times New Roman" w:cs="Times New Roman"/>
            <w:sz w:val="24"/>
            <w:szCs w:val="24"/>
          </w:rPr>
          <w:t>http://www.ennonline.net/fex/44/scaling</w:t>
        </w:r>
      </w:hyperlink>
      <w:r w:rsidRPr="00AB6112">
        <w:rPr>
          <w:rFonts w:ascii="Times New Roman" w:hAnsi="Times New Roman" w:cs="Times New Roman"/>
          <w:sz w:val="24"/>
          <w:szCs w:val="24"/>
        </w:rPr>
        <w:t xml:space="preserve">. Date accessed: </w:t>
      </w:r>
      <w:r>
        <w:rPr>
          <w:rFonts w:ascii="Times New Roman" w:hAnsi="Times New Roman" w:cs="Times New Roman"/>
          <w:sz w:val="24"/>
          <w:szCs w:val="24"/>
        </w:rPr>
        <w:t>March 03</w:t>
      </w:r>
      <w:r w:rsidRPr="00AB6112">
        <w:rPr>
          <w:rFonts w:ascii="Times New Roman" w:hAnsi="Times New Roman" w:cs="Times New Roman"/>
          <w:sz w:val="24"/>
          <w:szCs w:val="24"/>
        </w:rPr>
        <w:t>, 2015.</w:t>
      </w:r>
    </w:p>
    <w:p w:rsidR="009278CD" w:rsidRDefault="009278CD" w:rsidP="00215F0B">
      <w:pPr>
        <w:pStyle w:val="NoSpacing"/>
        <w:numPr>
          <w:ilvl w:val="0"/>
          <w:numId w:val="5"/>
        </w:numPr>
        <w:spacing w:line="480" w:lineRule="auto"/>
        <w:rPr>
          <w:rFonts w:ascii="Times New Roman" w:hAnsi="Times New Roman" w:cs="Times New Roman"/>
          <w:sz w:val="24"/>
          <w:szCs w:val="24"/>
        </w:rPr>
      </w:pPr>
      <w:r w:rsidRPr="00E10F8A">
        <w:rPr>
          <w:rFonts w:ascii="Times New Roman" w:hAnsi="Times New Roman" w:cs="Times New Roman"/>
          <w:sz w:val="24"/>
          <w:szCs w:val="24"/>
        </w:rPr>
        <w:t xml:space="preserve">Walker CL, </w:t>
      </w:r>
      <w:proofErr w:type="spellStart"/>
      <w:r w:rsidRPr="00E10F8A">
        <w:rPr>
          <w:rFonts w:ascii="Times New Roman" w:hAnsi="Times New Roman" w:cs="Times New Roman"/>
          <w:sz w:val="24"/>
          <w:szCs w:val="24"/>
        </w:rPr>
        <w:t>Perin</w:t>
      </w:r>
      <w:proofErr w:type="spellEnd"/>
      <w:r w:rsidRPr="00E10F8A">
        <w:rPr>
          <w:rFonts w:ascii="Times New Roman" w:hAnsi="Times New Roman" w:cs="Times New Roman"/>
          <w:sz w:val="24"/>
          <w:szCs w:val="24"/>
        </w:rPr>
        <w:t xml:space="preserve"> J, </w:t>
      </w:r>
      <w:proofErr w:type="spellStart"/>
      <w:r w:rsidRPr="00E10F8A">
        <w:rPr>
          <w:rFonts w:ascii="Times New Roman" w:hAnsi="Times New Roman" w:cs="Times New Roman"/>
          <w:sz w:val="24"/>
          <w:szCs w:val="24"/>
        </w:rPr>
        <w:t>Aryee</w:t>
      </w:r>
      <w:proofErr w:type="spellEnd"/>
      <w:r w:rsidRPr="00E10F8A">
        <w:rPr>
          <w:rFonts w:ascii="Times New Roman" w:hAnsi="Times New Roman" w:cs="Times New Roman"/>
          <w:sz w:val="24"/>
          <w:szCs w:val="24"/>
        </w:rPr>
        <w:t xml:space="preserve"> MJ, </w:t>
      </w:r>
      <w:proofErr w:type="spellStart"/>
      <w:r w:rsidRPr="00E10F8A">
        <w:rPr>
          <w:rFonts w:ascii="Times New Roman" w:hAnsi="Times New Roman" w:cs="Times New Roman"/>
          <w:sz w:val="24"/>
          <w:szCs w:val="24"/>
        </w:rPr>
        <w:t>Boschi</w:t>
      </w:r>
      <w:proofErr w:type="spellEnd"/>
      <w:r w:rsidRPr="00E10F8A">
        <w:rPr>
          <w:rFonts w:ascii="Times New Roman" w:hAnsi="Times New Roman" w:cs="Times New Roman"/>
          <w:sz w:val="24"/>
          <w:szCs w:val="24"/>
        </w:rPr>
        <w:t>-Pinto C, Black RE. Diarrhea incidence in low- and middle-income countries in 1990 and 2010: A systematic review</w:t>
      </w:r>
      <w:r>
        <w:rPr>
          <w:rFonts w:ascii="Times New Roman" w:hAnsi="Times New Roman" w:cs="Times New Roman"/>
          <w:sz w:val="24"/>
          <w:szCs w:val="24"/>
        </w:rPr>
        <w:t xml:space="preserve">. </w:t>
      </w:r>
      <w:r w:rsidRPr="00215F0B">
        <w:rPr>
          <w:rFonts w:ascii="Times New Roman" w:hAnsi="Times New Roman" w:cs="Times New Roman"/>
          <w:sz w:val="24"/>
          <w:szCs w:val="24"/>
        </w:rPr>
        <w:t>BMC Public Health</w:t>
      </w:r>
      <w:r w:rsidR="00215F0B">
        <w:rPr>
          <w:rFonts w:ascii="Times New Roman" w:hAnsi="Times New Roman" w:cs="Times New Roman"/>
          <w:sz w:val="24"/>
          <w:szCs w:val="24"/>
        </w:rPr>
        <w:t>.</w:t>
      </w:r>
      <w:r w:rsidRPr="00E10F8A">
        <w:rPr>
          <w:rFonts w:ascii="Times New Roman" w:hAnsi="Times New Roman" w:cs="Times New Roman"/>
          <w:sz w:val="24"/>
          <w:szCs w:val="24"/>
        </w:rPr>
        <w:t xml:space="preserve"> 2012</w:t>
      </w:r>
      <w:r w:rsidR="00215F0B">
        <w:rPr>
          <w:rFonts w:ascii="Times New Roman" w:hAnsi="Times New Roman" w:cs="Times New Roman"/>
          <w:sz w:val="24"/>
          <w:szCs w:val="24"/>
        </w:rPr>
        <w:t>;</w:t>
      </w:r>
      <w:r w:rsidRPr="00E10F8A">
        <w:rPr>
          <w:rFonts w:ascii="Times New Roman" w:hAnsi="Times New Roman" w:cs="Times New Roman"/>
          <w:sz w:val="24"/>
          <w:szCs w:val="24"/>
        </w:rPr>
        <w:t xml:space="preserve"> 12:220</w:t>
      </w:r>
      <w:r>
        <w:rPr>
          <w:rFonts w:ascii="Times New Roman" w:hAnsi="Times New Roman" w:cs="Times New Roman"/>
          <w:sz w:val="24"/>
          <w:szCs w:val="24"/>
        </w:rPr>
        <w:t>.</w:t>
      </w:r>
    </w:p>
    <w:p w:rsidR="009278CD" w:rsidRDefault="009278CD" w:rsidP="00215F0B">
      <w:pPr>
        <w:pStyle w:val="NoSpacing"/>
        <w:numPr>
          <w:ilvl w:val="0"/>
          <w:numId w:val="5"/>
        </w:numPr>
        <w:spacing w:line="480" w:lineRule="auto"/>
        <w:rPr>
          <w:rFonts w:ascii="Times New Roman" w:hAnsi="Times New Roman" w:cs="Times New Roman"/>
          <w:sz w:val="24"/>
          <w:szCs w:val="24"/>
        </w:rPr>
      </w:pPr>
      <w:r w:rsidRPr="002837CA">
        <w:rPr>
          <w:rFonts w:ascii="Times New Roman" w:hAnsi="Times New Roman" w:cs="Times New Roman"/>
          <w:sz w:val="24"/>
          <w:szCs w:val="24"/>
        </w:rPr>
        <w:t>ORC Macro, Central Statistical Agency</w:t>
      </w:r>
      <w:r>
        <w:rPr>
          <w:rFonts w:ascii="Times New Roman" w:hAnsi="Times New Roman" w:cs="Times New Roman"/>
          <w:sz w:val="24"/>
          <w:szCs w:val="24"/>
        </w:rPr>
        <w:t xml:space="preserve"> [Ethiopia]</w:t>
      </w:r>
      <w:r w:rsidRPr="002837CA">
        <w:rPr>
          <w:rFonts w:ascii="Times New Roman" w:hAnsi="Times New Roman" w:cs="Times New Roman"/>
          <w:sz w:val="24"/>
          <w:szCs w:val="24"/>
        </w:rPr>
        <w:t>. Ethiopia demographic and health survey 2005. Addis Ababa and Calverton: Central Statistical Agency and ORC Macro; 2006.</w:t>
      </w:r>
    </w:p>
    <w:p w:rsidR="009278CD" w:rsidRPr="00F218EC" w:rsidRDefault="009278CD" w:rsidP="00215F0B">
      <w:pPr>
        <w:pStyle w:val="NoSpacing"/>
        <w:numPr>
          <w:ilvl w:val="0"/>
          <w:numId w:val="5"/>
        </w:numPr>
        <w:spacing w:line="480" w:lineRule="auto"/>
        <w:rPr>
          <w:sz w:val="24"/>
          <w:szCs w:val="24"/>
        </w:rPr>
      </w:pPr>
      <w:r w:rsidRPr="006B56E5">
        <w:rPr>
          <w:rFonts w:ascii="Times New Roman" w:hAnsi="Times New Roman" w:cs="Times New Roman"/>
          <w:sz w:val="24"/>
          <w:szCs w:val="24"/>
        </w:rPr>
        <w:t>Central Statistical Agency</w:t>
      </w:r>
      <w:r>
        <w:rPr>
          <w:rFonts w:ascii="Times New Roman" w:hAnsi="Times New Roman" w:cs="Times New Roman"/>
          <w:sz w:val="24"/>
          <w:szCs w:val="24"/>
        </w:rPr>
        <w:t xml:space="preserve"> [Ethiopia]</w:t>
      </w:r>
      <w:r w:rsidRPr="006B56E5">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057738">
        <w:rPr>
          <w:rFonts w:ascii="Times New Roman" w:hAnsi="Times New Roman" w:cs="Times New Roman"/>
          <w:sz w:val="24"/>
          <w:szCs w:val="24"/>
        </w:rPr>
        <w:t>ICF International</w:t>
      </w:r>
      <w:r w:rsidRPr="006B56E5">
        <w:rPr>
          <w:rFonts w:ascii="Times New Roman" w:hAnsi="Times New Roman" w:cs="Times New Roman"/>
          <w:sz w:val="24"/>
          <w:szCs w:val="24"/>
        </w:rPr>
        <w:t xml:space="preserve">. Ethiopia </w:t>
      </w:r>
      <w:r>
        <w:rPr>
          <w:rFonts w:ascii="Times New Roman" w:hAnsi="Times New Roman" w:cs="Times New Roman"/>
          <w:sz w:val="24"/>
          <w:szCs w:val="24"/>
        </w:rPr>
        <w:t>demographic and health survey 2</w:t>
      </w:r>
      <w:r w:rsidRPr="006B56E5">
        <w:rPr>
          <w:rFonts w:ascii="Times New Roman" w:hAnsi="Times New Roman" w:cs="Times New Roman"/>
          <w:sz w:val="24"/>
          <w:szCs w:val="24"/>
        </w:rPr>
        <w:t>0</w:t>
      </w:r>
      <w:r>
        <w:rPr>
          <w:rFonts w:ascii="Times New Roman" w:hAnsi="Times New Roman" w:cs="Times New Roman"/>
          <w:sz w:val="24"/>
          <w:szCs w:val="24"/>
        </w:rPr>
        <w:t>11</w:t>
      </w:r>
      <w:r w:rsidRPr="006B56E5">
        <w:rPr>
          <w:rFonts w:ascii="Times New Roman" w:hAnsi="Times New Roman" w:cs="Times New Roman"/>
          <w:sz w:val="24"/>
          <w:szCs w:val="24"/>
        </w:rPr>
        <w:t>. Addis Ababa, Ethiopia and Calverton, USA; 20</w:t>
      </w:r>
      <w:r>
        <w:rPr>
          <w:rFonts w:ascii="Times New Roman" w:hAnsi="Times New Roman" w:cs="Times New Roman"/>
          <w:sz w:val="24"/>
          <w:szCs w:val="24"/>
        </w:rPr>
        <w:t>12</w:t>
      </w:r>
      <w:r w:rsidRPr="006B56E5">
        <w:rPr>
          <w:rFonts w:ascii="Times New Roman" w:hAnsi="Times New Roman" w:cs="Times New Roman"/>
          <w:sz w:val="24"/>
          <w:szCs w:val="24"/>
        </w:rPr>
        <w:t xml:space="preserve">. </w:t>
      </w:r>
    </w:p>
    <w:p w:rsidR="009278CD" w:rsidRDefault="009278CD" w:rsidP="00215F0B">
      <w:pPr>
        <w:pStyle w:val="NoSpacing"/>
        <w:numPr>
          <w:ilvl w:val="0"/>
          <w:numId w:val="5"/>
        </w:numPr>
        <w:spacing w:line="480" w:lineRule="auto"/>
        <w:rPr>
          <w:rFonts w:ascii="Times New Roman" w:hAnsi="Times New Roman" w:cs="Times New Roman"/>
          <w:sz w:val="24"/>
          <w:szCs w:val="24"/>
        </w:rPr>
      </w:pPr>
      <w:proofErr w:type="spellStart"/>
      <w:r w:rsidRPr="002837CA">
        <w:rPr>
          <w:rFonts w:ascii="Times New Roman" w:hAnsi="Times New Roman" w:cs="Times New Roman"/>
          <w:sz w:val="24"/>
          <w:szCs w:val="24"/>
        </w:rPr>
        <w:t>Soares</w:t>
      </w:r>
      <w:proofErr w:type="spellEnd"/>
      <w:r w:rsidRPr="002837CA">
        <w:rPr>
          <w:rFonts w:ascii="Times New Roman" w:hAnsi="Times New Roman" w:cs="Times New Roman"/>
          <w:sz w:val="24"/>
          <w:szCs w:val="24"/>
        </w:rPr>
        <w:t xml:space="preserve">-Weiser K, </w:t>
      </w:r>
      <w:proofErr w:type="spellStart"/>
      <w:r w:rsidRPr="002837CA">
        <w:rPr>
          <w:rFonts w:ascii="Times New Roman" w:hAnsi="Times New Roman" w:cs="Times New Roman"/>
          <w:sz w:val="24"/>
          <w:szCs w:val="24"/>
        </w:rPr>
        <w:t>MacLehose</w:t>
      </w:r>
      <w:proofErr w:type="spellEnd"/>
      <w:r w:rsidRPr="002837CA">
        <w:rPr>
          <w:rFonts w:ascii="Times New Roman" w:hAnsi="Times New Roman" w:cs="Times New Roman"/>
          <w:sz w:val="24"/>
          <w:szCs w:val="24"/>
        </w:rPr>
        <w:t xml:space="preserve"> H, Bergman H, Ben-</w:t>
      </w:r>
      <w:proofErr w:type="spellStart"/>
      <w:r w:rsidRPr="002837CA">
        <w:rPr>
          <w:rFonts w:ascii="Times New Roman" w:hAnsi="Times New Roman" w:cs="Times New Roman"/>
          <w:sz w:val="24"/>
          <w:szCs w:val="24"/>
        </w:rPr>
        <w:t>Aharon</w:t>
      </w:r>
      <w:proofErr w:type="spellEnd"/>
      <w:r w:rsidRPr="002837CA">
        <w:rPr>
          <w:rFonts w:ascii="Times New Roman" w:hAnsi="Times New Roman" w:cs="Times New Roman"/>
          <w:sz w:val="24"/>
          <w:szCs w:val="24"/>
        </w:rPr>
        <w:t xml:space="preserve"> I, </w:t>
      </w:r>
      <w:proofErr w:type="spellStart"/>
      <w:r w:rsidRPr="002837CA">
        <w:rPr>
          <w:rFonts w:ascii="Times New Roman" w:hAnsi="Times New Roman" w:cs="Times New Roman"/>
          <w:sz w:val="24"/>
          <w:szCs w:val="24"/>
        </w:rPr>
        <w:t>Nagpal</w:t>
      </w:r>
      <w:proofErr w:type="spellEnd"/>
      <w:r w:rsidRPr="002837CA">
        <w:rPr>
          <w:rFonts w:ascii="Times New Roman" w:hAnsi="Times New Roman" w:cs="Times New Roman"/>
          <w:sz w:val="24"/>
          <w:szCs w:val="24"/>
        </w:rPr>
        <w:t xml:space="preserve"> S, Goldberg</w:t>
      </w:r>
      <w:r>
        <w:rPr>
          <w:rFonts w:ascii="Times New Roman" w:hAnsi="Times New Roman" w:cs="Times New Roman"/>
          <w:sz w:val="24"/>
          <w:szCs w:val="24"/>
        </w:rPr>
        <w:t xml:space="preserve"> E</w:t>
      </w:r>
      <w:r w:rsidRPr="002837CA">
        <w:rPr>
          <w:rFonts w:ascii="Times New Roman" w:hAnsi="Times New Roman" w:cs="Times New Roman"/>
          <w:sz w:val="24"/>
          <w:szCs w:val="24"/>
        </w:rPr>
        <w:t>,</w:t>
      </w:r>
      <w:r>
        <w:rPr>
          <w:rFonts w:ascii="Times New Roman" w:hAnsi="Times New Roman" w:cs="Times New Roman"/>
          <w:sz w:val="24"/>
          <w:szCs w:val="24"/>
        </w:rPr>
        <w:t xml:space="preserve"> </w:t>
      </w:r>
      <w:r w:rsidRPr="002837CA">
        <w:rPr>
          <w:rFonts w:ascii="Times New Roman" w:hAnsi="Times New Roman" w:cs="Times New Roman"/>
          <w:i/>
          <w:sz w:val="24"/>
          <w:szCs w:val="24"/>
        </w:rPr>
        <w:t>et al</w:t>
      </w:r>
      <w:r>
        <w:rPr>
          <w:rFonts w:ascii="Times New Roman" w:hAnsi="Times New Roman" w:cs="Times New Roman"/>
          <w:sz w:val="24"/>
          <w:szCs w:val="24"/>
        </w:rPr>
        <w:t>.</w:t>
      </w:r>
      <w:r w:rsidRPr="002837CA">
        <w:rPr>
          <w:rFonts w:ascii="Times New Roman" w:hAnsi="Times New Roman" w:cs="Times New Roman"/>
          <w:sz w:val="24"/>
          <w:szCs w:val="24"/>
        </w:rPr>
        <w:t xml:space="preserve"> Vaccines for preventing rotavirus </w:t>
      </w:r>
      <w:proofErr w:type="spellStart"/>
      <w:r w:rsidRPr="002837CA">
        <w:rPr>
          <w:rFonts w:ascii="Times New Roman" w:hAnsi="Times New Roman" w:cs="Times New Roman"/>
          <w:sz w:val="24"/>
          <w:szCs w:val="24"/>
        </w:rPr>
        <w:t>diarrhoea</w:t>
      </w:r>
      <w:proofErr w:type="spellEnd"/>
      <w:r w:rsidRPr="002837CA">
        <w:rPr>
          <w:rFonts w:ascii="Times New Roman" w:hAnsi="Times New Roman" w:cs="Times New Roman"/>
          <w:sz w:val="24"/>
          <w:szCs w:val="24"/>
        </w:rPr>
        <w:t>: vaccines in use</w:t>
      </w:r>
      <w:r>
        <w:rPr>
          <w:rFonts w:ascii="Times New Roman" w:hAnsi="Times New Roman" w:cs="Times New Roman"/>
          <w:sz w:val="24"/>
          <w:szCs w:val="24"/>
        </w:rPr>
        <w:t xml:space="preserve">. </w:t>
      </w:r>
      <w:r w:rsidR="00215F0B" w:rsidRPr="002D6130">
        <w:rPr>
          <w:rFonts w:ascii="Times New Roman" w:hAnsi="Times New Roman" w:cs="Times New Roman"/>
          <w:noProof/>
          <w:sz w:val="24"/>
          <w:szCs w:val="24"/>
        </w:rPr>
        <w:t>Cochrane Database Syst Rev</w:t>
      </w:r>
      <w:r w:rsidR="00215F0B">
        <w:rPr>
          <w:rFonts w:ascii="Times New Roman" w:hAnsi="Times New Roman" w:cs="Times New Roman"/>
          <w:noProof/>
          <w:sz w:val="24"/>
          <w:szCs w:val="24"/>
        </w:rPr>
        <w:t>.</w:t>
      </w:r>
      <w:r>
        <w:rPr>
          <w:rFonts w:ascii="Times New Roman" w:hAnsi="Times New Roman" w:cs="Times New Roman"/>
          <w:sz w:val="24"/>
          <w:szCs w:val="24"/>
        </w:rPr>
        <w:t xml:space="preserve"> 2012; 11: </w:t>
      </w:r>
      <w:r w:rsidRPr="002837CA">
        <w:rPr>
          <w:rFonts w:ascii="Times New Roman" w:hAnsi="Times New Roman" w:cs="Times New Roman"/>
          <w:sz w:val="24"/>
          <w:szCs w:val="24"/>
        </w:rPr>
        <w:t>DOI: 10.1002/14651858.CD008521.pub3.</w:t>
      </w:r>
    </w:p>
    <w:p w:rsidR="009278CD" w:rsidRDefault="009278CD" w:rsidP="00215F0B">
      <w:pPr>
        <w:pStyle w:val="NoSpacing"/>
        <w:numPr>
          <w:ilvl w:val="0"/>
          <w:numId w:val="5"/>
        </w:numPr>
        <w:tabs>
          <w:tab w:val="left" w:pos="1937"/>
        </w:tabs>
        <w:spacing w:line="480" w:lineRule="auto"/>
        <w:rPr>
          <w:rFonts w:ascii="Times New Roman" w:hAnsi="Times New Roman" w:cs="Times New Roman"/>
          <w:sz w:val="24"/>
          <w:szCs w:val="24"/>
        </w:rPr>
      </w:pPr>
      <w:r>
        <w:rPr>
          <w:rFonts w:ascii="Times New Roman" w:hAnsi="Times New Roman" w:cs="Times New Roman"/>
          <w:sz w:val="24"/>
          <w:szCs w:val="24"/>
        </w:rPr>
        <w:t xml:space="preserve">Population Reference Bureau. World population data sheet, 2014. </w:t>
      </w:r>
      <w:r w:rsidRPr="00BA4600">
        <w:rPr>
          <w:rFonts w:ascii="Times New Roman" w:hAnsi="Times New Roman" w:cs="Times New Roman"/>
          <w:sz w:val="24"/>
          <w:szCs w:val="24"/>
        </w:rPr>
        <w:t xml:space="preserve">Available from: </w:t>
      </w:r>
      <w:hyperlink r:id="rId8" w:history="1">
        <w:r w:rsidRPr="00BA4600">
          <w:rPr>
            <w:rStyle w:val="Hyperlink"/>
            <w:rFonts w:ascii="Times New Roman" w:hAnsi="Times New Roman" w:cs="Times New Roman"/>
            <w:sz w:val="24"/>
            <w:szCs w:val="24"/>
          </w:rPr>
          <w:t>http://www.who.int/water_sanitation_health/publications /factsfigures04/en/</w:t>
        </w:r>
      </w:hyperlink>
      <w:r w:rsidRPr="00BA4600">
        <w:rPr>
          <w:rFonts w:ascii="Times New Roman" w:hAnsi="Times New Roman" w:cs="Times New Roman"/>
          <w:sz w:val="24"/>
          <w:szCs w:val="24"/>
        </w:rPr>
        <w:t xml:space="preserve">. Data accessed: Jan </w:t>
      </w:r>
      <w:r>
        <w:rPr>
          <w:rFonts w:ascii="Times New Roman" w:hAnsi="Times New Roman" w:cs="Times New Roman"/>
          <w:sz w:val="24"/>
          <w:szCs w:val="24"/>
        </w:rPr>
        <w:t>1</w:t>
      </w:r>
      <w:r w:rsidRPr="00BA4600">
        <w:rPr>
          <w:rFonts w:ascii="Times New Roman" w:hAnsi="Times New Roman" w:cs="Times New Roman"/>
          <w:sz w:val="24"/>
          <w:szCs w:val="24"/>
        </w:rPr>
        <w:t xml:space="preserve">7, 2015. </w:t>
      </w:r>
    </w:p>
    <w:p w:rsidR="009278CD" w:rsidRDefault="009278CD" w:rsidP="00215F0B">
      <w:pPr>
        <w:pStyle w:val="NoSpacing"/>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Federal Republic of Ethiopia Census Commission. Summary and statistical report of the 2007 population and housing census: Population size by ag</w:t>
      </w:r>
      <w:r w:rsidR="00215F0B">
        <w:rPr>
          <w:rFonts w:ascii="Times New Roman" w:hAnsi="Times New Roman" w:cs="Times New Roman"/>
          <w:sz w:val="24"/>
          <w:szCs w:val="24"/>
        </w:rPr>
        <w:t>e and sex. Addis Ababa</w:t>
      </w:r>
      <w:r>
        <w:rPr>
          <w:rFonts w:ascii="Times New Roman" w:hAnsi="Times New Roman" w:cs="Times New Roman"/>
          <w:sz w:val="24"/>
          <w:szCs w:val="24"/>
        </w:rPr>
        <w:t>; 2008</w:t>
      </w:r>
    </w:p>
    <w:p w:rsidR="009278CD" w:rsidRDefault="009278CD" w:rsidP="00215F0B">
      <w:pPr>
        <w:pStyle w:val="NoSpacing"/>
        <w:numPr>
          <w:ilvl w:val="0"/>
          <w:numId w:val="5"/>
        </w:numPr>
        <w:spacing w:line="480" w:lineRule="auto"/>
        <w:rPr>
          <w:rFonts w:ascii="Times New Roman" w:hAnsi="Times New Roman" w:cs="Times New Roman"/>
          <w:sz w:val="24"/>
          <w:szCs w:val="24"/>
        </w:rPr>
      </w:pPr>
      <w:r w:rsidRPr="002837CA">
        <w:rPr>
          <w:rFonts w:ascii="Times New Roman" w:hAnsi="Times New Roman" w:cs="Times New Roman"/>
          <w:sz w:val="24"/>
          <w:szCs w:val="24"/>
        </w:rPr>
        <w:t>ORC Macro, Central Statistical Agency</w:t>
      </w:r>
      <w:r>
        <w:rPr>
          <w:rFonts w:ascii="Times New Roman" w:hAnsi="Times New Roman" w:cs="Times New Roman"/>
          <w:sz w:val="24"/>
          <w:szCs w:val="24"/>
        </w:rPr>
        <w:t xml:space="preserve"> [Ethiopia]</w:t>
      </w:r>
      <w:r w:rsidRPr="002837CA">
        <w:rPr>
          <w:rFonts w:ascii="Times New Roman" w:hAnsi="Times New Roman" w:cs="Times New Roman"/>
          <w:sz w:val="24"/>
          <w:szCs w:val="24"/>
        </w:rPr>
        <w:t>. Ethiopia demographic and health survey 200</w:t>
      </w:r>
      <w:r>
        <w:rPr>
          <w:rFonts w:ascii="Times New Roman" w:hAnsi="Times New Roman" w:cs="Times New Roman"/>
          <w:sz w:val="24"/>
          <w:szCs w:val="24"/>
        </w:rPr>
        <w:t>0</w:t>
      </w:r>
      <w:r w:rsidRPr="002837CA">
        <w:rPr>
          <w:rFonts w:ascii="Times New Roman" w:hAnsi="Times New Roman" w:cs="Times New Roman"/>
          <w:sz w:val="24"/>
          <w:szCs w:val="24"/>
        </w:rPr>
        <w:t>. Addis Ababa and Calverton: Central Statis</w:t>
      </w:r>
      <w:r>
        <w:rPr>
          <w:rFonts w:ascii="Times New Roman" w:hAnsi="Times New Roman" w:cs="Times New Roman"/>
          <w:sz w:val="24"/>
          <w:szCs w:val="24"/>
        </w:rPr>
        <w:t>tical Agency and ORC Macro; 2001</w:t>
      </w:r>
      <w:r w:rsidRPr="002837CA">
        <w:rPr>
          <w:rFonts w:ascii="Times New Roman" w:hAnsi="Times New Roman" w:cs="Times New Roman"/>
          <w:sz w:val="24"/>
          <w:szCs w:val="24"/>
        </w:rPr>
        <w:t>.</w:t>
      </w:r>
    </w:p>
    <w:p w:rsidR="009278CD" w:rsidRPr="00AB6112" w:rsidRDefault="009278CD" w:rsidP="009278CD">
      <w:pPr>
        <w:pStyle w:val="NoSpacing"/>
        <w:spacing w:line="360" w:lineRule="auto"/>
        <w:jc w:val="both"/>
        <w:rPr>
          <w:rFonts w:ascii="Times New Roman" w:hAnsi="Times New Roman" w:cs="Times New Roman"/>
          <w:sz w:val="24"/>
          <w:szCs w:val="24"/>
        </w:rPr>
      </w:pPr>
    </w:p>
    <w:p w:rsidR="009278CD" w:rsidRDefault="009278CD" w:rsidP="009278CD">
      <w:pPr>
        <w:pStyle w:val="NoSpacing"/>
        <w:spacing w:line="360" w:lineRule="auto"/>
        <w:jc w:val="both"/>
      </w:pPr>
    </w:p>
    <w:sectPr w:rsidR="009278CD" w:rsidSect="00CC4C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884458"/>
    <w:multiLevelType w:val="hybridMultilevel"/>
    <w:tmpl w:val="3D70734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50F22B84"/>
    <w:multiLevelType w:val="hybridMultilevel"/>
    <w:tmpl w:val="5EB838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8FB6A4D"/>
    <w:multiLevelType w:val="hybridMultilevel"/>
    <w:tmpl w:val="1332A7E6"/>
    <w:lvl w:ilvl="0" w:tplc="AABA29C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6D73BD"/>
    <w:multiLevelType w:val="hybridMultilevel"/>
    <w:tmpl w:val="2A602C22"/>
    <w:lvl w:ilvl="0" w:tplc="2CB81EB4">
      <w:start w:val="1"/>
      <w:numFmt w:val="low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nsid w:val="63C535E3"/>
    <w:multiLevelType w:val="hybridMultilevel"/>
    <w:tmpl w:val="C53E6144"/>
    <w:lvl w:ilvl="0" w:tplc="28DCDD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11BB"/>
    <w:rsid w:val="0016525B"/>
    <w:rsid w:val="00215F0B"/>
    <w:rsid w:val="0025502E"/>
    <w:rsid w:val="005C11BB"/>
    <w:rsid w:val="00791F74"/>
    <w:rsid w:val="00812BAB"/>
    <w:rsid w:val="008549CC"/>
    <w:rsid w:val="009278CD"/>
    <w:rsid w:val="00C76A2E"/>
    <w:rsid w:val="00CC4CC3"/>
    <w:rsid w:val="00DF17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1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C11BB"/>
    <w:pPr>
      <w:spacing w:after="0" w:line="240" w:lineRule="auto"/>
    </w:pPr>
  </w:style>
  <w:style w:type="character" w:styleId="Hyperlink">
    <w:name w:val="Hyperlink"/>
    <w:basedOn w:val="DefaultParagraphFont"/>
    <w:uiPriority w:val="99"/>
    <w:unhideWhenUsed/>
    <w:rsid w:val="009278CD"/>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o.int/water_sanitation_health/publications%20/factsfigures04/en/" TargetMode="External"/><Relationship Id="rId3" Type="http://schemas.openxmlformats.org/officeDocument/2006/relationships/settings" Target="settings.xml"/><Relationship Id="rId7" Type="http://schemas.openxmlformats.org/officeDocument/2006/relationships/hyperlink" Target="http://www.ennonline.net/fex/44/scal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zincsaveslives.com/Generic.aspx?PAGE=Blog&amp;portalName=zinc" TargetMode="External"/><Relationship Id="rId5" Type="http://schemas.openxmlformats.org/officeDocument/2006/relationships/hyperlink" Target="http://www.clintonhealthaccess.org/program-areas/maternal-and-child-health/zinc-or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5</Pages>
  <Words>1033</Words>
  <Characters>5890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3</cp:revision>
  <dcterms:created xsi:type="dcterms:W3CDTF">2015-11-13T11:42:00Z</dcterms:created>
  <dcterms:modified xsi:type="dcterms:W3CDTF">2015-11-21T05:41:00Z</dcterms:modified>
</cp:coreProperties>
</file>