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6F903" w14:textId="3FCEBEAE" w:rsidR="0044153B" w:rsidRPr="00E230CB" w:rsidRDefault="0044153B" w:rsidP="00E230CB">
      <w:pPr>
        <w:spacing w:line="276" w:lineRule="auto"/>
        <w:rPr>
          <w:b/>
          <w:color w:val="365F91" w:themeColor="accent1" w:themeShade="BF"/>
          <w:sz w:val="32"/>
          <w:szCs w:val="28"/>
        </w:rPr>
      </w:pPr>
      <w:r w:rsidRPr="00E230CB">
        <w:rPr>
          <w:b/>
          <w:color w:val="365F91" w:themeColor="accent1" w:themeShade="BF"/>
          <w:sz w:val="32"/>
          <w:szCs w:val="28"/>
        </w:rPr>
        <w:t xml:space="preserve">Countdown to 2015 country case studies: </w:t>
      </w:r>
      <w:r w:rsidR="00771022" w:rsidRPr="00E230CB">
        <w:rPr>
          <w:b/>
          <w:color w:val="365F91" w:themeColor="accent1" w:themeShade="BF"/>
          <w:sz w:val="32"/>
          <w:szCs w:val="28"/>
        </w:rPr>
        <w:t>s</w:t>
      </w:r>
      <w:r w:rsidRPr="00E230CB">
        <w:rPr>
          <w:b/>
          <w:color w:val="365F91" w:themeColor="accent1" w:themeShade="BF"/>
          <w:sz w:val="32"/>
          <w:szCs w:val="28"/>
        </w:rPr>
        <w:t xml:space="preserve">ystematic tools to address the “black box” of health systems and policy assessment </w:t>
      </w:r>
    </w:p>
    <w:p w14:paraId="340DDBDC" w14:textId="77777777" w:rsidR="008F536D" w:rsidRPr="00CC6409" w:rsidRDefault="008F536D" w:rsidP="00CF4BC5">
      <w:pPr>
        <w:spacing w:line="276" w:lineRule="auto"/>
      </w:pPr>
    </w:p>
    <w:p w14:paraId="44FABACF" w14:textId="446B44E1" w:rsidR="00634FB7" w:rsidRPr="008F7B4B" w:rsidRDefault="00771022" w:rsidP="00CF4BC5">
      <w:pPr>
        <w:spacing w:line="276" w:lineRule="auto"/>
        <w:rPr>
          <w:b/>
          <w:i/>
          <w:color w:val="365F91" w:themeColor="accent1" w:themeShade="BF"/>
          <w:sz w:val="28"/>
          <w:szCs w:val="28"/>
        </w:rPr>
      </w:pPr>
      <w:r>
        <w:rPr>
          <w:b/>
          <w:i/>
          <w:color w:val="365F91" w:themeColor="accent1" w:themeShade="BF"/>
          <w:sz w:val="28"/>
          <w:szCs w:val="28"/>
        </w:rPr>
        <w:t>Additional file 1</w:t>
      </w:r>
    </w:p>
    <w:p w14:paraId="0488FDDD" w14:textId="77777777" w:rsidR="008F536D" w:rsidRPr="00CC6409" w:rsidRDefault="008F536D" w:rsidP="00CF4BC5">
      <w:pPr>
        <w:spacing w:line="276" w:lineRule="auto"/>
      </w:pPr>
    </w:p>
    <w:sdt>
      <w:sdtPr>
        <w:rPr>
          <w:rFonts w:asciiTheme="minorHAnsi" w:eastAsiaTheme="minorHAnsi" w:hAnsiTheme="minorHAnsi" w:cstheme="minorBidi"/>
          <w:b w:val="0"/>
          <w:color w:val="auto"/>
          <w:sz w:val="22"/>
          <w:szCs w:val="22"/>
          <w:lang w:val="en-GB"/>
        </w:rPr>
        <w:id w:val="1647309147"/>
        <w:docPartObj>
          <w:docPartGallery w:val="Table of Contents"/>
          <w:docPartUnique/>
        </w:docPartObj>
      </w:sdtPr>
      <w:sdtEndPr>
        <w:rPr>
          <w:rFonts w:eastAsia="Times New Roman" w:cs="Times New Roman"/>
          <w:bCs/>
          <w:noProof/>
          <w:szCs w:val="24"/>
          <w:lang w:val="en-US"/>
        </w:rPr>
      </w:sdtEndPr>
      <w:sdtContent>
        <w:p w14:paraId="167FC268" w14:textId="4F8EFB7E" w:rsidR="00F031D5" w:rsidRPr="008F7B4B" w:rsidRDefault="008F7B4B" w:rsidP="00CF4BC5">
          <w:pPr>
            <w:pStyle w:val="TOCHeading"/>
            <w:spacing w:line="276" w:lineRule="auto"/>
            <w:rPr>
              <w:rFonts w:asciiTheme="minorHAnsi" w:hAnsiTheme="minorHAnsi"/>
              <w:sz w:val="24"/>
              <w:szCs w:val="24"/>
            </w:rPr>
          </w:pPr>
          <w:r w:rsidRPr="008F7B4B">
            <w:rPr>
              <w:rFonts w:asciiTheme="minorHAnsi" w:hAnsiTheme="minorHAnsi"/>
              <w:sz w:val="24"/>
              <w:szCs w:val="24"/>
            </w:rPr>
            <w:t>Table of C</w:t>
          </w:r>
          <w:r w:rsidR="00F031D5" w:rsidRPr="008F7B4B">
            <w:rPr>
              <w:rFonts w:asciiTheme="minorHAnsi" w:hAnsiTheme="minorHAnsi"/>
              <w:sz w:val="24"/>
              <w:szCs w:val="24"/>
            </w:rPr>
            <w:t>ontents</w:t>
          </w:r>
        </w:p>
        <w:p w14:paraId="3E51CF52" w14:textId="77777777" w:rsidR="00F26674" w:rsidRPr="00CC6409" w:rsidRDefault="00F26674" w:rsidP="00CF4BC5">
          <w:pPr>
            <w:spacing w:line="276" w:lineRule="auto"/>
          </w:pPr>
        </w:p>
        <w:p w14:paraId="4CE65A6F" w14:textId="77777777" w:rsidR="007612BA" w:rsidRDefault="00EE522B">
          <w:pPr>
            <w:pStyle w:val="TOC1"/>
            <w:tabs>
              <w:tab w:val="left" w:pos="720"/>
            </w:tabs>
            <w:rPr>
              <w:rFonts w:eastAsiaTheme="minorEastAsia"/>
              <w:noProof/>
              <w:lang w:eastAsia="en-GB"/>
            </w:rPr>
          </w:pPr>
          <w:r w:rsidRPr="00CC6409">
            <w:fldChar w:fldCharType="begin"/>
          </w:r>
          <w:r w:rsidR="00F031D5" w:rsidRPr="00CC6409">
            <w:instrText xml:space="preserve"> TOC \o "1-3" \h \z \u </w:instrText>
          </w:r>
          <w:r w:rsidRPr="00CC6409">
            <w:fldChar w:fldCharType="separate"/>
          </w:r>
          <w:hyperlink w:anchor="_Toc439764836" w:history="1">
            <w:r w:rsidR="007612BA" w:rsidRPr="00ED5B0E">
              <w:rPr>
                <w:rStyle w:val="Hyperlink"/>
                <w:noProof/>
              </w:rPr>
              <w:t>A.</w:t>
            </w:r>
            <w:r w:rsidR="007612BA">
              <w:rPr>
                <w:rFonts w:eastAsiaTheme="minorEastAsia"/>
                <w:noProof/>
                <w:lang w:eastAsia="en-GB"/>
              </w:rPr>
              <w:tab/>
            </w:r>
            <w:r w:rsidR="007612BA" w:rsidRPr="00ED5B0E">
              <w:rPr>
                <w:rStyle w:val="Hyperlink"/>
                <w:noProof/>
              </w:rPr>
              <w:t>Countdown to 2015 Policy &amp; Programme Timeline Tool</w:t>
            </w:r>
            <w:r w:rsidR="007612BA">
              <w:rPr>
                <w:noProof/>
                <w:webHidden/>
              </w:rPr>
              <w:tab/>
            </w:r>
            <w:r w:rsidR="007612BA">
              <w:rPr>
                <w:noProof/>
                <w:webHidden/>
              </w:rPr>
              <w:fldChar w:fldCharType="begin"/>
            </w:r>
            <w:r w:rsidR="007612BA">
              <w:rPr>
                <w:noProof/>
                <w:webHidden/>
              </w:rPr>
              <w:instrText xml:space="preserve"> PAGEREF _Toc439764836 \h </w:instrText>
            </w:r>
            <w:r w:rsidR="007612BA">
              <w:rPr>
                <w:noProof/>
                <w:webHidden/>
              </w:rPr>
            </w:r>
            <w:r w:rsidR="007612BA">
              <w:rPr>
                <w:noProof/>
                <w:webHidden/>
              </w:rPr>
              <w:fldChar w:fldCharType="separate"/>
            </w:r>
            <w:r w:rsidR="007612BA">
              <w:rPr>
                <w:noProof/>
                <w:webHidden/>
              </w:rPr>
              <w:t>2</w:t>
            </w:r>
            <w:r w:rsidR="007612BA">
              <w:rPr>
                <w:noProof/>
                <w:webHidden/>
              </w:rPr>
              <w:fldChar w:fldCharType="end"/>
            </w:r>
          </w:hyperlink>
        </w:p>
        <w:p w14:paraId="3C283309" w14:textId="77777777" w:rsidR="007612BA" w:rsidRDefault="00CD2C07">
          <w:pPr>
            <w:pStyle w:val="TOC2"/>
            <w:rPr>
              <w:rFonts w:eastAsiaTheme="minorEastAsia"/>
              <w:noProof/>
              <w:lang w:eastAsia="en-GB"/>
            </w:rPr>
          </w:pPr>
          <w:hyperlink w:anchor="_Toc439764837" w:history="1">
            <w:r w:rsidR="007612BA" w:rsidRPr="00ED5B0E">
              <w:rPr>
                <w:rStyle w:val="Hyperlink"/>
                <w:noProof/>
              </w:rPr>
              <w:t>A.1 Tool</w:t>
            </w:r>
            <w:r w:rsidR="007612BA">
              <w:rPr>
                <w:noProof/>
                <w:webHidden/>
              </w:rPr>
              <w:tab/>
            </w:r>
            <w:r w:rsidR="007612BA">
              <w:rPr>
                <w:noProof/>
                <w:webHidden/>
              </w:rPr>
              <w:fldChar w:fldCharType="begin"/>
            </w:r>
            <w:r w:rsidR="007612BA">
              <w:rPr>
                <w:noProof/>
                <w:webHidden/>
              </w:rPr>
              <w:instrText xml:space="preserve"> PAGEREF _Toc439764837 \h </w:instrText>
            </w:r>
            <w:r w:rsidR="007612BA">
              <w:rPr>
                <w:noProof/>
                <w:webHidden/>
              </w:rPr>
            </w:r>
            <w:r w:rsidR="007612BA">
              <w:rPr>
                <w:noProof/>
                <w:webHidden/>
              </w:rPr>
              <w:fldChar w:fldCharType="separate"/>
            </w:r>
            <w:r w:rsidR="007612BA">
              <w:rPr>
                <w:noProof/>
                <w:webHidden/>
              </w:rPr>
              <w:t>2</w:t>
            </w:r>
            <w:r w:rsidR="007612BA">
              <w:rPr>
                <w:noProof/>
                <w:webHidden/>
              </w:rPr>
              <w:fldChar w:fldCharType="end"/>
            </w:r>
          </w:hyperlink>
        </w:p>
        <w:p w14:paraId="6D3AAA85" w14:textId="77777777" w:rsidR="007612BA" w:rsidRDefault="00CD2C07">
          <w:pPr>
            <w:pStyle w:val="TOC2"/>
            <w:rPr>
              <w:rFonts w:eastAsiaTheme="minorEastAsia"/>
              <w:noProof/>
              <w:lang w:eastAsia="en-GB"/>
            </w:rPr>
          </w:pPr>
          <w:hyperlink w:anchor="_Toc439764838" w:history="1">
            <w:r w:rsidR="007612BA" w:rsidRPr="00ED5B0E">
              <w:rPr>
                <w:rStyle w:val="Hyperlink"/>
                <w:noProof/>
              </w:rPr>
              <w:t>A.2 Protocol</w:t>
            </w:r>
            <w:r w:rsidR="007612BA">
              <w:rPr>
                <w:noProof/>
                <w:webHidden/>
              </w:rPr>
              <w:tab/>
            </w:r>
            <w:r w:rsidR="007612BA">
              <w:rPr>
                <w:noProof/>
                <w:webHidden/>
              </w:rPr>
              <w:fldChar w:fldCharType="begin"/>
            </w:r>
            <w:r w:rsidR="007612BA">
              <w:rPr>
                <w:noProof/>
                <w:webHidden/>
              </w:rPr>
              <w:instrText xml:space="preserve"> PAGEREF _Toc439764838 \h </w:instrText>
            </w:r>
            <w:r w:rsidR="007612BA">
              <w:rPr>
                <w:noProof/>
                <w:webHidden/>
              </w:rPr>
            </w:r>
            <w:r w:rsidR="007612BA">
              <w:rPr>
                <w:noProof/>
                <w:webHidden/>
              </w:rPr>
              <w:fldChar w:fldCharType="separate"/>
            </w:r>
            <w:r w:rsidR="007612BA">
              <w:rPr>
                <w:noProof/>
                <w:webHidden/>
              </w:rPr>
              <w:t>2</w:t>
            </w:r>
            <w:r w:rsidR="007612BA">
              <w:rPr>
                <w:noProof/>
                <w:webHidden/>
              </w:rPr>
              <w:fldChar w:fldCharType="end"/>
            </w:r>
          </w:hyperlink>
        </w:p>
        <w:p w14:paraId="7EACB0BD" w14:textId="77777777" w:rsidR="007612BA" w:rsidRDefault="00CD2C07">
          <w:pPr>
            <w:pStyle w:val="TOC1"/>
            <w:rPr>
              <w:rFonts w:eastAsiaTheme="minorEastAsia"/>
              <w:noProof/>
              <w:lang w:eastAsia="en-GB"/>
            </w:rPr>
          </w:pPr>
          <w:hyperlink w:anchor="_Toc439764839" w:history="1">
            <w:r w:rsidR="007612BA" w:rsidRPr="00ED5B0E">
              <w:rPr>
                <w:rStyle w:val="Hyperlink"/>
                <w:noProof/>
              </w:rPr>
              <w:t>B.  Countdown to 2015 Health Policy Tracer Indicators Dashboard</w:t>
            </w:r>
            <w:r w:rsidR="007612BA">
              <w:rPr>
                <w:noProof/>
                <w:webHidden/>
              </w:rPr>
              <w:tab/>
            </w:r>
            <w:r w:rsidR="007612BA">
              <w:rPr>
                <w:noProof/>
                <w:webHidden/>
              </w:rPr>
              <w:fldChar w:fldCharType="begin"/>
            </w:r>
            <w:r w:rsidR="007612BA">
              <w:rPr>
                <w:noProof/>
                <w:webHidden/>
              </w:rPr>
              <w:instrText xml:space="preserve"> PAGEREF _Toc439764839 \h </w:instrText>
            </w:r>
            <w:r w:rsidR="007612BA">
              <w:rPr>
                <w:noProof/>
                <w:webHidden/>
              </w:rPr>
            </w:r>
            <w:r w:rsidR="007612BA">
              <w:rPr>
                <w:noProof/>
                <w:webHidden/>
              </w:rPr>
              <w:fldChar w:fldCharType="separate"/>
            </w:r>
            <w:r w:rsidR="007612BA">
              <w:rPr>
                <w:noProof/>
                <w:webHidden/>
              </w:rPr>
              <w:t>12</w:t>
            </w:r>
            <w:r w:rsidR="007612BA">
              <w:rPr>
                <w:noProof/>
                <w:webHidden/>
              </w:rPr>
              <w:fldChar w:fldCharType="end"/>
            </w:r>
          </w:hyperlink>
        </w:p>
        <w:p w14:paraId="42054FC0" w14:textId="77777777" w:rsidR="007612BA" w:rsidRDefault="00CD2C07">
          <w:pPr>
            <w:pStyle w:val="TOC2"/>
            <w:rPr>
              <w:rFonts w:eastAsiaTheme="minorEastAsia"/>
              <w:noProof/>
              <w:lang w:eastAsia="en-GB"/>
            </w:rPr>
          </w:pPr>
          <w:hyperlink w:anchor="_Toc439764840" w:history="1">
            <w:r w:rsidR="007612BA" w:rsidRPr="00ED5B0E">
              <w:rPr>
                <w:rStyle w:val="Hyperlink"/>
                <w:noProof/>
              </w:rPr>
              <w:t>B.1 Tool</w:t>
            </w:r>
            <w:r w:rsidR="007612BA">
              <w:rPr>
                <w:noProof/>
                <w:webHidden/>
              </w:rPr>
              <w:tab/>
            </w:r>
            <w:r w:rsidR="007612BA">
              <w:rPr>
                <w:noProof/>
                <w:webHidden/>
              </w:rPr>
              <w:fldChar w:fldCharType="begin"/>
            </w:r>
            <w:r w:rsidR="007612BA">
              <w:rPr>
                <w:noProof/>
                <w:webHidden/>
              </w:rPr>
              <w:instrText xml:space="preserve"> PAGEREF _Toc439764840 \h </w:instrText>
            </w:r>
            <w:r w:rsidR="007612BA">
              <w:rPr>
                <w:noProof/>
                <w:webHidden/>
              </w:rPr>
            </w:r>
            <w:r w:rsidR="007612BA">
              <w:rPr>
                <w:noProof/>
                <w:webHidden/>
              </w:rPr>
              <w:fldChar w:fldCharType="separate"/>
            </w:r>
            <w:r w:rsidR="007612BA">
              <w:rPr>
                <w:noProof/>
                <w:webHidden/>
              </w:rPr>
              <w:t>12</w:t>
            </w:r>
            <w:r w:rsidR="007612BA">
              <w:rPr>
                <w:noProof/>
                <w:webHidden/>
              </w:rPr>
              <w:fldChar w:fldCharType="end"/>
            </w:r>
          </w:hyperlink>
        </w:p>
        <w:p w14:paraId="60D153C9" w14:textId="77777777" w:rsidR="007612BA" w:rsidRDefault="00CD2C07">
          <w:pPr>
            <w:pStyle w:val="TOC2"/>
            <w:rPr>
              <w:rFonts w:eastAsiaTheme="minorEastAsia"/>
              <w:noProof/>
              <w:lang w:eastAsia="en-GB"/>
            </w:rPr>
          </w:pPr>
          <w:hyperlink w:anchor="_Toc439764841" w:history="1">
            <w:r w:rsidR="007612BA" w:rsidRPr="00ED5B0E">
              <w:rPr>
                <w:rStyle w:val="Hyperlink"/>
                <w:noProof/>
              </w:rPr>
              <w:t>B.2 Protocol</w:t>
            </w:r>
            <w:r w:rsidR="007612BA">
              <w:rPr>
                <w:noProof/>
                <w:webHidden/>
              </w:rPr>
              <w:tab/>
            </w:r>
            <w:r w:rsidR="007612BA">
              <w:rPr>
                <w:noProof/>
                <w:webHidden/>
              </w:rPr>
              <w:fldChar w:fldCharType="begin"/>
            </w:r>
            <w:r w:rsidR="007612BA">
              <w:rPr>
                <w:noProof/>
                <w:webHidden/>
              </w:rPr>
              <w:instrText xml:space="preserve"> PAGEREF _Toc439764841 \h </w:instrText>
            </w:r>
            <w:r w:rsidR="007612BA">
              <w:rPr>
                <w:noProof/>
                <w:webHidden/>
              </w:rPr>
            </w:r>
            <w:r w:rsidR="007612BA">
              <w:rPr>
                <w:noProof/>
                <w:webHidden/>
              </w:rPr>
              <w:fldChar w:fldCharType="separate"/>
            </w:r>
            <w:r w:rsidR="007612BA">
              <w:rPr>
                <w:noProof/>
                <w:webHidden/>
              </w:rPr>
              <w:t>12</w:t>
            </w:r>
            <w:r w:rsidR="007612BA">
              <w:rPr>
                <w:noProof/>
                <w:webHidden/>
              </w:rPr>
              <w:fldChar w:fldCharType="end"/>
            </w:r>
          </w:hyperlink>
        </w:p>
        <w:p w14:paraId="59883A75" w14:textId="77777777" w:rsidR="007612BA" w:rsidRDefault="00CD2C07">
          <w:pPr>
            <w:pStyle w:val="TOC1"/>
            <w:rPr>
              <w:rFonts w:eastAsiaTheme="minorEastAsia"/>
              <w:noProof/>
              <w:lang w:eastAsia="en-GB"/>
            </w:rPr>
          </w:pPr>
          <w:hyperlink w:anchor="_Toc439764842" w:history="1">
            <w:r w:rsidR="007612BA" w:rsidRPr="00ED5B0E">
              <w:rPr>
                <w:rStyle w:val="Hyperlink"/>
                <w:noProof/>
              </w:rPr>
              <w:t>C.  Countdown to 2015 Health Systems Tracer Indicators Dashboard</w:t>
            </w:r>
            <w:r w:rsidR="007612BA">
              <w:rPr>
                <w:noProof/>
                <w:webHidden/>
              </w:rPr>
              <w:tab/>
            </w:r>
            <w:r w:rsidR="007612BA">
              <w:rPr>
                <w:noProof/>
                <w:webHidden/>
              </w:rPr>
              <w:fldChar w:fldCharType="begin"/>
            </w:r>
            <w:r w:rsidR="007612BA">
              <w:rPr>
                <w:noProof/>
                <w:webHidden/>
              </w:rPr>
              <w:instrText xml:space="preserve"> PAGEREF _Toc439764842 \h </w:instrText>
            </w:r>
            <w:r w:rsidR="007612BA">
              <w:rPr>
                <w:noProof/>
                <w:webHidden/>
              </w:rPr>
            </w:r>
            <w:r w:rsidR="007612BA">
              <w:rPr>
                <w:noProof/>
                <w:webHidden/>
              </w:rPr>
              <w:fldChar w:fldCharType="separate"/>
            </w:r>
            <w:r w:rsidR="007612BA">
              <w:rPr>
                <w:noProof/>
                <w:webHidden/>
              </w:rPr>
              <w:t>14</w:t>
            </w:r>
            <w:r w:rsidR="007612BA">
              <w:rPr>
                <w:noProof/>
                <w:webHidden/>
              </w:rPr>
              <w:fldChar w:fldCharType="end"/>
            </w:r>
          </w:hyperlink>
        </w:p>
        <w:p w14:paraId="5A377EAF" w14:textId="77777777" w:rsidR="007612BA" w:rsidRDefault="00CD2C07">
          <w:pPr>
            <w:pStyle w:val="TOC2"/>
            <w:rPr>
              <w:rFonts w:eastAsiaTheme="minorEastAsia"/>
              <w:noProof/>
              <w:lang w:eastAsia="en-GB"/>
            </w:rPr>
          </w:pPr>
          <w:hyperlink w:anchor="_Toc439764843" w:history="1">
            <w:r w:rsidR="007612BA" w:rsidRPr="00ED5B0E">
              <w:rPr>
                <w:rStyle w:val="Hyperlink"/>
                <w:noProof/>
              </w:rPr>
              <w:t>C.1 Tool</w:t>
            </w:r>
            <w:r w:rsidR="007612BA">
              <w:rPr>
                <w:noProof/>
                <w:webHidden/>
              </w:rPr>
              <w:tab/>
            </w:r>
            <w:r w:rsidR="007612BA">
              <w:rPr>
                <w:noProof/>
                <w:webHidden/>
              </w:rPr>
              <w:fldChar w:fldCharType="begin"/>
            </w:r>
            <w:r w:rsidR="007612BA">
              <w:rPr>
                <w:noProof/>
                <w:webHidden/>
              </w:rPr>
              <w:instrText xml:space="preserve"> PAGEREF _Toc439764843 \h </w:instrText>
            </w:r>
            <w:r w:rsidR="007612BA">
              <w:rPr>
                <w:noProof/>
                <w:webHidden/>
              </w:rPr>
            </w:r>
            <w:r w:rsidR="007612BA">
              <w:rPr>
                <w:noProof/>
                <w:webHidden/>
              </w:rPr>
              <w:fldChar w:fldCharType="separate"/>
            </w:r>
            <w:r w:rsidR="007612BA">
              <w:rPr>
                <w:noProof/>
                <w:webHidden/>
              </w:rPr>
              <w:t>14</w:t>
            </w:r>
            <w:r w:rsidR="007612BA">
              <w:rPr>
                <w:noProof/>
                <w:webHidden/>
              </w:rPr>
              <w:fldChar w:fldCharType="end"/>
            </w:r>
          </w:hyperlink>
        </w:p>
        <w:p w14:paraId="1E03D3CC" w14:textId="77777777" w:rsidR="007612BA" w:rsidRDefault="00CD2C07">
          <w:pPr>
            <w:pStyle w:val="TOC2"/>
            <w:rPr>
              <w:rFonts w:eastAsiaTheme="minorEastAsia"/>
              <w:noProof/>
              <w:lang w:eastAsia="en-GB"/>
            </w:rPr>
          </w:pPr>
          <w:hyperlink w:anchor="_Toc439764844" w:history="1">
            <w:r w:rsidR="007612BA" w:rsidRPr="00ED5B0E">
              <w:rPr>
                <w:rStyle w:val="Hyperlink"/>
                <w:noProof/>
              </w:rPr>
              <w:t>C.2 Protocol</w:t>
            </w:r>
            <w:r w:rsidR="007612BA">
              <w:rPr>
                <w:noProof/>
                <w:webHidden/>
              </w:rPr>
              <w:tab/>
            </w:r>
            <w:r w:rsidR="007612BA">
              <w:rPr>
                <w:noProof/>
                <w:webHidden/>
              </w:rPr>
              <w:fldChar w:fldCharType="begin"/>
            </w:r>
            <w:r w:rsidR="007612BA">
              <w:rPr>
                <w:noProof/>
                <w:webHidden/>
              </w:rPr>
              <w:instrText xml:space="preserve"> PAGEREF _Toc439764844 \h </w:instrText>
            </w:r>
            <w:r w:rsidR="007612BA">
              <w:rPr>
                <w:noProof/>
                <w:webHidden/>
              </w:rPr>
            </w:r>
            <w:r w:rsidR="007612BA">
              <w:rPr>
                <w:noProof/>
                <w:webHidden/>
              </w:rPr>
              <w:fldChar w:fldCharType="separate"/>
            </w:r>
            <w:r w:rsidR="007612BA">
              <w:rPr>
                <w:noProof/>
                <w:webHidden/>
              </w:rPr>
              <w:t>14</w:t>
            </w:r>
            <w:r w:rsidR="007612BA">
              <w:rPr>
                <w:noProof/>
                <w:webHidden/>
              </w:rPr>
              <w:fldChar w:fldCharType="end"/>
            </w:r>
          </w:hyperlink>
        </w:p>
        <w:p w14:paraId="13E0F2E2" w14:textId="74AC7A27" w:rsidR="007612BA" w:rsidRDefault="00CD2C07">
          <w:pPr>
            <w:pStyle w:val="TOC1"/>
            <w:rPr>
              <w:rFonts w:eastAsiaTheme="minorEastAsia"/>
              <w:noProof/>
              <w:lang w:eastAsia="en-GB"/>
            </w:rPr>
          </w:pPr>
          <w:hyperlink w:anchor="_Toc439764845" w:history="1">
            <w:r w:rsidR="007612BA" w:rsidRPr="00ED5B0E">
              <w:rPr>
                <w:rStyle w:val="Hyperlink"/>
                <w:noProof/>
              </w:rPr>
              <w:t>D.  Countdown to 2015 health system</w:t>
            </w:r>
            <w:r w:rsidR="007612BA">
              <w:rPr>
                <w:rStyle w:val="Hyperlink"/>
                <w:noProof/>
              </w:rPr>
              <w:t xml:space="preserve"> and policy tracer indicators: D</w:t>
            </w:r>
            <w:r w:rsidR="007612BA" w:rsidRPr="00ED5B0E">
              <w:rPr>
                <w:rStyle w:val="Hyperlink"/>
                <w:noProof/>
              </w:rPr>
              <w:t>efinitions and data sources</w:t>
            </w:r>
            <w:r w:rsidR="007612BA">
              <w:rPr>
                <w:noProof/>
                <w:webHidden/>
              </w:rPr>
              <w:tab/>
            </w:r>
            <w:r w:rsidR="007612BA">
              <w:rPr>
                <w:noProof/>
                <w:webHidden/>
              </w:rPr>
              <w:fldChar w:fldCharType="begin"/>
            </w:r>
            <w:r w:rsidR="007612BA">
              <w:rPr>
                <w:noProof/>
                <w:webHidden/>
              </w:rPr>
              <w:instrText xml:space="preserve"> PAGEREF _Toc439764845 \h </w:instrText>
            </w:r>
            <w:r w:rsidR="007612BA">
              <w:rPr>
                <w:noProof/>
                <w:webHidden/>
              </w:rPr>
            </w:r>
            <w:r w:rsidR="007612BA">
              <w:rPr>
                <w:noProof/>
                <w:webHidden/>
              </w:rPr>
              <w:fldChar w:fldCharType="separate"/>
            </w:r>
            <w:r w:rsidR="007612BA">
              <w:rPr>
                <w:noProof/>
                <w:webHidden/>
              </w:rPr>
              <w:t>16</w:t>
            </w:r>
            <w:r w:rsidR="007612BA">
              <w:rPr>
                <w:noProof/>
                <w:webHidden/>
              </w:rPr>
              <w:fldChar w:fldCharType="end"/>
            </w:r>
          </w:hyperlink>
        </w:p>
        <w:p w14:paraId="64E0C9D3" w14:textId="77777777" w:rsidR="00D810C4" w:rsidRPr="00CC6409" w:rsidRDefault="00EE522B" w:rsidP="00CF4BC5">
          <w:pPr>
            <w:tabs>
              <w:tab w:val="left" w:pos="1050"/>
            </w:tabs>
            <w:spacing w:line="276" w:lineRule="auto"/>
            <w:rPr>
              <w:bCs/>
              <w:noProof/>
            </w:rPr>
          </w:pPr>
          <w:r w:rsidRPr="00CC6409">
            <w:rPr>
              <w:b/>
              <w:bCs/>
              <w:noProof/>
            </w:rPr>
            <w:fldChar w:fldCharType="end"/>
          </w:r>
        </w:p>
        <w:p w14:paraId="1EAB952C" w14:textId="77777777" w:rsidR="008F536D" w:rsidRPr="00CC6409" w:rsidRDefault="00D2534E" w:rsidP="00CF4BC5">
          <w:pPr>
            <w:spacing w:line="276" w:lineRule="auto"/>
          </w:pPr>
          <w:r w:rsidRPr="00CC6409">
            <w:rPr>
              <w:bCs/>
              <w:noProof/>
            </w:rPr>
            <w:t xml:space="preserve">      </w:t>
          </w:r>
        </w:p>
        <w:p w14:paraId="37867394" w14:textId="77777777" w:rsidR="00F031D5" w:rsidRPr="00CC6409" w:rsidRDefault="00CD2C07" w:rsidP="00CF4BC5">
          <w:pPr>
            <w:spacing w:line="276" w:lineRule="auto"/>
          </w:pPr>
        </w:p>
      </w:sdtContent>
    </w:sdt>
    <w:p w14:paraId="3C0CD041" w14:textId="77777777" w:rsidR="00F031D5" w:rsidRPr="00CC6409" w:rsidRDefault="00F031D5" w:rsidP="00CF4BC5">
      <w:pPr>
        <w:spacing w:after="160" w:line="276" w:lineRule="auto"/>
      </w:pPr>
      <w:r w:rsidRPr="00CC6409">
        <w:br w:type="page"/>
      </w:r>
    </w:p>
    <w:p w14:paraId="529E1F22" w14:textId="01A01681" w:rsidR="00F031D5" w:rsidRPr="00CC6409" w:rsidRDefault="00E21989" w:rsidP="00CF4BC5">
      <w:pPr>
        <w:pStyle w:val="Heading1"/>
        <w:numPr>
          <w:ilvl w:val="0"/>
          <w:numId w:val="1"/>
        </w:numPr>
        <w:spacing w:before="0"/>
      </w:pPr>
      <w:bookmarkStart w:id="0" w:name="_Toc439764836"/>
      <w:r>
        <w:lastRenderedPageBreak/>
        <w:t xml:space="preserve">Countdown to 2015 </w:t>
      </w:r>
      <w:r w:rsidR="00493B45">
        <w:t>Policy &amp; Programme Timeline Tool</w:t>
      </w:r>
      <w:bookmarkEnd w:id="0"/>
    </w:p>
    <w:p w14:paraId="5445EC5A" w14:textId="2CD48214" w:rsidR="00493B45" w:rsidRPr="007612BA" w:rsidRDefault="00493B45" w:rsidP="007612BA">
      <w:pPr>
        <w:pStyle w:val="Heading2"/>
      </w:pPr>
      <w:bookmarkStart w:id="1" w:name="_Toc439764837"/>
      <w:r w:rsidRPr="007612BA">
        <w:t>A.1 Tool</w:t>
      </w:r>
      <w:bookmarkEnd w:id="1"/>
    </w:p>
    <w:p w14:paraId="29263CDB" w14:textId="77777777" w:rsidR="00143FAE" w:rsidRDefault="00143FAE" w:rsidP="00143FAE">
      <w:pPr>
        <w:rPr>
          <w:lang w:val="en-GB"/>
        </w:rPr>
      </w:pPr>
    </w:p>
    <w:p w14:paraId="3AF963FE" w14:textId="7F8C3F51" w:rsidR="00143FAE" w:rsidRPr="00143FAE" w:rsidRDefault="00DF7512" w:rsidP="00143FAE">
      <w:pPr>
        <w:rPr>
          <w:lang w:val="en-GB"/>
        </w:rPr>
      </w:pPr>
      <w:r>
        <w:rPr>
          <w:lang w:val="en-GB"/>
        </w:rPr>
        <w:t>See Additional file 2.</w:t>
      </w:r>
    </w:p>
    <w:p w14:paraId="5CF6FA56" w14:textId="0746D327" w:rsidR="00493B45" w:rsidRDefault="00493B45" w:rsidP="007612BA">
      <w:pPr>
        <w:pStyle w:val="Heading2"/>
      </w:pPr>
      <w:bookmarkStart w:id="2" w:name="_Toc439764838"/>
      <w:r>
        <w:t>A.2 Protocol</w:t>
      </w:r>
      <w:bookmarkEnd w:id="2"/>
    </w:p>
    <w:p w14:paraId="0A84D225" w14:textId="77777777" w:rsidR="009A51AC" w:rsidRPr="000D5184" w:rsidRDefault="009A51AC" w:rsidP="000D5184">
      <w:pPr>
        <w:jc w:val="center"/>
        <w:rPr>
          <w:b/>
          <w:caps/>
          <w:sz w:val="28"/>
          <w:szCs w:val="28"/>
          <w:lang w:val="en-GB"/>
        </w:rPr>
      </w:pPr>
      <w:r w:rsidRPr="000D5184">
        <w:rPr>
          <w:b/>
          <w:caps/>
          <w:sz w:val="28"/>
          <w:szCs w:val="28"/>
          <w:lang w:val="en-GB"/>
        </w:rPr>
        <w:t>Countdown to 2015:</w:t>
      </w:r>
    </w:p>
    <w:p w14:paraId="247E7E5B" w14:textId="77777777" w:rsidR="009A51AC" w:rsidRPr="000D5184" w:rsidRDefault="009A51AC" w:rsidP="000D5184">
      <w:pPr>
        <w:jc w:val="center"/>
        <w:rPr>
          <w:b/>
          <w:caps/>
          <w:sz w:val="28"/>
          <w:szCs w:val="28"/>
          <w:lang w:val="en-GB"/>
        </w:rPr>
      </w:pPr>
      <w:r w:rsidRPr="000D5184">
        <w:rPr>
          <w:b/>
          <w:caps/>
          <w:sz w:val="28"/>
          <w:szCs w:val="28"/>
          <w:lang w:val="en-GB"/>
        </w:rPr>
        <w:t>Policy and ProgramME Timeline Tool protocol</w:t>
      </w:r>
    </w:p>
    <w:p w14:paraId="23C22348" w14:textId="77777777" w:rsidR="009A51AC" w:rsidRPr="009A51AC" w:rsidRDefault="009A51AC" w:rsidP="009A51AC">
      <w:pPr>
        <w:contextualSpacing/>
        <w:jc w:val="center"/>
        <w:rPr>
          <w:rFonts w:ascii="Calibri" w:hAnsi="Calibri" w:cs="Calibri"/>
          <w:color w:val="000000"/>
          <w:sz w:val="24"/>
          <w:lang w:val="en-GB" w:eastAsia="en-GB"/>
        </w:rPr>
      </w:pPr>
      <w:r w:rsidRPr="009A51AC">
        <w:rPr>
          <w:rFonts w:ascii="Calibri" w:hAnsi="Calibri" w:cs="Calibri"/>
          <w:color w:val="000000"/>
          <w:sz w:val="24"/>
          <w:lang w:val="en-GB" w:eastAsia="en-GB"/>
        </w:rPr>
        <w:t>“Big Picture” of National Policy Change for</w:t>
      </w:r>
    </w:p>
    <w:p w14:paraId="69D039CD" w14:textId="77777777" w:rsidR="009A51AC" w:rsidRPr="009A51AC" w:rsidRDefault="009A51AC" w:rsidP="009A51AC">
      <w:pPr>
        <w:contextualSpacing/>
        <w:jc w:val="center"/>
        <w:rPr>
          <w:rFonts w:ascii="Calibri" w:hAnsi="Calibri" w:cs="Calibri"/>
          <w:color w:val="000000"/>
          <w:sz w:val="24"/>
          <w:lang w:val="en-GB" w:eastAsia="en-GB"/>
        </w:rPr>
      </w:pPr>
      <w:r w:rsidRPr="009A51AC">
        <w:rPr>
          <w:rFonts w:ascii="Calibri" w:hAnsi="Calibri" w:cs="Calibri"/>
          <w:color w:val="000000"/>
          <w:sz w:val="24"/>
          <w:lang w:val="en-GB" w:eastAsia="en-GB"/>
        </w:rPr>
        <w:t xml:space="preserve">Reproductive, Maternal, Newborn and Child Health </w:t>
      </w:r>
    </w:p>
    <w:p w14:paraId="74465399" w14:textId="77777777" w:rsidR="009A51AC" w:rsidRPr="009A51AC" w:rsidRDefault="009A51AC" w:rsidP="009A51AC">
      <w:pPr>
        <w:contextualSpacing/>
        <w:jc w:val="center"/>
        <w:rPr>
          <w:rFonts w:ascii="Calibri" w:hAnsi="Calibri" w:cs="Calibri"/>
          <w:color w:val="000000"/>
          <w:sz w:val="24"/>
          <w:lang w:val="en-GB" w:eastAsia="en-GB"/>
        </w:rPr>
      </w:pPr>
      <w:r w:rsidRPr="009A51AC">
        <w:rPr>
          <w:rFonts w:ascii="Calibri" w:hAnsi="Calibri" w:cs="Calibri"/>
          <w:color w:val="000000"/>
          <w:sz w:val="24"/>
          <w:lang w:val="en-GB" w:eastAsia="en-GB"/>
        </w:rPr>
        <w:t>“Telling the Story”</w:t>
      </w:r>
    </w:p>
    <w:p w14:paraId="6D7470E7"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______________________________________________________________________________</w:t>
      </w:r>
    </w:p>
    <w:p w14:paraId="271C4129" w14:textId="158D7BE8" w:rsidR="009A51AC" w:rsidRPr="000D5184" w:rsidRDefault="009A51AC" w:rsidP="000D5184">
      <w:pPr>
        <w:rPr>
          <w:b/>
          <w:sz w:val="28"/>
          <w:szCs w:val="28"/>
          <w:lang w:val="en-GB"/>
        </w:rPr>
      </w:pPr>
      <w:r w:rsidRPr="000D5184">
        <w:rPr>
          <w:b/>
          <w:sz w:val="28"/>
          <w:szCs w:val="28"/>
          <w:lang w:val="en-GB"/>
        </w:rPr>
        <w:t>Aim of the Countdown to 2015 (</w:t>
      </w:r>
      <w:r w:rsidR="00487256">
        <w:rPr>
          <w:b/>
          <w:sz w:val="28"/>
          <w:szCs w:val="28"/>
          <w:lang w:val="en-GB"/>
        </w:rPr>
        <w:t>CD</w:t>
      </w:r>
      <w:r w:rsidRPr="000D5184">
        <w:rPr>
          <w:b/>
          <w:sz w:val="28"/>
          <w:szCs w:val="28"/>
          <w:lang w:val="en-GB"/>
        </w:rPr>
        <w:t xml:space="preserve">) Health System and Policy (HSP) Analysis </w:t>
      </w:r>
    </w:p>
    <w:p w14:paraId="01FC8376" w14:textId="25C17F21"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The </w:t>
      </w:r>
      <w:r w:rsidR="00487256">
        <w:rPr>
          <w:rFonts w:ascii="Calibri" w:hAnsi="Calibri" w:cs="Calibri"/>
          <w:color w:val="000000"/>
          <w:szCs w:val="22"/>
          <w:lang w:val="en-GB" w:eastAsia="en-GB"/>
        </w:rPr>
        <w:t>CD</w:t>
      </w:r>
      <w:r w:rsidRPr="009A51AC">
        <w:rPr>
          <w:rFonts w:ascii="Calibri" w:hAnsi="Calibri" w:cs="Calibri"/>
          <w:color w:val="000000"/>
          <w:szCs w:val="22"/>
          <w:lang w:val="en-GB" w:eastAsia="en-GB"/>
        </w:rPr>
        <w:t xml:space="preserve"> Policy and Programme Timeline Tool will be used will be used in conjunction with the health policy and systems tracer indicator dashboard tools as part of the qualitative analysis for </w:t>
      </w:r>
      <w:r w:rsidR="00487256">
        <w:rPr>
          <w:rFonts w:ascii="Calibri" w:hAnsi="Calibri" w:cs="Calibri"/>
          <w:color w:val="000000"/>
          <w:szCs w:val="22"/>
          <w:lang w:val="en-GB" w:eastAsia="en-GB"/>
        </w:rPr>
        <w:t>CD</w:t>
      </w:r>
      <w:r w:rsidRPr="009A51AC">
        <w:rPr>
          <w:rFonts w:ascii="Calibri" w:hAnsi="Calibri" w:cs="Calibri"/>
          <w:color w:val="000000"/>
          <w:szCs w:val="22"/>
          <w:lang w:val="en-GB" w:eastAsia="en-GB"/>
        </w:rPr>
        <w:t xml:space="preserve"> Country Case Studies. The Countdown Policy and Program Timeline Tool will provide an overall view of health policies and programs of a country by examining changes in Reproductive, Maternal, Newborn and Child Health (RMNCH) policy, programmes, and implementation from 1990 to the current year. Country teams conducting </w:t>
      </w:r>
      <w:r w:rsidR="00487256">
        <w:rPr>
          <w:rFonts w:ascii="Calibri" w:hAnsi="Calibri" w:cs="Calibri"/>
          <w:color w:val="000000"/>
          <w:szCs w:val="22"/>
          <w:lang w:val="en-GB" w:eastAsia="en-GB"/>
        </w:rPr>
        <w:t>CD</w:t>
      </w:r>
      <w:r w:rsidRPr="009A51AC">
        <w:rPr>
          <w:rFonts w:ascii="Calibri" w:hAnsi="Calibri" w:cs="Calibri"/>
          <w:color w:val="000000"/>
          <w:szCs w:val="22"/>
          <w:lang w:val="en-GB" w:eastAsia="en-GB"/>
        </w:rPr>
        <w:t xml:space="preserve"> Country Case Studies will draft the initial timeline, which will then be reviewed by stakeholders in country in order to build consensus on the documentation of change in RMNCH. Once finalised, the timeline will be synthesised and used for country-specific analyses as well as for comparison across the </w:t>
      </w:r>
      <w:r w:rsidR="00487256">
        <w:rPr>
          <w:rFonts w:ascii="Calibri" w:hAnsi="Calibri" w:cs="Calibri"/>
          <w:color w:val="000000"/>
          <w:szCs w:val="22"/>
          <w:lang w:val="en-GB" w:eastAsia="en-GB"/>
        </w:rPr>
        <w:t>CD</w:t>
      </w:r>
      <w:r w:rsidRPr="009A51AC">
        <w:rPr>
          <w:rFonts w:ascii="Calibri" w:hAnsi="Calibri" w:cs="Calibri"/>
          <w:color w:val="000000"/>
          <w:szCs w:val="22"/>
          <w:lang w:val="en-GB" w:eastAsia="en-GB"/>
        </w:rPr>
        <w:t xml:space="preserve"> Country Case Studies. </w:t>
      </w:r>
    </w:p>
    <w:p w14:paraId="4F4BF6DF" w14:textId="77777777" w:rsidR="009A51AC" w:rsidRPr="009A51AC" w:rsidRDefault="009A51AC" w:rsidP="009A51AC">
      <w:pPr>
        <w:contextualSpacing/>
        <w:rPr>
          <w:rFonts w:ascii="Calibri" w:hAnsi="Calibri" w:cs="Calibri"/>
          <w:color w:val="000000"/>
          <w:szCs w:val="22"/>
          <w:lang w:val="en-GB" w:eastAsia="en-GB"/>
        </w:rPr>
      </w:pPr>
    </w:p>
    <w:p w14:paraId="304A9AE9" w14:textId="65A2FBD0"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The general aim of the Policy &amp; Programme Timeline Tool is to understand through a standardised process with standardised content, what HSP factors have contributed to change (or the lack thereof) in RMNCH in each of the countries conducting a </w:t>
      </w:r>
      <w:r w:rsidR="00487256">
        <w:rPr>
          <w:rFonts w:ascii="Calibri" w:hAnsi="Calibri" w:cs="Calibri"/>
          <w:color w:val="000000"/>
          <w:szCs w:val="22"/>
          <w:lang w:val="en-GB" w:eastAsia="en-GB"/>
        </w:rPr>
        <w:t>CD</w:t>
      </w:r>
      <w:r w:rsidRPr="009A51AC">
        <w:rPr>
          <w:rFonts w:ascii="Calibri" w:hAnsi="Calibri" w:cs="Calibri"/>
          <w:color w:val="000000"/>
          <w:szCs w:val="22"/>
          <w:lang w:val="en-GB" w:eastAsia="en-GB"/>
        </w:rPr>
        <w:t xml:space="preserve"> Country Case Studies.</w:t>
      </w:r>
    </w:p>
    <w:p w14:paraId="3925BB94" w14:textId="77777777" w:rsidR="009A51AC" w:rsidRPr="009A51AC" w:rsidRDefault="009A51AC" w:rsidP="009A51AC">
      <w:pPr>
        <w:contextualSpacing/>
        <w:rPr>
          <w:rFonts w:ascii="Calibri" w:hAnsi="Calibri" w:cs="Calibri"/>
          <w:color w:val="000000"/>
          <w:szCs w:val="22"/>
          <w:lang w:val="en-GB" w:eastAsia="en-GB"/>
        </w:rPr>
      </w:pPr>
    </w:p>
    <w:p w14:paraId="7799FBEC" w14:textId="3216C034" w:rsidR="009A51AC" w:rsidRPr="009A51AC" w:rsidRDefault="00487256" w:rsidP="009A51AC">
      <w:pPr>
        <w:contextualSpacing/>
        <w:rPr>
          <w:rFonts w:ascii="Calibri Light" w:hAnsi="Calibri Light" w:cs="Calibri Light"/>
          <w:color w:val="000000"/>
          <w:szCs w:val="22"/>
          <w:lang w:val="en-GB" w:eastAsia="en-GB"/>
        </w:rPr>
      </w:pPr>
      <w:r>
        <w:rPr>
          <w:rFonts w:ascii="Calibri" w:hAnsi="Calibri" w:cs="Calibri"/>
          <w:color w:val="000000"/>
          <w:szCs w:val="22"/>
          <w:lang w:val="en-GB" w:eastAsia="en-GB"/>
        </w:rPr>
        <w:t>CD</w:t>
      </w:r>
      <w:r w:rsidR="009A51AC" w:rsidRPr="009A51AC">
        <w:rPr>
          <w:rFonts w:ascii="Calibri" w:hAnsi="Calibri" w:cs="Calibri"/>
          <w:color w:val="000000"/>
          <w:szCs w:val="22"/>
          <w:lang w:val="en-GB" w:eastAsia="en-GB"/>
        </w:rPr>
        <w:t xml:space="preserve"> aims to use the policy heuristics of (</w:t>
      </w:r>
      <w:proofErr w:type="spellStart"/>
      <w:r w:rsidR="009A51AC" w:rsidRPr="009A51AC">
        <w:rPr>
          <w:rFonts w:ascii="Calibri" w:hAnsi="Calibri" w:cs="Calibri"/>
          <w:color w:val="000000"/>
          <w:szCs w:val="22"/>
          <w:lang w:val="en-GB" w:eastAsia="en-GB"/>
        </w:rPr>
        <w:t>i</w:t>
      </w:r>
      <w:proofErr w:type="spellEnd"/>
      <w:r w:rsidR="009A51AC" w:rsidRPr="009A51AC">
        <w:rPr>
          <w:rFonts w:ascii="Calibri" w:hAnsi="Calibri" w:cs="Calibri"/>
          <w:color w:val="000000"/>
          <w:szCs w:val="22"/>
          <w:lang w:val="en-GB" w:eastAsia="en-GB"/>
        </w:rPr>
        <w:t>) agenda setting; (ii) policy formulation; (iii) policy implementation; and (iv) policy evaluation as guiding principles in the development and analysis of all health policy and systems tools. The Policy &amp; Programme Timeline Tool focuses on the agenda setting component of the heuristic.</w:t>
      </w:r>
    </w:p>
    <w:p w14:paraId="696280CC" w14:textId="77777777" w:rsidR="009A51AC" w:rsidRPr="009A51AC" w:rsidRDefault="009A51AC" w:rsidP="009A51AC">
      <w:pPr>
        <w:contextualSpacing/>
        <w:rPr>
          <w:rFonts w:ascii="Calibri" w:hAnsi="Calibri" w:cs="Calibri"/>
          <w:color w:val="000000"/>
          <w:szCs w:val="22"/>
          <w:lang w:val="en-GB" w:eastAsia="en-GB"/>
        </w:rPr>
      </w:pPr>
    </w:p>
    <w:p w14:paraId="02F3F9E4" w14:textId="0911DEEC" w:rsidR="009A51AC" w:rsidRPr="000D5184" w:rsidRDefault="009A51AC" w:rsidP="000D5184">
      <w:pPr>
        <w:rPr>
          <w:b/>
          <w:sz w:val="28"/>
          <w:szCs w:val="28"/>
          <w:lang w:val="en-GB"/>
        </w:rPr>
      </w:pPr>
      <w:r w:rsidRPr="000D5184">
        <w:rPr>
          <w:b/>
          <w:sz w:val="28"/>
          <w:szCs w:val="28"/>
          <w:lang w:val="en-GB"/>
        </w:rPr>
        <w:t xml:space="preserve">Objectives: </w:t>
      </w:r>
      <w:r w:rsidR="00487256">
        <w:rPr>
          <w:b/>
          <w:sz w:val="28"/>
          <w:szCs w:val="28"/>
          <w:lang w:val="en-GB"/>
        </w:rPr>
        <w:t>CD</w:t>
      </w:r>
      <w:r w:rsidRPr="000D5184">
        <w:rPr>
          <w:b/>
          <w:sz w:val="28"/>
          <w:szCs w:val="28"/>
          <w:lang w:val="en-GB"/>
        </w:rPr>
        <w:t xml:space="preserve"> Policy and Program Timeline Tool</w:t>
      </w:r>
    </w:p>
    <w:p w14:paraId="64C642E5" w14:textId="77777777" w:rsidR="009A51AC" w:rsidRPr="009A51AC" w:rsidRDefault="009A51AC" w:rsidP="009A51AC">
      <w:pPr>
        <w:contextualSpacing/>
        <w:rPr>
          <w:rFonts w:ascii="Calibri" w:hAnsi="Calibri" w:cs="Calibri"/>
          <w:color w:val="000000"/>
          <w:szCs w:val="22"/>
          <w:lang w:val="en-GB" w:eastAsia="en-GB"/>
        </w:rPr>
      </w:pPr>
    </w:p>
    <w:p w14:paraId="25012556" w14:textId="77777777" w:rsidR="009A51AC" w:rsidRPr="009A51AC" w:rsidRDefault="009A51AC" w:rsidP="009A51AC">
      <w:pPr>
        <w:numPr>
          <w:ilvl w:val="0"/>
          <w:numId w:val="20"/>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To use a chronological timeline to build consensus with country RMNCH partners (e.g. government, NGOs, UN agencies), and document and analyse what policies, programmes, and implementation strategies, pivotal moments, windows of opportunity have changed for RMNCH from 1990 to the current year. </w:t>
      </w:r>
    </w:p>
    <w:p w14:paraId="38020C11" w14:textId="77777777" w:rsidR="009A51AC" w:rsidRPr="009A51AC" w:rsidRDefault="009A51AC" w:rsidP="009A51AC">
      <w:pPr>
        <w:ind w:left="720"/>
        <w:contextualSpacing/>
        <w:rPr>
          <w:rFonts w:ascii="Calibri" w:hAnsi="Calibri" w:cs="Calibri"/>
          <w:color w:val="000000"/>
          <w:szCs w:val="22"/>
          <w:lang w:val="en-GB" w:eastAsia="en-GB"/>
        </w:rPr>
      </w:pPr>
    </w:p>
    <w:p w14:paraId="4195A804" w14:textId="77777777" w:rsidR="009A51AC" w:rsidRPr="009A51AC" w:rsidRDefault="009A51AC" w:rsidP="009A51AC">
      <w:pPr>
        <w:numPr>
          <w:ilvl w:val="0"/>
          <w:numId w:val="20"/>
        </w:numPr>
        <w:contextualSpacing/>
        <w:jc w:val="left"/>
        <w:rPr>
          <w:rFonts w:ascii="Calibri" w:hAnsi="Calibri" w:cs="Calibri"/>
          <w:b/>
          <w:color w:val="000000"/>
          <w:szCs w:val="22"/>
          <w:lang w:val="en-GB" w:eastAsia="en-GB"/>
        </w:rPr>
      </w:pPr>
      <w:r w:rsidRPr="009A51AC">
        <w:rPr>
          <w:rFonts w:ascii="Calibri" w:hAnsi="Calibri" w:cs="Calibri"/>
          <w:color w:val="000000"/>
          <w:szCs w:val="22"/>
          <w:lang w:val="en-GB" w:eastAsia="en-GB"/>
        </w:rPr>
        <w:t xml:space="preserve">To assess which inputs may have contributed to change in coverage and impact indicators from 1990 to the current year, and to identify important themes and stories of change and future gaps. </w:t>
      </w:r>
    </w:p>
    <w:p w14:paraId="255B7201" w14:textId="77777777" w:rsidR="009A51AC" w:rsidRPr="009A51AC" w:rsidRDefault="009A51AC" w:rsidP="009A51AC">
      <w:pPr>
        <w:contextualSpacing/>
        <w:rPr>
          <w:rFonts w:ascii="Calibri" w:hAnsi="Calibri" w:cs="Calibri"/>
          <w:color w:val="000000"/>
          <w:szCs w:val="22"/>
          <w:lang w:val="en-GB" w:eastAsia="en-GB"/>
        </w:rPr>
      </w:pPr>
    </w:p>
    <w:p w14:paraId="40314DF4" w14:textId="77777777" w:rsidR="009A51AC" w:rsidRPr="009A51AC" w:rsidRDefault="009A51AC" w:rsidP="009A51AC">
      <w:pPr>
        <w:numPr>
          <w:ilvl w:val="0"/>
          <w:numId w:val="20"/>
        </w:numPr>
        <w:contextualSpacing/>
        <w:jc w:val="left"/>
        <w:rPr>
          <w:rFonts w:ascii="Calibri" w:hAnsi="Calibri" w:cs="Calibri"/>
          <w:b/>
          <w:color w:val="000000"/>
          <w:szCs w:val="22"/>
          <w:lang w:val="en-GB" w:eastAsia="en-GB"/>
        </w:rPr>
      </w:pPr>
      <w:r w:rsidRPr="009A51AC">
        <w:rPr>
          <w:rFonts w:ascii="Calibri" w:hAnsi="Calibri" w:cs="Calibri"/>
          <w:color w:val="000000"/>
          <w:szCs w:val="22"/>
          <w:lang w:val="en-GB" w:eastAsia="en-GB"/>
        </w:rPr>
        <w:t>To assess the most important policy and program inputs for RMNCH and better understand how change occurred. If no change has occurred in coverage and impact indicators, the objective is to identify possible barriers or reasons for no change.</w:t>
      </w:r>
    </w:p>
    <w:p w14:paraId="3E886F52" w14:textId="77777777" w:rsidR="009A51AC" w:rsidRPr="009A51AC" w:rsidRDefault="009A51AC" w:rsidP="009A51AC">
      <w:pPr>
        <w:contextualSpacing/>
        <w:rPr>
          <w:rFonts w:ascii="Calibri" w:hAnsi="Calibri" w:cs="Calibri"/>
          <w:color w:val="000000"/>
          <w:szCs w:val="22"/>
          <w:lang w:val="en-GB" w:eastAsia="en-GB"/>
        </w:rPr>
      </w:pPr>
    </w:p>
    <w:p w14:paraId="132362ED" w14:textId="77777777" w:rsidR="009A51AC" w:rsidRPr="009A51AC" w:rsidRDefault="009A51AC" w:rsidP="009A51AC">
      <w:pPr>
        <w:numPr>
          <w:ilvl w:val="0"/>
          <w:numId w:val="20"/>
        </w:numPr>
        <w:contextualSpacing/>
        <w:jc w:val="left"/>
        <w:rPr>
          <w:rFonts w:ascii="Calibri" w:hAnsi="Calibri" w:cs="Calibri"/>
          <w:b/>
          <w:color w:val="000000"/>
          <w:szCs w:val="22"/>
          <w:lang w:val="en-GB" w:eastAsia="en-GB"/>
        </w:rPr>
      </w:pPr>
      <w:r w:rsidRPr="009A51AC">
        <w:rPr>
          <w:rFonts w:ascii="Calibri" w:hAnsi="Calibri" w:cs="Calibri"/>
          <w:color w:val="000000"/>
          <w:szCs w:val="22"/>
          <w:lang w:val="en-GB" w:eastAsia="en-GB"/>
        </w:rPr>
        <w:lastRenderedPageBreak/>
        <w:t>To draw lessons learned about policy change and scale up of RMNCH interventions that could be applied to accelerate progress for other public health interventions, or other countries and disseminate in a peer-reviewed paper</w:t>
      </w:r>
    </w:p>
    <w:p w14:paraId="4F96D22C" w14:textId="77777777" w:rsidR="009A51AC" w:rsidRPr="009A51AC" w:rsidRDefault="009A51AC" w:rsidP="009A51AC">
      <w:pPr>
        <w:ind w:left="360"/>
        <w:contextualSpacing/>
        <w:rPr>
          <w:rFonts w:ascii="Calibri" w:hAnsi="Calibri" w:cs="Calibri"/>
          <w:b/>
          <w:color w:val="000000"/>
          <w:szCs w:val="22"/>
          <w:lang w:val="en-GB" w:eastAsia="en-GB"/>
        </w:rPr>
      </w:pPr>
    </w:p>
    <w:p w14:paraId="6809C50A"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This protocol describes the:</w:t>
      </w:r>
    </w:p>
    <w:p w14:paraId="59D8EF6A" w14:textId="77777777" w:rsidR="009A51AC" w:rsidRPr="009A51AC" w:rsidRDefault="009A51AC" w:rsidP="009A51AC">
      <w:pPr>
        <w:numPr>
          <w:ilvl w:val="0"/>
          <w:numId w:val="25"/>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Standard Tool; a Microsoft Excel spreadsheet for collating data; and</w:t>
      </w:r>
    </w:p>
    <w:p w14:paraId="7265AD17" w14:textId="77777777" w:rsidR="009A51AC" w:rsidRPr="009A51AC" w:rsidRDefault="009A51AC" w:rsidP="009A51AC">
      <w:pPr>
        <w:numPr>
          <w:ilvl w:val="0"/>
          <w:numId w:val="25"/>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Standard Process; methods for conducting a country-specific analysis to complete the Policy &amp; Programme Timeline Tool</w:t>
      </w:r>
    </w:p>
    <w:p w14:paraId="41AE47A9" w14:textId="77777777" w:rsidR="009A51AC" w:rsidRPr="009A51AC" w:rsidRDefault="009A51AC" w:rsidP="009A51AC">
      <w:pPr>
        <w:ind w:left="720"/>
        <w:contextualSpacing/>
        <w:rPr>
          <w:rFonts w:ascii="Calibri" w:hAnsi="Calibri" w:cs="Calibri"/>
          <w:color w:val="000000"/>
          <w:szCs w:val="22"/>
          <w:lang w:val="en-GB" w:eastAsia="en-GB"/>
        </w:rPr>
      </w:pPr>
    </w:p>
    <w:p w14:paraId="5600056B" w14:textId="77777777" w:rsidR="009A51AC" w:rsidRPr="000D5184" w:rsidRDefault="009A51AC" w:rsidP="000D5184">
      <w:pPr>
        <w:rPr>
          <w:rFonts w:eastAsia="MS Gothic"/>
          <w:b/>
          <w:sz w:val="28"/>
          <w:szCs w:val="28"/>
          <w:lang w:val="en-GB" w:eastAsia="en-GB"/>
        </w:rPr>
      </w:pPr>
      <w:r w:rsidRPr="000D5184">
        <w:rPr>
          <w:rFonts w:eastAsia="MS Gothic"/>
          <w:b/>
          <w:sz w:val="28"/>
          <w:szCs w:val="28"/>
          <w:lang w:val="en-GB" w:eastAsia="en-GB"/>
        </w:rPr>
        <w:t>A. Standard Tool: CD HSP Policy and Program Timeline</w:t>
      </w:r>
    </w:p>
    <w:p w14:paraId="59DCD0B5" w14:textId="77777777" w:rsidR="009A51AC" w:rsidRPr="009A51AC" w:rsidRDefault="009A51AC" w:rsidP="009A51AC">
      <w:pPr>
        <w:numPr>
          <w:ilvl w:val="0"/>
          <w:numId w:val="2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Columns</w:t>
      </w:r>
    </w:p>
    <w:p w14:paraId="073F8CBE" w14:textId="77777777" w:rsidR="009A51AC" w:rsidRPr="009A51AC" w:rsidRDefault="009A51AC" w:rsidP="009A51AC">
      <w:pPr>
        <w:numPr>
          <w:ilvl w:val="0"/>
          <w:numId w:val="2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Rows (Level 1; Level 2; Level 3; Level 4; Level 5; All levels)</w:t>
      </w:r>
    </w:p>
    <w:p w14:paraId="2C071876" w14:textId="77777777" w:rsidR="009A51AC" w:rsidRPr="009A51AC" w:rsidRDefault="009A51AC" w:rsidP="009A51AC">
      <w:pPr>
        <w:numPr>
          <w:ilvl w:val="0"/>
          <w:numId w:val="2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References and Acronyms</w:t>
      </w:r>
    </w:p>
    <w:p w14:paraId="27422CA1" w14:textId="77777777" w:rsidR="009A51AC" w:rsidRPr="009A51AC" w:rsidRDefault="009A51AC" w:rsidP="009A51AC">
      <w:pPr>
        <w:numPr>
          <w:ilvl w:val="0"/>
          <w:numId w:val="2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Descriptive data: Population and Gross National Income (GNI) </w:t>
      </w:r>
    </w:p>
    <w:p w14:paraId="30B6D416" w14:textId="77777777" w:rsidR="009A51AC" w:rsidRPr="009A51AC" w:rsidRDefault="009A51AC" w:rsidP="009A51AC">
      <w:pPr>
        <w:contextualSpacing/>
        <w:rPr>
          <w:rFonts w:ascii="Calibri" w:hAnsi="Calibri" w:cs="Calibri"/>
          <w:color w:val="000000"/>
          <w:szCs w:val="22"/>
          <w:lang w:val="en-GB" w:eastAsia="en-GB"/>
        </w:rPr>
      </w:pPr>
    </w:p>
    <w:p w14:paraId="70F32149" w14:textId="77777777" w:rsidR="009A51AC" w:rsidRPr="009A51AC" w:rsidRDefault="009A51AC" w:rsidP="009A51AC">
      <w:pPr>
        <w:numPr>
          <w:ilvl w:val="0"/>
          <w:numId w:val="23"/>
        </w:numPr>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Columns:</w:t>
      </w:r>
    </w:p>
    <w:p w14:paraId="3A50F0CB"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The standard template includes four columns:</w:t>
      </w:r>
    </w:p>
    <w:p w14:paraId="4E327E93" w14:textId="77777777" w:rsidR="009A51AC" w:rsidRPr="009A51AC" w:rsidRDefault="009A51AC" w:rsidP="009A51AC">
      <w:pPr>
        <w:contextualSpacing/>
        <w:rPr>
          <w:rFonts w:ascii="Calibri" w:hAnsi="Calibri" w:cs="Calibri"/>
          <w:color w:val="000000"/>
          <w:szCs w:val="22"/>
          <w:lang w:val="en-GB" w:eastAsia="en-GB"/>
        </w:rPr>
      </w:pPr>
    </w:p>
    <w:p w14:paraId="022EBDA6" w14:textId="77777777" w:rsidR="009A51AC" w:rsidRPr="009A51AC" w:rsidRDefault="009A51AC" w:rsidP="009A51AC">
      <w:pPr>
        <w:numPr>
          <w:ilvl w:val="0"/>
          <w:numId w:val="31"/>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Pre - 2000</w:t>
      </w:r>
    </w:p>
    <w:p w14:paraId="562E4087" w14:textId="77777777" w:rsidR="009A51AC" w:rsidRPr="009A51AC" w:rsidRDefault="009A51AC" w:rsidP="009A51AC">
      <w:pPr>
        <w:numPr>
          <w:ilvl w:val="0"/>
          <w:numId w:val="31"/>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2000 - 2005</w:t>
      </w:r>
    </w:p>
    <w:p w14:paraId="476E4FDD" w14:textId="77777777" w:rsidR="009A51AC" w:rsidRPr="009A51AC" w:rsidRDefault="009A51AC" w:rsidP="009A51AC">
      <w:pPr>
        <w:numPr>
          <w:ilvl w:val="0"/>
          <w:numId w:val="31"/>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2006 - 2010</w:t>
      </w:r>
    </w:p>
    <w:p w14:paraId="6DFAB370" w14:textId="77777777" w:rsidR="009A51AC" w:rsidRPr="009A51AC" w:rsidRDefault="009A51AC" w:rsidP="009A51AC">
      <w:pPr>
        <w:numPr>
          <w:ilvl w:val="0"/>
          <w:numId w:val="31"/>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Post - 2010</w:t>
      </w:r>
    </w:p>
    <w:p w14:paraId="45C2CDF1" w14:textId="77777777" w:rsidR="009A51AC" w:rsidRPr="009A51AC" w:rsidRDefault="009A51AC" w:rsidP="009A51AC">
      <w:pPr>
        <w:contextualSpacing/>
        <w:rPr>
          <w:rFonts w:ascii="Calibri" w:hAnsi="Calibri" w:cs="Calibri"/>
          <w:color w:val="000000"/>
          <w:szCs w:val="22"/>
          <w:lang w:val="en-GB" w:eastAsia="en-GB"/>
        </w:rPr>
      </w:pPr>
    </w:p>
    <w:p w14:paraId="5D6372F0" w14:textId="77777777" w:rsidR="009A51AC" w:rsidRPr="009A51AC" w:rsidRDefault="009A51AC" w:rsidP="009A51AC">
      <w:pPr>
        <w:numPr>
          <w:ilvl w:val="0"/>
          <w:numId w:val="24"/>
        </w:numPr>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Rows</w:t>
      </w:r>
    </w:p>
    <w:p w14:paraId="4B3D399A" w14:textId="77777777" w:rsid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The Policy and Program Timeline will include data on the following levels:</w:t>
      </w:r>
    </w:p>
    <w:p w14:paraId="69A1AF7E" w14:textId="77777777" w:rsidR="009A51AC" w:rsidRPr="009A51AC" w:rsidRDefault="009A51AC" w:rsidP="009A51AC">
      <w:pPr>
        <w:contextualSpacing/>
        <w:rPr>
          <w:rFonts w:ascii="Calibri" w:hAnsi="Calibri" w:cs="Calibri"/>
          <w:color w:val="000000"/>
          <w:szCs w:val="22"/>
          <w:lang w:val="en-GB" w:eastAsia="en-GB"/>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4103"/>
        <w:gridCol w:w="4530"/>
      </w:tblGrid>
      <w:tr w:rsidR="009A51AC" w:rsidRPr="009A51AC" w14:paraId="028FC744" w14:textId="77777777" w:rsidTr="00E65AD9">
        <w:trPr>
          <w:trHeight w:val="363"/>
        </w:trPr>
        <w:tc>
          <w:tcPr>
            <w:tcW w:w="689" w:type="dxa"/>
            <w:shd w:val="clear" w:color="auto" w:fill="000000"/>
          </w:tcPr>
          <w:p w14:paraId="1B7B3473"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Level</w:t>
            </w:r>
          </w:p>
        </w:tc>
        <w:tc>
          <w:tcPr>
            <w:tcW w:w="4103" w:type="dxa"/>
            <w:shd w:val="clear" w:color="auto" w:fill="000000"/>
          </w:tcPr>
          <w:p w14:paraId="6097E6E2"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Component</w:t>
            </w:r>
          </w:p>
        </w:tc>
        <w:tc>
          <w:tcPr>
            <w:tcW w:w="4530" w:type="dxa"/>
            <w:shd w:val="clear" w:color="auto" w:fill="000000"/>
          </w:tcPr>
          <w:p w14:paraId="3E815467"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Sub-components</w:t>
            </w:r>
          </w:p>
        </w:tc>
      </w:tr>
      <w:tr w:rsidR="009A51AC" w:rsidRPr="009A51AC" w14:paraId="7DBF9A6E" w14:textId="77777777" w:rsidTr="00E65AD9">
        <w:trPr>
          <w:trHeight w:val="381"/>
        </w:trPr>
        <w:tc>
          <w:tcPr>
            <w:tcW w:w="689" w:type="dxa"/>
            <w:shd w:val="clear" w:color="auto" w:fill="auto"/>
          </w:tcPr>
          <w:p w14:paraId="60DC38FE"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1</w:t>
            </w:r>
          </w:p>
        </w:tc>
        <w:tc>
          <w:tcPr>
            <w:tcW w:w="4103" w:type="dxa"/>
            <w:shd w:val="clear" w:color="auto" w:fill="auto"/>
          </w:tcPr>
          <w:p w14:paraId="7B835871"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National Context</w:t>
            </w:r>
          </w:p>
        </w:tc>
        <w:tc>
          <w:tcPr>
            <w:tcW w:w="4530" w:type="dxa"/>
            <w:shd w:val="clear" w:color="auto" w:fill="auto"/>
          </w:tcPr>
          <w:p w14:paraId="78E4D4AB"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w:t>
            </w:r>
          </w:p>
        </w:tc>
      </w:tr>
      <w:tr w:rsidR="009A51AC" w:rsidRPr="009A51AC" w14:paraId="7D10B1C3" w14:textId="77777777" w:rsidTr="00E65AD9">
        <w:trPr>
          <w:trHeight w:val="405"/>
        </w:trPr>
        <w:tc>
          <w:tcPr>
            <w:tcW w:w="689" w:type="dxa"/>
            <w:vMerge w:val="restart"/>
            <w:shd w:val="clear" w:color="auto" w:fill="auto"/>
          </w:tcPr>
          <w:p w14:paraId="3A9466F9"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2</w:t>
            </w:r>
          </w:p>
        </w:tc>
        <w:tc>
          <w:tcPr>
            <w:tcW w:w="4103" w:type="dxa"/>
            <w:vMerge w:val="restart"/>
            <w:shd w:val="clear" w:color="auto" w:fill="auto"/>
          </w:tcPr>
          <w:p w14:paraId="6A3F1F6B"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Macro Health Systems and Governance &amp; Macro HIV/AIDS, Malaria &amp; TB</w:t>
            </w:r>
          </w:p>
        </w:tc>
        <w:tc>
          <w:tcPr>
            <w:tcW w:w="4530" w:type="dxa"/>
            <w:shd w:val="clear" w:color="auto" w:fill="auto"/>
          </w:tcPr>
          <w:p w14:paraId="12A53838"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Health Systems and Governance</w:t>
            </w:r>
          </w:p>
          <w:p w14:paraId="676A88D8" w14:textId="77777777" w:rsidR="009A51AC" w:rsidRPr="009A51AC" w:rsidRDefault="009A51AC" w:rsidP="009A51AC">
            <w:pPr>
              <w:contextualSpacing/>
              <w:jc w:val="left"/>
              <w:rPr>
                <w:rFonts w:ascii="Calibri" w:hAnsi="Calibri" w:cs="Calibri"/>
                <w:color w:val="000000"/>
                <w:szCs w:val="22"/>
                <w:lang w:val="en-GB" w:eastAsia="en-GB"/>
              </w:rPr>
            </w:pPr>
          </w:p>
        </w:tc>
      </w:tr>
      <w:tr w:rsidR="009A51AC" w:rsidRPr="009A51AC" w14:paraId="488B978B" w14:textId="77777777" w:rsidTr="00E65AD9">
        <w:trPr>
          <w:trHeight w:val="405"/>
        </w:trPr>
        <w:tc>
          <w:tcPr>
            <w:tcW w:w="689" w:type="dxa"/>
            <w:vMerge/>
            <w:shd w:val="clear" w:color="auto" w:fill="auto"/>
          </w:tcPr>
          <w:p w14:paraId="04808A3E"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52441E80"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1A52F443"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HIV/AIDS, Malaria &amp; TB</w:t>
            </w:r>
          </w:p>
          <w:p w14:paraId="7B71670F" w14:textId="77777777" w:rsidR="009A51AC" w:rsidRPr="009A51AC" w:rsidRDefault="009A51AC" w:rsidP="009A51AC">
            <w:pPr>
              <w:contextualSpacing/>
              <w:jc w:val="left"/>
              <w:rPr>
                <w:rFonts w:ascii="Calibri" w:hAnsi="Calibri" w:cs="Calibri"/>
                <w:color w:val="000000"/>
                <w:szCs w:val="22"/>
                <w:lang w:val="en-GB" w:eastAsia="en-GB"/>
              </w:rPr>
            </w:pPr>
          </w:p>
        </w:tc>
      </w:tr>
      <w:tr w:rsidR="009A51AC" w:rsidRPr="009A51AC" w14:paraId="5EA0F077" w14:textId="77777777" w:rsidTr="00E65AD9">
        <w:trPr>
          <w:trHeight w:val="135"/>
        </w:trPr>
        <w:tc>
          <w:tcPr>
            <w:tcW w:w="689" w:type="dxa"/>
            <w:vMerge w:val="restart"/>
            <w:shd w:val="clear" w:color="auto" w:fill="auto"/>
          </w:tcPr>
          <w:p w14:paraId="2E419B52"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3</w:t>
            </w:r>
          </w:p>
        </w:tc>
        <w:tc>
          <w:tcPr>
            <w:tcW w:w="4103" w:type="dxa"/>
            <w:vMerge w:val="restart"/>
            <w:shd w:val="clear" w:color="auto" w:fill="auto"/>
          </w:tcPr>
          <w:p w14:paraId="25F05AE1"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Health System Building Blocks</w:t>
            </w:r>
          </w:p>
          <w:p w14:paraId="10DB2529"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422D4AF2"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Health System Financing </w:t>
            </w:r>
          </w:p>
        </w:tc>
      </w:tr>
      <w:tr w:rsidR="009A51AC" w:rsidRPr="009A51AC" w14:paraId="512022FD" w14:textId="77777777" w:rsidTr="00E65AD9">
        <w:trPr>
          <w:trHeight w:val="135"/>
        </w:trPr>
        <w:tc>
          <w:tcPr>
            <w:tcW w:w="689" w:type="dxa"/>
            <w:vMerge/>
            <w:shd w:val="clear" w:color="auto" w:fill="auto"/>
          </w:tcPr>
          <w:p w14:paraId="5F35FB2B"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34F176B7"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2E641902"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Health Workforce</w:t>
            </w:r>
          </w:p>
        </w:tc>
      </w:tr>
      <w:tr w:rsidR="009A51AC" w:rsidRPr="009A51AC" w14:paraId="2828560C" w14:textId="77777777" w:rsidTr="00E65AD9">
        <w:trPr>
          <w:trHeight w:val="135"/>
        </w:trPr>
        <w:tc>
          <w:tcPr>
            <w:tcW w:w="689" w:type="dxa"/>
            <w:vMerge/>
            <w:shd w:val="clear" w:color="auto" w:fill="auto"/>
          </w:tcPr>
          <w:p w14:paraId="58EB25C4"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5014B295"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4513EAED"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Infrastructure and Commodities</w:t>
            </w:r>
          </w:p>
        </w:tc>
      </w:tr>
      <w:tr w:rsidR="009A51AC" w:rsidRPr="009A51AC" w14:paraId="0196868C" w14:textId="77777777" w:rsidTr="00E65AD9">
        <w:trPr>
          <w:trHeight w:val="135"/>
        </w:trPr>
        <w:tc>
          <w:tcPr>
            <w:tcW w:w="689" w:type="dxa"/>
            <w:vMerge/>
            <w:shd w:val="clear" w:color="auto" w:fill="auto"/>
          </w:tcPr>
          <w:p w14:paraId="2E79DCEF"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141D76BF"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49614086"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Participatory community empowerment / </w:t>
            </w:r>
          </w:p>
          <w:p w14:paraId="32F524EE"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Community-based behaviour change</w:t>
            </w:r>
          </w:p>
        </w:tc>
      </w:tr>
      <w:tr w:rsidR="009A51AC" w:rsidRPr="009A51AC" w14:paraId="4A7F7A4B" w14:textId="77777777" w:rsidTr="00E65AD9">
        <w:trPr>
          <w:trHeight w:val="135"/>
        </w:trPr>
        <w:tc>
          <w:tcPr>
            <w:tcW w:w="689" w:type="dxa"/>
            <w:vMerge/>
            <w:shd w:val="clear" w:color="auto" w:fill="auto"/>
          </w:tcPr>
          <w:p w14:paraId="06B4524C"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4EC5F23F"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1AEB288D"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Health Information Systems</w:t>
            </w:r>
          </w:p>
        </w:tc>
      </w:tr>
      <w:tr w:rsidR="009A51AC" w:rsidRPr="009A51AC" w14:paraId="22A75097" w14:textId="77777777" w:rsidTr="00E65AD9">
        <w:trPr>
          <w:trHeight w:val="135"/>
        </w:trPr>
        <w:tc>
          <w:tcPr>
            <w:tcW w:w="689" w:type="dxa"/>
            <w:vMerge w:val="restart"/>
            <w:shd w:val="clear" w:color="auto" w:fill="auto"/>
          </w:tcPr>
          <w:p w14:paraId="17837D9E"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4</w:t>
            </w:r>
          </w:p>
        </w:tc>
        <w:tc>
          <w:tcPr>
            <w:tcW w:w="4103" w:type="dxa"/>
            <w:vMerge w:val="restart"/>
            <w:shd w:val="clear" w:color="auto" w:fill="auto"/>
          </w:tcPr>
          <w:p w14:paraId="2A76DF3B"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High Impact Policies Specific to RMNCH</w:t>
            </w:r>
          </w:p>
        </w:tc>
        <w:tc>
          <w:tcPr>
            <w:tcW w:w="4530" w:type="dxa"/>
            <w:shd w:val="clear" w:color="auto" w:fill="auto"/>
          </w:tcPr>
          <w:p w14:paraId="2D5EA331"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Reproductive health policies &amp; strategies</w:t>
            </w:r>
          </w:p>
        </w:tc>
      </w:tr>
      <w:tr w:rsidR="009A51AC" w:rsidRPr="009A51AC" w14:paraId="3CECAB24" w14:textId="77777777" w:rsidTr="00E65AD9">
        <w:trPr>
          <w:trHeight w:val="135"/>
        </w:trPr>
        <w:tc>
          <w:tcPr>
            <w:tcW w:w="689" w:type="dxa"/>
            <w:vMerge/>
            <w:shd w:val="clear" w:color="auto" w:fill="auto"/>
          </w:tcPr>
          <w:p w14:paraId="07CB76C4"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239802BD"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19ADD5B8"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Maternal health policies &amp; strategies</w:t>
            </w:r>
          </w:p>
        </w:tc>
      </w:tr>
      <w:tr w:rsidR="009A51AC" w:rsidRPr="009A51AC" w14:paraId="2A25CE77" w14:textId="77777777" w:rsidTr="00E65AD9">
        <w:trPr>
          <w:trHeight w:val="135"/>
        </w:trPr>
        <w:tc>
          <w:tcPr>
            <w:tcW w:w="689" w:type="dxa"/>
            <w:vMerge/>
            <w:shd w:val="clear" w:color="auto" w:fill="auto"/>
          </w:tcPr>
          <w:p w14:paraId="5E6E5FDD"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4B608EAE"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524E8A8B"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Newborn health policies &amp; strategies</w:t>
            </w:r>
          </w:p>
        </w:tc>
      </w:tr>
      <w:tr w:rsidR="009A51AC" w:rsidRPr="009A51AC" w14:paraId="6010F6AF" w14:textId="77777777" w:rsidTr="00E65AD9">
        <w:trPr>
          <w:trHeight w:val="135"/>
        </w:trPr>
        <w:tc>
          <w:tcPr>
            <w:tcW w:w="689" w:type="dxa"/>
            <w:vMerge/>
            <w:shd w:val="clear" w:color="auto" w:fill="auto"/>
          </w:tcPr>
          <w:p w14:paraId="076E6827"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319E4722"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201BA837"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Child health policies &amp; strategies</w:t>
            </w:r>
          </w:p>
        </w:tc>
      </w:tr>
      <w:tr w:rsidR="009A51AC" w:rsidRPr="009A51AC" w14:paraId="4E6EE990" w14:textId="77777777" w:rsidTr="00E65AD9">
        <w:tc>
          <w:tcPr>
            <w:tcW w:w="689" w:type="dxa"/>
            <w:shd w:val="clear" w:color="auto" w:fill="auto"/>
          </w:tcPr>
          <w:p w14:paraId="05D473F7"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5</w:t>
            </w:r>
          </w:p>
        </w:tc>
        <w:tc>
          <w:tcPr>
            <w:tcW w:w="4103" w:type="dxa"/>
            <w:shd w:val="clear" w:color="auto" w:fill="auto"/>
          </w:tcPr>
          <w:p w14:paraId="42717CC8"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High Impact Research Specific to RMNCH</w:t>
            </w:r>
          </w:p>
        </w:tc>
        <w:tc>
          <w:tcPr>
            <w:tcW w:w="4530" w:type="dxa"/>
            <w:shd w:val="clear" w:color="auto" w:fill="auto"/>
          </w:tcPr>
          <w:p w14:paraId="16CCEB63"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w:t>
            </w:r>
          </w:p>
        </w:tc>
      </w:tr>
      <w:tr w:rsidR="009A51AC" w:rsidRPr="009A51AC" w14:paraId="0A72287E" w14:textId="77777777" w:rsidTr="00E65AD9">
        <w:trPr>
          <w:trHeight w:val="270"/>
        </w:trPr>
        <w:tc>
          <w:tcPr>
            <w:tcW w:w="689" w:type="dxa"/>
            <w:vMerge w:val="restart"/>
            <w:shd w:val="clear" w:color="auto" w:fill="auto"/>
          </w:tcPr>
          <w:p w14:paraId="100326C9"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All</w:t>
            </w:r>
          </w:p>
        </w:tc>
        <w:tc>
          <w:tcPr>
            <w:tcW w:w="4103" w:type="dxa"/>
            <w:vMerge w:val="restart"/>
            <w:shd w:val="clear" w:color="auto" w:fill="auto"/>
          </w:tcPr>
          <w:p w14:paraId="63F3AEF4"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Partnerships and Convening Mechanisms</w:t>
            </w:r>
          </w:p>
        </w:tc>
        <w:tc>
          <w:tcPr>
            <w:tcW w:w="4530" w:type="dxa"/>
            <w:shd w:val="clear" w:color="auto" w:fill="auto"/>
          </w:tcPr>
          <w:p w14:paraId="168BC0DA"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Formal</w:t>
            </w:r>
          </w:p>
        </w:tc>
      </w:tr>
      <w:tr w:rsidR="009A51AC" w:rsidRPr="009A51AC" w14:paraId="41A4C289" w14:textId="77777777" w:rsidTr="00E65AD9">
        <w:trPr>
          <w:trHeight w:val="270"/>
        </w:trPr>
        <w:tc>
          <w:tcPr>
            <w:tcW w:w="689" w:type="dxa"/>
            <w:vMerge/>
            <w:shd w:val="clear" w:color="auto" w:fill="auto"/>
          </w:tcPr>
          <w:p w14:paraId="58880D37" w14:textId="77777777" w:rsidR="009A51AC" w:rsidRPr="009A51AC" w:rsidRDefault="009A51AC" w:rsidP="009A51AC">
            <w:pPr>
              <w:contextualSpacing/>
              <w:jc w:val="left"/>
              <w:rPr>
                <w:rFonts w:ascii="Calibri" w:hAnsi="Calibri" w:cs="Calibri"/>
                <w:color w:val="000000"/>
                <w:szCs w:val="22"/>
                <w:lang w:val="en-GB" w:eastAsia="en-GB"/>
              </w:rPr>
            </w:pPr>
          </w:p>
        </w:tc>
        <w:tc>
          <w:tcPr>
            <w:tcW w:w="4103" w:type="dxa"/>
            <w:vMerge/>
            <w:shd w:val="clear" w:color="auto" w:fill="auto"/>
          </w:tcPr>
          <w:p w14:paraId="766FCD98" w14:textId="77777777" w:rsidR="009A51AC" w:rsidRPr="009A51AC" w:rsidRDefault="009A51AC" w:rsidP="009A51AC">
            <w:pPr>
              <w:contextualSpacing/>
              <w:jc w:val="left"/>
              <w:rPr>
                <w:rFonts w:ascii="Calibri" w:hAnsi="Calibri" w:cs="Calibri"/>
                <w:color w:val="000000"/>
                <w:szCs w:val="22"/>
                <w:lang w:val="en-GB" w:eastAsia="en-GB"/>
              </w:rPr>
            </w:pPr>
          </w:p>
        </w:tc>
        <w:tc>
          <w:tcPr>
            <w:tcW w:w="4530" w:type="dxa"/>
            <w:shd w:val="clear" w:color="auto" w:fill="auto"/>
          </w:tcPr>
          <w:p w14:paraId="3A2F3F86"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Informal</w:t>
            </w:r>
          </w:p>
        </w:tc>
      </w:tr>
    </w:tbl>
    <w:p w14:paraId="68C7C6DA" w14:textId="77777777" w:rsidR="009A51AC" w:rsidRPr="009A51AC" w:rsidRDefault="009A51AC" w:rsidP="009A51AC">
      <w:pPr>
        <w:contextualSpacing/>
        <w:jc w:val="left"/>
        <w:rPr>
          <w:rFonts w:ascii="Calibri" w:hAnsi="Calibri" w:cs="Calibri"/>
          <w:color w:val="000000"/>
          <w:szCs w:val="22"/>
          <w:lang w:val="en-GB" w:eastAsia="en-GB"/>
        </w:rPr>
      </w:pPr>
    </w:p>
    <w:p w14:paraId="3B1592A5" w14:textId="77777777" w:rsidR="009A51AC" w:rsidRPr="009A51AC" w:rsidRDefault="009A51AC" w:rsidP="009A51AC">
      <w:pPr>
        <w:ind w:left="360"/>
        <w:contextualSpacing/>
        <w:jc w:val="left"/>
        <w:rPr>
          <w:rFonts w:ascii="Calibri" w:hAnsi="Calibri" w:cs="Calibri"/>
          <w:color w:val="000000"/>
          <w:szCs w:val="22"/>
          <w:lang w:val="en-GB" w:eastAsia="en-GB"/>
        </w:rPr>
      </w:pPr>
      <w:r w:rsidRPr="009A51AC">
        <w:rPr>
          <w:rFonts w:ascii="Calibri" w:hAnsi="Calibri" w:cs="Calibri"/>
          <w:b/>
          <w:color w:val="000000"/>
          <w:szCs w:val="22"/>
          <w:lang w:val="en-GB" w:eastAsia="en-GB"/>
        </w:rPr>
        <w:lastRenderedPageBreak/>
        <w:t>NOTE</w:t>
      </w:r>
      <w:r w:rsidRPr="009A51AC">
        <w:rPr>
          <w:rFonts w:ascii="Calibri" w:hAnsi="Calibri" w:cs="Calibri"/>
          <w:color w:val="000000"/>
          <w:szCs w:val="22"/>
          <w:lang w:val="en-GB" w:eastAsia="en-GB"/>
        </w:rPr>
        <w:t>: Annex 1 includes a list of information required in each level of the Policy &amp; Programme Timeline tool.</w:t>
      </w:r>
    </w:p>
    <w:p w14:paraId="45A79D7B" w14:textId="77777777" w:rsidR="009A51AC" w:rsidRPr="009A51AC" w:rsidRDefault="009A51AC" w:rsidP="009A51AC">
      <w:pPr>
        <w:ind w:left="720"/>
        <w:contextualSpacing/>
        <w:jc w:val="left"/>
        <w:rPr>
          <w:rFonts w:ascii="Calibri" w:hAnsi="Calibri" w:cs="Calibri"/>
          <w:color w:val="000000"/>
          <w:szCs w:val="22"/>
          <w:lang w:val="en-GB" w:eastAsia="en-GB"/>
        </w:rPr>
      </w:pPr>
    </w:p>
    <w:p w14:paraId="2D0A6F58" w14:textId="77777777" w:rsidR="009A51AC" w:rsidRPr="009A51AC" w:rsidRDefault="009A51AC" w:rsidP="009A51AC">
      <w:pPr>
        <w:numPr>
          <w:ilvl w:val="0"/>
          <w:numId w:val="26"/>
        </w:numPr>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References and Acronyms</w:t>
      </w:r>
    </w:p>
    <w:p w14:paraId="045E4FB3" w14:textId="77777777" w:rsidR="009A51AC" w:rsidRPr="009A51AC" w:rsidRDefault="009A51AC" w:rsidP="009A51AC">
      <w:pPr>
        <w:contextualSpacing/>
        <w:rPr>
          <w:rFonts w:ascii="Calibri" w:hAnsi="Calibri" w:cs="Calibri"/>
          <w:color w:val="000000"/>
          <w:szCs w:val="22"/>
          <w:u w:val="single"/>
          <w:lang w:val="en-GB" w:eastAsia="en-GB"/>
        </w:rPr>
      </w:pPr>
      <w:r w:rsidRPr="009A51AC">
        <w:rPr>
          <w:rFonts w:ascii="Calibri" w:hAnsi="Calibri" w:cs="Calibri"/>
          <w:color w:val="000000"/>
          <w:szCs w:val="22"/>
          <w:u w:val="single"/>
          <w:lang w:val="en-GB" w:eastAsia="en-GB"/>
        </w:rPr>
        <w:t>References</w:t>
      </w:r>
    </w:p>
    <w:p w14:paraId="31243981"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All policy documents, implementation strategies, situation analyses, research studies, etc. need to be cited at the bottom of the timeline. Include author name(s) (Last name, first name), title of document, place of publication, date of publication. </w:t>
      </w:r>
    </w:p>
    <w:p w14:paraId="55BEDB89" w14:textId="77777777" w:rsidR="009A51AC" w:rsidRPr="009A51AC" w:rsidRDefault="009A51AC" w:rsidP="009A51AC">
      <w:pPr>
        <w:contextualSpacing/>
        <w:rPr>
          <w:rFonts w:ascii="Calibri" w:hAnsi="Calibri" w:cs="Calibri"/>
          <w:color w:val="000000"/>
          <w:szCs w:val="22"/>
          <w:lang w:val="en-GB" w:eastAsia="en-GB"/>
        </w:rPr>
      </w:pPr>
    </w:p>
    <w:p w14:paraId="15F8F029" w14:textId="77777777" w:rsidR="009A51AC" w:rsidRPr="009A51AC" w:rsidRDefault="009A51AC" w:rsidP="009A51AC">
      <w:pPr>
        <w:contextualSpacing/>
        <w:rPr>
          <w:rFonts w:ascii="Calibri" w:hAnsi="Calibri" w:cs="Calibri"/>
          <w:color w:val="000000"/>
          <w:szCs w:val="22"/>
          <w:u w:val="single"/>
          <w:lang w:val="en-GB" w:eastAsia="en-GB"/>
        </w:rPr>
      </w:pPr>
      <w:r w:rsidRPr="009A51AC">
        <w:rPr>
          <w:rFonts w:ascii="Calibri" w:hAnsi="Calibri" w:cs="Calibri"/>
          <w:color w:val="000000"/>
          <w:szCs w:val="22"/>
          <w:u w:val="single"/>
          <w:lang w:val="en-GB" w:eastAsia="en-GB"/>
        </w:rPr>
        <w:t>Acronyms</w:t>
      </w:r>
    </w:p>
    <w:p w14:paraId="0A222320"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An acronym legend should be included at the bottom of the table or if preferred in a separate tab.</w:t>
      </w:r>
    </w:p>
    <w:p w14:paraId="5AAA2803" w14:textId="77777777" w:rsidR="009A51AC" w:rsidRPr="009A51AC" w:rsidRDefault="009A51AC" w:rsidP="009A51AC">
      <w:pPr>
        <w:contextualSpacing/>
        <w:rPr>
          <w:rFonts w:ascii="Calibri" w:hAnsi="Calibri" w:cs="Calibri"/>
          <w:color w:val="000000"/>
          <w:szCs w:val="22"/>
          <w:lang w:val="en-GB" w:eastAsia="en-GB"/>
        </w:rPr>
      </w:pPr>
    </w:p>
    <w:p w14:paraId="4CCDED6E" w14:textId="77777777" w:rsidR="009A51AC" w:rsidRPr="009A51AC" w:rsidRDefault="009A51AC" w:rsidP="009A51AC">
      <w:pPr>
        <w:numPr>
          <w:ilvl w:val="0"/>
          <w:numId w:val="26"/>
        </w:numPr>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 xml:space="preserve">Descriptive data: Population and Gross National Income (GNI) </w:t>
      </w:r>
    </w:p>
    <w:p w14:paraId="131A75D9"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The first row of the table should include population and GNI data for one year in the 1990s and 2 spanning the 2000s. Specific data required for each of the three years are as follows:</w:t>
      </w:r>
    </w:p>
    <w:p w14:paraId="7927B3FC" w14:textId="77777777" w:rsidR="009A51AC" w:rsidRPr="009A51AC" w:rsidRDefault="009A51AC" w:rsidP="009A51AC">
      <w:pPr>
        <w:numPr>
          <w:ilvl w:val="0"/>
          <w:numId w:val="34"/>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Total population (</w:t>
      </w:r>
      <w:r w:rsidRPr="009A51AC">
        <w:rPr>
          <w:rFonts w:ascii="Calibri" w:hAnsi="Calibri" w:cs="Calibri"/>
          <w:i/>
          <w:color w:val="000000"/>
          <w:szCs w:val="22"/>
          <w:lang w:val="en-GB" w:eastAsia="en-GB"/>
        </w:rPr>
        <w:t>n</w:t>
      </w:r>
      <w:r w:rsidRPr="009A51AC">
        <w:rPr>
          <w:rFonts w:ascii="Calibri" w:hAnsi="Calibri" w:cs="Calibri"/>
          <w:color w:val="000000"/>
          <w:szCs w:val="22"/>
          <w:lang w:val="en-GB" w:eastAsia="en-GB"/>
        </w:rPr>
        <w:t xml:space="preserve"> million)</w:t>
      </w:r>
    </w:p>
    <w:p w14:paraId="0330C68F" w14:textId="77777777" w:rsidR="009A51AC" w:rsidRPr="009A51AC" w:rsidRDefault="009A51AC" w:rsidP="009A51AC">
      <w:pPr>
        <w:numPr>
          <w:ilvl w:val="0"/>
          <w:numId w:val="34"/>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Urban population (%)</w:t>
      </w:r>
    </w:p>
    <w:p w14:paraId="013E00BE" w14:textId="77777777" w:rsidR="009A51AC" w:rsidRPr="009A51AC" w:rsidRDefault="009A51AC" w:rsidP="009A51AC">
      <w:pPr>
        <w:numPr>
          <w:ilvl w:val="0"/>
          <w:numId w:val="34"/>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GNI per capita (USD $)</w:t>
      </w:r>
    </w:p>
    <w:p w14:paraId="42AF339F" w14:textId="77777777" w:rsidR="009A51AC" w:rsidRPr="009A51AC" w:rsidRDefault="009A51AC" w:rsidP="009A51AC">
      <w:pPr>
        <w:contextualSpacing/>
        <w:rPr>
          <w:rFonts w:ascii="Calibri" w:hAnsi="Calibri" w:cs="Calibri"/>
          <w:color w:val="000000"/>
          <w:szCs w:val="22"/>
          <w:lang w:val="en-GB" w:eastAsia="en-GB"/>
        </w:rPr>
      </w:pPr>
    </w:p>
    <w:p w14:paraId="565C26E2" w14:textId="77777777" w:rsidR="009A51AC" w:rsidRPr="009A51AC" w:rsidRDefault="009A51AC" w:rsidP="009A51AC">
      <w:pPr>
        <w:contextualSpacing/>
        <w:rPr>
          <w:rFonts w:ascii="Calibri" w:hAnsi="Calibri" w:cs="Calibri"/>
          <w:b/>
          <w:color w:val="000000"/>
          <w:sz w:val="20"/>
          <w:szCs w:val="20"/>
          <w:lang w:val="en-GB" w:eastAsia="en-GB"/>
        </w:rPr>
      </w:pPr>
      <w:r w:rsidRPr="009A51AC">
        <w:rPr>
          <w:rFonts w:ascii="Calibri" w:hAnsi="Calibri" w:cs="Calibri"/>
          <w:color w:val="000000"/>
          <w:szCs w:val="22"/>
          <w:lang w:val="en-GB" w:eastAsia="en-GB"/>
        </w:rPr>
        <w:t xml:space="preserve">Please see section A.1 for the Policy &amp; Programme Timeline Tool.  </w:t>
      </w:r>
    </w:p>
    <w:p w14:paraId="284C87D1" w14:textId="77777777" w:rsidR="009A51AC" w:rsidRPr="009A51AC" w:rsidRDefault="009A51AC" w:rsidP="009A51AC">
      <w:pPr>
        <w:ind w:left="426"/>
        <w:contextualSpacing/>
        <w:rPr>
          <w:rFonts w:ascii="Calibri" w:hAnsi="Calibri" w:cs="Calibri"/>
          <w:b/>
          <w:color w:val="000000"/>
          <w:sz w:val="20"/>
          <w:szCs w:val="20"/>
          <w:lang w:val="en-GB" w:eastAsia="en-GB"/>
        </w:rPr>
      </w:pPr>
    </w:p>
    <w:p w14:paraId="1B031CFE" w14:textId="785C6F2B" w:rsidR="009A51AC" w:rsidRPr="000D5184" w:rsidRDefault="000D5184" w:rsidP="000D5184">
      <w:pPr>
        <w:rPr>
          <w:rFonts w:eastAsia="MS Gothic"/>
          <w:b/>
          <w:sz w:val="28"/>
          <w:szCs w:val="28"/>
          <w:lang w:val="en-GB" w:eastAsia="en-GB"/>
        </w:rPr>
      </w:pPr>
      <w:r>
        <w:rPr>
          <w:rFonts w:eastAsia="MS Gothic"/>
          <w:b/>
          <w:sz w:val="28"/>
          <w:szCs w:val="28"/>
          <w:lang w:val="en-GB" w:eastAsia="en-GB"/>
        </w:rPr>
        <w:t xml:space="preserve">B. </w:t>
      </w:r>
      <w:r w:rsidR="009A51AC" w:rsidRPr="000D5184">
        <w:rPr>
          <w:rFonts w:eastAsia="MS Gothic"/>
          <w:b/>
          <w:sz w:val="28"/>
          <w:szCs w:val="28"/>
          <w:lang w:val="en-GB" w:eastAsia="en-GB"/>
        </w:rPr>
        <w:t>Standard Process for completing the Policy and Program</w:t>
      </w:r>
      <w:r w:rsidRPr="000D5184">
        <w:rPr>
          <w:rFonts w:eastAsia="MS Gothic"/>
          <w:b/>
          <w:sz w:val="28"/>
          <w:szCs w:val="28"/>
          <w:lang w:val="en-GB" w:eastAsia="en-GB"/>
        </w:rPr>
        <w:t>me</w:t>
      </w:r>
      <w:r w:rsidR="009A51AC" w:rsidRPr="000D5184">
        <w:rPr>
          <w:rFonts w:eastAsia="MS Gothic"/>
          <w:b/>
          <w:sz w:val="28"/>
          <w:szCs w:val="28"/>
          <w:lang w:val="en-GB" w:eastAsia="en-GB"/>
        </w:rPr>
        <w:t xml:space="preserve"> Timeline</w:t>
      </w:r>
    </w:p>
    <w:p w14:paraId="617BFB5D" w14:textId="77777777" w:rsid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The following table describes the 3 steps to complete a Policy &amp; Programme Timeline:</w:t>
      </w:r>
    </w:p>
    <w:p w14:paraId="624419E1" w14:textId="77777777" w:rsidR="009A51AC" w:rsidRPr="009A51AC" w:rsidRDefault="009A51AC" w:rsidP="009A51AC">
      <w:pPr>
        <w:contextualSpacing/>
        <w:rPr>
          <w:rFonts w:ascii="Calibri" w:hAnsi="Calibri" w:cs="Calibri"/>
          <w:color w:val="000000"/>
          <w:szCs w:val="22"/>
          <w:lang w:val="en-GB" w:eastAsia="en-GB"/>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701"/>
        <w:gridCol w:w="5641"/>
        <w:gridCol w:w="2126"/>
      </w:tblGrid>
      <w:tr w:rsidR="009A51AC" w:rsidRPr="009A51AC" w14:paraId="7809CA02" w14:textId="77777777" w:rsidTr="009A51AC">
        <w:trPr>
          <w:trHeight w:val="476"/>
        </w:trPr>
        <w:tc>
          <w:tcPr>
            <w:tcW w:w="568" w:type="dxa"/>
            <w:shd w:val="clear" w:color="auto" w:fill="000000"/>
          </w:tcPr>
          <w:p w14:paraId="4506A7AD" w14:textId="77777777" w:rsidR="009A51AC" w:rsidRPr="009A51AC" w:rsidRDefault="009A51AC" w:rsidP="009A51AC">
            <w:pPr>
              <w:contextualSpacing/>
              <w:jc w:val="left"/>
              <w:rPr>
                <w:rFonts w:ascii="Calibri" w:hAnsi="Calibri" w:cs="Calibri"/>
                <w:color w:val="FFFFFF"/>
                <w:szCs w:val="22"/>
                <w:lang w:val="en-GB" w:eastAsia="en-GB"/>
              </w:rPr>
            </w:pPr>
          </w:p>
        </w:tc>
        <w:tc>
          <w:tcPr>
            <w:tcW w:w="1701" w:type="dxa"/>
            <w:shd w:val="clear" w:color="auto" w:fill="000000"/>
          </w:tcPr>
          <w:p w14:paraId="2B5B79C8"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Steps</w:t>
            </w:r>
          </w:p>
        </w:tc>
        <w:tc>
          <w:tcPr>
            <w:tcW w:w="5641" w:type="dxa"/>
            <w:shd w:val="clear" w:color="auto" w:fill="000000"/>
          </w:tcPr>
          <w:p w14:paraId="6F5BB0A4"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Task(s)</w:t>
            </w:r>
          </w:p>
        </w:tc>
        <w:tc>
          <w:tcPr>
            <w:tcW w:w="2126" w:type="dxa"/>
            <w:shd w:val="clear" w:color="auto" w:fill="000000"/>
          </w:tcPr>
          <w:p w14:paraId="2B946C41"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Who</w:t>
            </w:r>
          </w:p>
        </w:tc>
      </w:tr>
      <w:tr w:rsidR="009A51AC" w:rsidRPr="009A51AC" w14:paraId="058E9F81" w14:textId="77777777" w:rsidTr="009A51AC">
        <w:trPr>
          <w:trHeight w:val="1064"/>
        </w:trPr>
        <w:tc>
          <w:tcPr>
            <w:tcW w:w="568" w:type="dxa"/>
            <w:shd w:val="clear" w:color="auto" w:fill="auto"/>
          </w:tcPr>
          <w:p w14:paraId="2A97AB1C" w14:textId="77777777" w:rsidR="009A51AC" w:rsidRPr="009A51AC" w:rsidRDefault="009A51AC" w:rsidP="009A51AC">
            <w:pPr>
              <w:contextualSpacing/>
              <w:jc w:val="left"/>
              <w:rPr>
                <w:rFonts w:ascii="Calibri" w:hAnsi="Calibri" w:cs="Calibri"/>
                <w:color w:val="000000"/>
                <w:szCs w:val="22"/>
                <w:lang w:eastAsia="en-GB"/>
              </w:rPr>
            </w:pPr>
            <w:r w:rsidRPr="009A51AC">
              <w:rPr>
                <w:rFonts w:ascii="Calibri" w:hAnsi="Calibri" w:cs="Calibri"/>
                <w:color w:val="000000"/>
                <w:szCs w:val="22"/>
                <w:lang w:eastAsia="en-GB"/>
              </w:rPr>
              <w:t>1</w:t>
            </w:r>
          </w:p>
        </w:tc>
        <w:tc>
          <w:tcPr>
            <w:tcW w:w="1701" w:type="dxa"/>
            <w:shd w:val="clear" w:color="auto" w:fill="auto"/>
          </w:tcPr>
          <w:p w14:paraId="178C18BB"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Drafting the Policy and Programme Timeline</w:t>
            </w:r>
          </w:p>
        </w:tc>
        <w:tc>
          <w:tcPr>
            <w:tcW w:w="5641" w:type="dxa"/>
            <w:shd w:val="clear" w:color="auto" w:fill="auto"/>
          </w:tcPr>
          <w:p w14:paraId="749D8350"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Country team to fill in the Policy and Programme Timeline Tool </w:t>
            </w:r>
          </w:p>
          <w:p w14:paraId="59C39BE8" w14:textId="77777777" w:rsidR="009A51AC" w:rsidRPr="009A51AC" w:rsidRDefault="009A51AC" w:rsidP="009A51AC">
            <w:pPr>
              <w:numPr>
                <w:ilvl w:val="0"/>
                <w:numId w:val="4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See Annex 1 for information required to fill the tool</w:t>
            </w:r>
          </w:p>
        </w:tc>
        <w:tc>
          <w:tcPr>
            <w:tcW w:w="2126" w:type="dxa"/>
            <w:shd w:val="clear" w:color="auto" w:fill="auto"/>
          </w:tcPr>
          <w:p w14:paraId="4040F942"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Country teams with technical support as relevant</w:t>
            </w:r>
          </w:p>
          <w:p w14:paraId="17A73AFC" w14:textId="77777777" w:rsidR="009A51AC" w:rsidRPr="009A51AC" w:rsidRDefault="009A51AC" w:rsidP="009A51AC">
            <w:pPr>
              <w:contextualSpacing/>
              <w:jc w:val="left"/>
              <w:rPr>
                <w:rFonts w:ascii="Calibri" w:hAnsi="Calibri" w:cs="Calibri"/>
                <w:color w:val="000000"/>
                <w:szCs w:val="22"/>
                <w:lang w:val="en-GB" w:eastAsia="en-GB"/>
              </w:rPr>
            </w:pPr>
          </w:p>
        </w:tc>
      </w:tr>
      <w:tr w:rsidR="009A51AC" w:rsidRPr="009A51AC" w14:paraId="78BCC621" w14:textId="77777777" w:rsidTr="009A51AC">
        <w:trPr>
          <w:trHeight w:val="2132"/>
        </w:trPr>
        <w:tc>
          <w:tcPr>
            <w:tcW w:w="568" w:type="dxa"/>
            <w:shd w:val="clear" w:color="auto" w:fill="auto"/>
          </w:tcPr>
          <w:p w14:paraId="4B89D60E" w14:textId="77777777" w:rsidR="009A51AC" w:rsidRPr="009A51AC" w:rsidRDefault="009A51AC" w:rsidP="009A51AC">
            <w:pPr>
              <w:contextualSpacing/>
              <w:jc w:val="left"/>
              <w:rPr>
                <w:rFonts w:ascii="Calibri" w:hAnsi="Calibri" w:cs="Calibri"/>
                <w:color w:val="000000"/>
                <w:szCs w:val="22"/>
                <w:lang w:eastAsia="en-GB"/>
              </w:rPr>
            </w:pPr>
            <w:r w:rsidRPr="009A51AC">
              <w:rPr>
                <w:rFonts w:ascii="Calibri" w:hAnsi="Calibri" w:cs="Calibri"/>
                <w:color w:val="000000"/>
                <w:szCs w:val="22"/>
                <w:lang w:eastAsia="en-GB"/>
              </w:rPr>
              <w:t>2</w:t>
            </w:r>
          </w:p>
        </w:tc>
        <w:tc>
          <w:tcPr>
            <w:tcW w:w="1701" w:type="dxa"/>
            <w:shd w:val="clear" w:color="auto" w:fill="auto"/>
          </w:tcPr>
          <w:p w14:paraId="01E5A7CA"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Country-specific analysis of Policy and Programme Timeline</w:t>
            </w:r>
          </w:p>
        </w:tc>
        <w:tc>
          <w:tcPr>
            <w:tcW w:w="5641" w:type="dxa"/>
            <w:shd w:val="clear" w:color="auto" w:fill="auto"/>
          </w:tcPr>
          <w:p w14:paraId="6262958C"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Country team to approach country partners/ stakeholders to share the Policy and Programme Timeline and to use standardised questions as per the tool’s protocol to build consensus on what has changed and what has had the most impact on RMNCH via policy, programmes, and implementation in their country.</w:t>
            </w:r>
          </w:p>
          <w:p w14:paraId="7B0FF94B" w14:textId="77777777" w:rsidR="009A51AC" w:rsidRPr="009A51AC" w:rsidRDefault="009A51AC" w:rsidP="009A51AC">
            <w:pPr>
              <w:numPr>
                <w:ilvl w:val="0"/>
                <w:numId w:val="4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See Annex 2 for guidance on conducting the analysis</w:t>
            </w:r>
          </w:p>
        </w:tc>
        <w:tc>
          <w:tcPr>
            <w:tcW w:w="2126" w:type="dxa"/>
            <w:shd w:val="clear" w:color="auto" w:fill="auto"/>
          </w:tcPr>
          <w:p w14:paraId="2EDBB67F"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Country team, country partners/ stakeholders and in some cases, additional support</w:t>
            </w:r>
          </w:p>
          <w:p w14:paraId="3DF4F08A" w14:textId="77777777" w:rsidR="009A51AC" w:rsidRPr="009A51AC" w:rsidRDefault="009A51AC" w:rsidP="009A51AC">
            <w:pPr>
              <w:contextualSpacing/>
              <w:jc w:val="left"/>
              <w:rPr>
                <w:rFonts w:ascii="Calibri" w:hAnsi="Calibri" w:cs="Calibri"/>
                <w:color w:val="000000"/>
                <w:szCs w:val="22"/>
                <w:lang w:val="en-GB" w:eastAsia="en-GB"/>
              </w:rPr>
            </w:pPr>
          </w:p>
        </w:tc>
      </w:tr>
      <w:tr w:rsidR="009A51AC" w:rsidRPr="009A51AC" w14:paraId="189730C7" w14:textId="77777777" w:rsidTr="009A51AC">
        <w:tc>
          <w:tcPr>
            <w:tcW w:w="568" w:type="dxa"/>
            <w:shd w:val="clear" w:color="auto" w:fill="auto"/>
          </w:tcPr>
          <w:p w14:paraId="7D09E4AF" w14:textId="77777777" w:rsidR="009A51AC" w:rsidRPr="009A51AC" w:rsidRDefault="009A51AC" w:rsidP="009A51AC">
            <w:pPr>
              <w:contextualSpacing/>
              <w:jc w:val="left"/>
              <w:rPr>
                <w:rFonts w:ascii="Calibri" w:hAnsi="Calibri" w:cs="Calibri"/>
                <w:color w:val="000000"/>
                <w:szCs w:val="22"/>
                <w:lang w:eastAsia="en-GB"/>
              </w:rPr>
            </w:pPr>
            <w:r w:rsidRPr="009A51AC">
              <w:rPr>
                <w:rFonts w:ascii="Calibri" w:hAnsi="Calibri" w:cs="Calibri"/>
                <w:color w:val="000000"/>
                <w:szCs w:val="22"/>
                <w:lang w:eastAsia="en-GB"/>
              </w:rPr>
              <w:t>3</w:t>
            </w:r>
          </w:p>
        </w:tc>
        <w:tc>
          <w:tcPr>
            <w:tcW w:w="1701" w:type="dxa"/>
            <w:shd w:val="clear" w:color="auto" w:fill="auto"/>
          </w:tcPr>
          <w:p w14:paraId="7F9701C9"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Synthesising results from Policy and Programme Timeline analysis</w:t>
            </w:r>
          </w:p>
        </w:tc>
        <w:tc>
          <w:tcPr>
            <w:tcW w:w="5641" w:type="dxa"/>
            <w:shd w:val="clear" w:color="auto" w:fill="auto"/>
          </w:tcPr>
          <w:p w14:paraId="5F2C71BB" w14:textId="77777777" w:rsidR="009A51AC" w:rsidRPr="009A51AC" w:rsidRDefault="009A51AC" w:rsidP="009A51AC">
            <w:pPr>
              <w:numPr>
                <w:ilvl w:val="0"/>
                <w:numId w:val="41"/>
              </w:numPr>
              <w:ind w:left="351"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Analysis of common themes across countries as relevant</w:t>
            </w:r>
          </w:p>
          <w:p w14:paraId="4713FA8F" w14:textId="77777777" w:rsidR="009A51AC" w:rsidRPr="009A51AC" w:rsidRDefault="009A51AC" w:rsidP="009A51AC">
            <w:pPr>
              <w:numPr>
                <w:ilvl w:val="0"/>
                <w:numId w:val="36"/>
              </w:numPr>
              <w:ind w:left="351"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Draft standardised graphics representing analysis results for use in journal articles, policy briefs and/or other dissemination outputs as relevant</w:t>
            </w:r>
          </w:p>
          <w:p w14:paraId="648021CE" w14:textId="77777777" w:rsidR="009A51AC" w:rsidRPr="009A51AC" w:rsidRDefault="009A51AC" w:rsidP="009A51AC">
            <w:pPr>
              <w:numPr>
                <w:ilvl w:val="0"/>
                <w:numId w:val="42"/>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See Annex 3 for guidance on synthesising results, and Annexes 4 and 5 for examples of graphics</w:t>
            </w:r>
          </w:p>
        </w:tc>
        <w:tc>
          <w:tcPr>
            <w:tcW w:w="2126" w:type="dxa"/>
            <w:shd w:val="clear" w:color="auto" w:fill="auto"/>
          </w:tcPr>
          <w:p w14:paraId="229DBE38"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Country teams with additional technical and graphic support as relevant</w:t>
            </w:r>
          </w:p>
        </w:tc>
      </w:tr>
    </w:tbl>
    <w:p w14:paraId="7B37123D" w14:textId="77777777" w:rsidR="009A51AC" w:rsidRPr="009A51AC" w:rsidRDefault="009A51AC" w:rsidP="009A51AC">
      <w:pPr>
        <w:keepNext/>
        <w:spacing w:before="240" w:after="60"/>
        <w:contextualSpacing/>
        <w:jc w:val="left"/>
        <w:outlineLvl w:val="0"/>
        <w:rPr>
          <w:rFonts w:ascii="Calibri" w:hAnsi="Calibri" w:cs="Calibri"/>
          <w:b/>
          <w:bCs/>
          <w:color w:val="000000"/>
          <w:kern w:val="32"/>
          <w:sz w:val="28"/>
          <w:szCs w:val="32"/>
          <w:lang w:val="en-GB" w:eastAsia="x-none"/>
        </w:rPr>
        <w:sectPr w:rsidR="009A51AC" w:rsidRPr="009A51AC" w:rsidSect="00E65AD9">
          <w:headerReference w:type="even" r:id="rId8"/>
          <w:headerReference w:type="default" r:id="rId9"/>
          <w:footerReference w:type="default" r:id="rId10"/>
          <w:headerReference w:type="first" r:id="rId11"/>
          <w:pgSz w:w="12240" w:h="15840"/>
          <w:pgMar w:top="1134" w:right="1440" w:bottom="1440" w:left="1440" w:header="720" w:footer="720" w:gutter="0"/>
          <w:cols w:space="720"/>
          <w:docGrid w:linePitch="360"/>
        </w:sectPr>
      </w:pPr>
    </w:p>
    <w:p w14:paraId="0AC3A719" w14:textId="4827F309" w:rsidR="009A51AC" w:rsidRPr="000D5184" w:rsidRDefault="009A51AC" w:rsidP="000D5184">
      <w:pPr>
        <w:rPr>
          <w:b/>
          <w:sz w:val="28"/>
          <w:szCs w:val="28"/>
          <w:lang w:val="en-GB"/>
        </w:rPr>
      </w:pPr>
      <w:r w:rsidRPr="000D5184">
        <w:rPr>
          <w:b/>
          <w:sz w:val="28"/>
          <w:szCs w:val="28"/>
          <w:u w:val="single"/>
          <w:lang w:val="en-GB"/>
        </w:rPr>
        <w:lastRenderedPageBreak/>
        <w:t>Annex 1</w:t>
      </w:r>
      <w:r w:rsidRPr="000D5184">
        <w:rPr>
          <w:b/>
          <w:sz w:val="28"/>
          <w:szCs w:val="28"/>
          <w:lang w:val="en-GB"/>
        </w:rPr>
        <w:t xml:space="preserve">: Suggested content for completing </w:t>
      </w:r>
      <w:r w:rsidR="00F75AC9">
        <w:rPr>
          <w:b/>
          <w:sz w:val="28"/>
          <w:szCs w:val="28"/>
          <w:lang w:val="en-GB"/>
        </w:rPr>
        <w:t>CD</w:t>
      </w:r>
      <w:r w:rsidRPr="000D5184">
        <w:rPr>
          <w:b/>
          <w:sz w:val="28"/>
          <w:szCs w:val="28"/>
          <w:lang w:val="en-GB"/>
        </w:rPr>
        <w:t xml:space="preserve"> Policy and Program</w:t>
      </w:r>
      <w:r w:rsidR="000D5184" w:rsidRPr="000D5184">
        <w:rPr>
          <w:b/>
          <w:sz w:val="28"/>
          <w:szCs w:val="28"/>
          <w:lang w:val="en-GB"/>
        </w:rPr>
        <w:t>me</w:t>
      </w:r>
      <w:r w:rsidRPr="000D5184">
        <w:rPr>
          <w:b/>
          <w:sz w:val="28"/>
          <w:szCs w:val="28"/>
          <w:lang w:val="en-GB"/>
        </w:rPr>
        <w:t xml:space="preserve"> Timeline</w:t>
      </w:r>
      <w:r w:rsidR="000D5184" w:rsidRPr="000D5184">
        <w:rPr>
          <w:b/>
          <w:sz w:val="28"/>
          <w:szCs w:val="28"/>
          <w:lang w:val="en-GB"/>
        </w:rPr>
        <w:t xml:space="preserve"> Tool</w:t>
      </w:r>
    </w:p>
    <w:p w14:paraId="0EEE2428" w14:textId="77777777" w:rsidR="009A51AC" w:rsidRPr="009A51AC" w:rsidRDefault="009A51AC" w:rsidP="009A51AC">
      <w:pPr>
        <w:contextualSpacing/>
        <w:jc w:val="left"/>
        <w:rPr>
          <w:rFonts w:ascii="Calibri" w:hAnsi="Calibri" w:cs="Calibri"/>
          <w:color w:val="000000"/>
          <w:szCs w:val="22"/>
          <w:lang w:val="en-GB" w:eastAsia="x-none"/>
        </w:rPr>
      </w:pPr>
    </w:p>
    <w:p w14:paraId="60EDBD3D" w14:textId="77777777" w:rsidR="009A51AC" w:rsidRPr="009A51AC" w:rsidRDefault="009A51AC" w:rsidP="009A51AC">
      <w:pPr>
        <w:numPr>
          <w:ilvl w:val="0"/>
          <w:numId w:val="35"/>
        </w:numPr>
        <w:contextualSpacing/>
        <w:jc w:val="left"/>
        <w:rPr>
          <w:rFonts w:ascii="Calibri" w:hAnsi="Calibri" w:cs="Calibri"/>
          <w:color w:val="000000"/>
          <w:szCs w:val="22"/>
          <w:lang w:val="en-GB" w:eastAsia="en-GB"/>
        </w:rPr>
      </w:pPr>
      <w:r w:rsidRPr="009A51AC">
        <w:rPr>
          <w:rFonts w:ascii="Calibri" w:hAnsi="Calibri" w:cs="Calibri"/>
          <w:b/>
          <w:color w:val="000000"/>
          <w:szCs w:val="22"/>
          <w:lang w:val="en-GB" w:eastAsia="en-GB"/>
        </w:rPr>
        <w:t>NOTE:</w:t>
      </w:r>
      <w:r w:rsidRPr="009A51AC">
        <w:rPr>
          <w:rFonts w:ascii="Calibri" w:hAnsi="Calibri" w:cs="Calibri"/>
          <w:color w:val="000000"/>
          <w:szCs w:val="22"/>
          <w:lang w:val="en-GB" w:eastAsia="en-GB"/>
        </w:rPr>
        <w:t xml:space="preserve"> It is likely that items will qualify for multiple rows, in which case include it in the first relevant row as your read from top to bottom. In addition, either include sufficient information so that it is clear that it could have been in two rows, or repeat in the second row.</w:t>
      </w:r>
    </w:p>
    <w:p w14:paraId="1B81BB88" w14:textId="77777777" w:rsidR="009A51AC" w:rsidRPr="009A51AC" w:rsidRDefault="009A51AC" w:rsidP="009A51AC">
      <w:pPr>
        <w:ind w:left="360"/>
        <w:contextualSpacing/>
        <w:rPr>
          <w:rFonts w:ascii="Calibri" w:hAnsi="Calibri" w:cs="Calibri"/>
          <w:b/>
          <w:color w:val="000000"/>
          <w:szCs w:val="22"/>
          <w:u w:val="single"/>
          <w:lang w:val="en-GB" w:eastAsia="en-GB"/>
        </w:rPr>
      </w:pPr>
    </w:p>
    <w:p w14:paraId="5B04193C" w14:textId="77777777" w:rsidR="009A51AC" w:rsidRPr="009A51AC" w:rsidRDefault="009A51AC" w:rsidP="009A51AC">
      <w:pPr>
        <w:ind w:left="360"/>
        <w:contextualSpacing/>
        <w:rPr>
          <w:rFonts w:ascii="Calibri" w:hAnsi="Calibri" w:cs="Calibri"/>
          <w:b/>
          <w:color w:val="000000"/>
          <w:szCs w:val="22"/>
          <w:lang w:val="en-GB" w:eastAsia="en-GB"/>
        </w:rPr>
      </w:pPr>
      <w:r w:rsidRPr="009A51AC">
        <w:rPr>
          <w:rFonts w:ascii="Calibri" w:hAnsi="Calibri" w:cs="Calibri"/>
          <w:b/>
          <w:color w:val="000000"/>
          <w:szCs w:val="22"/>
          <w:u w:val="single"/>
          <w:lang w:val="en-GB" w:eastAsia="en-GB"/>
        </w:rPr>
        <w:t>LEVEL 1</w:t>
      </w:r>
      <w:r w:rsidRPr="009A51AC">
        <w:rPr>
          <w:rFonts w:ascii="Calibri" w:hAnsi="Calibri" w:cs="Calibri"/>
          <w:b/>
          <w:color w:val="000000"/>
          <w:szCs w:val="22"/>
          <w:lang w:val="en-GB" w:eastAsia="en-GB"/>
        </w:rPr>
        <w:t xml:space="preserve">: National context </w:t>
      </w:r>
    </w:p>
    <w:p w14:paraId="474901EA" w14:textId="77777777" w:rsidR="009A51AC" w:rsidRPr="009A51AC" w:rsidRDefault="009A51AC" w:rsidP="009A51AC">
      <w:pPr>
        <w:numPr>
          <w:ilvl w:val="0"/>
          <w:numId w:val="38"/>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This row will include information on non-health variables that may have affected RMNCH.  For example, change in the political regime, humanitarian disasters, change in women’s status (look at MDG3 indicators over time); major economic changes and rapid urbanization.</w:t>
      </w:r>
    </w:p>
    <w:p w14:paraId="56DB5628" w14:textId="77777777" w:rsidR="009A51AC" w:rsidRPr="009A51AC" w:rsidRDefault="009A51AC" w:rsidP="009A51AC">
      <w:pPr>
        <w:contextualSpacing/>
        <w:rPr>
          <w:rFonts w:ascii="Calibri" w:hAnsi="Calibri" w:cs="Calibri"/>
          <w:color w:val="000000"/>
          <w:szCs w:val="22"/>
          <w:lang w:val="en-GB" w:eastAsia="en-GB"/>
        </w:rPr>
      </w:pPr>
    </w:p>
    <w:p w14:paraId="378528CE" w14:textId="77777777" w:rsidR="009A51AC" w:rsidRPr="009A51AC" w:rsidRDefault="009A51AC" w:rsidP="009A51AC">
      <w:pPr>
        <w:contextualSpacing/>
        <w:rPr>
          <w:rFonts w:ascii="Calibri" w:hAnsi="Calibri" w:cs="Calibri"/>
          <w:color w:val="000000"/>
          <w:szCs w:val="22"/>
          <w:lang w:val="en-GB" w:eastAsia="en-GB"/>
        </w:rPr>
      </w:pPr>
    </w:p>
    <w:p w14:paraId="0A7B2C5F" w14:textId="77777777" w:rsidR="009A51AC" w:rsidRPr="009A51AC" w:rsidRDefault="009A51AC" w:rsidP="009A51AC">
      <w:pPr>
        <w:ind w:left="360"/>
        <w:contextualSpacing/>
        <w:rPr>
          <w:rFonts w:ascii="Calibri" w:hAnsi="Calibri" w:cs="Calibri"/>
          <w:b/>
          <w:color w:val="000000"/>
          <w:szCs w:val="22"/>
          <w:lang w:val="en-GB" w:eastAsia="en-GB"/>
        </w:rPr>
      </w:pPr>
      <w:r w:rsidRPr="009A51AC">
        <w:rPr>
          <w:rFonts w:ascii="Calibri" w:hAnsi="Calibri" w:cs="Calibri"/>
          <w:b/>
          <w:color w:val="000000"/>
          <w:szCs w:val="22"/>
          <w:u w:val="single"/>
          <w:lang w:val="en-GB" w:eastAsia="en-GB"/>
        </w:rPr>
        <w:t>LEVEL 2</w:t>
      </w:r>
      <w:r w:rsidRPr="009A51AC">
        <w:rPr>
          <w:rFonts w:ascii="Calibri" w:hAnsi="Calibri" w:cs="Calibri"/>
          <w:b/>
          <w:color w:val="000000"/>
          <w:szCs w:val="22"/>
          <w:lang w:val="en-GB" w:eastAsia="en-GB"/>
        </w:rPr>
        <w:t>: Macro Health Policies and Strategies</w:t>
      </w:r>
    </w:p>
    <w:p w14:paraId="32620191" w14:textId="77777777" w:rsidR="009A51AC" w:rsidRPr="009A51AC" w:rsidRDefault="009A51AC" w:rsidP="009A51AC">
      <w:pPr>
        <w:ind w:left="360"/>
        <w:contextualSpacing/>
        <w:rPr>
          <w:rFonts w:ascii="Calibri" w:hAnsi="Calibri" w:cs="Calibri"/>
          <w:b/>
          <w:i/>
          <w:color w:val="000000"/>
          <w:szCs w:val="22"/>
          <w:lang w:val="en-GB" w:eastAsia="en-GB"/>
        </w:rPr>
      </w:pPr>
    </w:p>
    <w:p w14:paraId="74E2F555" w14:textId="77777777" w:rsidR="009A51AC" w:rsidRPr="009A51AC" w:rsidRDefault="009A51AC" w:rsidP="009A51AC">
      <w:pPr>
        <w:ind w:left="360"/>
        <w:contextualSpacing/>
        <w:rPr>
          <w:rFonts w:ascii="Calibri" w:hAnsi="Calibri" w:cs="Calibri"/>
          <w:b/>
          <w:i/>
          <w:color w:val="000000"/>
          <w:szCs w:val="22"/>
          <w:lang w:val="en-GB" w:eastAsia="en-GB"/>
        </w:rPr>
      </w:pPr>
      <w:r w:rsidRPr="009A51AC">
        <w:rPr>
          <w:rFonts w:ascii="Calibri" w:hAnsi="Calibri" w:cs="Calibri"/>
          <w:b/>
          <w:i/>
          <w:color w:val="000000"/>
          <w:szCs w:val="22"/>
          <w:lang w:val="en-GB" w:eastAsia="en-GB"/>
        </w:rPr>
        <w:t>Health Systems and Governance</w:t>
      </w:r>
    </w:p>
    <w:p w14:paraId="41EAC008" w14:textId="77777777" w:rsidR="009A51AC" w:rsidRPr="009A51AC" w:rsidRDefault="009A51AC" w:rsidP="009A51AC">
      <w:pPr>
        <w:numPr>
          <w:ilvl w:val="0"/>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This row will include national level macro health policies, strategies, and plans which incorporate RMNCH e.g. National Health Plan, Health Sector Strategic Plan etc. Specifically, include relevant information on the following key components:</w:t>
      </w:r>
    </w:p>
    <w:p w14:paraId="65D5BA03"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Right to the highest attainable standard of health</w:t>
      </w:r>
    </w:p>
    <w:p w14:paraId="534DED64"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Universal access to healthcare and services</w:t>
      </w:r>
    </w:p>
    <w:p w14:paraId="6F98E92C"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Integration of RMNCH into national health strategy and plan</w:t>
      </w:r>
    </w:p>
    <w:p w14:paraId="583620A3"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National RMNCH strategies and implementation plans</w:t>
      </w:r>
    </w:p>
    <w:p w14:paraId="2F8EFD89"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institutional arrangements</w:t>
      </w:r>
    </w:p>
    <w:p w14:paraId="1BA12EF6"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programming includes a human rights based approach</w:t>
      </w:r>
    </w:p>
    <w:p w14:paraId="11936411"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Standards on quality of RMNCH care</w:t>
      </w:r>
    </w:p>
    <w:p w14:paraId="5E72ABB4"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Standards for RMNCH referral care</w:t>
      </w:r>
    </w:p>
    <w:p w14:paraId="7031F5D3" w14:textId="77777777" w:rsidR="009A51AC" w:rsidRPr="009A51AC" w:rsidRDefault="009A51AC" w:rsidP="009A51AC">
      <w:pPr>
        <w:numPr>
          <w:ilvl w:val="0"/>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More general national milestones such as committing to the Millennium Development Goals and national funded programs could also be included here if it is of national significance. </w:t>
      </w:r>
    </w:p>
    <w:p w14:paraId="47B08CE6" w14:textId="77777777" w:rsidR="009A51AC" w:rsidRPr="009A51AC" w:rsidRDefault="009A51AC" w:rsidP="009A51AC">
      <w:pPr>
        <w:ind w:left="360"/>
        <w:contextualSpacing/>
        <w:rPr>
          <w:rFonts w:ascii="Calibri" w:hAnsi="Calibri" w:cs="Calibri"/>
          <w:b/>
          <w:i/>
          <w:color w:val="000000"/>
          <w:szCs w:val="22"/>
          <w:lang w:val="en-GB" w:eastAsia="en-GB"/>
        </w:rPr>
      </w:pPr>
    </w:p>
    <w:p w14:paraId="5B1A2719" w14:textId="77777777" w:rsidR="009A51AC" w:rsidRPr="009A51AC" w:rsidRDefault="009A51AC" w:rsidP="009A51AC">
      <w:pPr>
        <w:ind w:left="360"/>
        <w:contextualSpacing/>
        <w:rPr>
          <w:rFonts w:ascii="Calibri" w:hAnsi="Calibri" w:cs="Calibri"/>
          <w:b/>
          <w:i/>
          <w:color w:val="000000"/>
          <w:szCs w:val="22"/>
          <w:lang w:val="en-GB" w:eastAsia="en-GB"/>
        </w:rPr>
      </w:pPr>
      <w:r w:rsidRPr="009A51AC">
        <w:rPr>
          <w:rFonts w:ascii="Calibri" w:hAnsi="Calibri" w:cs="Calibri"/>
          <w:b/>
          <w:i/>
          <w:color w:val="000000"/>
          <w:szCs w:val="22"/>
          <w:lang w:val="en-GB" w:eastAsia="en-GB"/>
        </w:rPr>
        <w:t>HIV/AIDS, Malaria &amp; TB</w:t>
      </w:r>
    </w:p>
    <w:p w14:paraId="155AD83B" w14:textId="77777777" w:rsidR="009A51AC" w:rsidRPr="009A51AC" w:rsidRDefault="009A51AC" w:rsidP="009A51AC">
      <w:pPr>
        <w:numPr>
          <w:ilvl w:val="0"/>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This row will include national level macro health policies, strategies, and plans relating to HIV/AIDS, Malaria &amp; TB</w:t>
      </w:r>
    </w:p>
    <w:p w14:paraId="5926035C" w14:textId="77777777" w:rsidR="009A51AC" w:rsidRPr="009A51AC" w:rsidRDefault="009A51AC" w:rsidP="009A51AC">
      <w:pPr>
        <w:contextualSpacing/>
        <w:rPr>
          <w:rFonts w:ascii="Calibri" w:hAnsi="Calibri" w:cs="Calibri"/>
          <w:color w:val="000000"/>
          <w:szCs w:val="22"/>
          <w:lang w:val="en-GB" w:eastAsia="en-GB"/>
        </w:rPr>
      </w:pPr>
    </w:p>
    <w:p w14:paraId="225BB58B" w14:textId="77777777" w:rsidR="009A51AC" w:rsidRPr="009A51AC" w:rsidRDefault="009A51AC" w:rsidP="009A51AC">
      <w:pPr>
        <w:contextualSpacing/>
        <w:rPr>
          <w:rFonts w:ascii="Calibri" w:hAnsi="Calibri" w:cs="Calibri"/>
          <w:color w:val="000000"/>
          <w:szCs w:val="22"/>
          <w:lang w:val="en-GB" w:eastAsia="en-GB"/>
        </w:rPr>
      </w:pPr>
    </w:p>
    <w:p w14:paraId="33505629" w14:textId="77777777" w:rsidR="009A51AC" w:rsidRPr="009A51AC" w:rsidRDefault="009A51AC" w:rsidP="009A51AC">
      <w:pPr>
        <w:ind w:left="360"/>
        <w:contextualSpacing/>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LEVEL 3</w:t>
      </w:r>
      <w:r w:rsidRPr="009A51AC">
        <w:rPr>
          <w:rFonts w:ascii="Calibri" w:hAnsi="Calibri" w:cs="Calibri"/>
          <w:b/>
          <w:color w:val="000000"/>
          <w:szCs w:val="22"/>
          <w:lang w:val="en-GB" w:eastAsia="en-GB"/>
        </w:rPr>
        <w:t>: Health System Building Blocks</w:t>
      </w:r>
    </w:p>
    <w:p w14:paraId="2C06335E" w14:textId="77777777" w:rsidR="009A51AC" w:rsidRPr="009A51AC" w:rsidRDefault="009A51AC" w:rsidP="009A51AC">
      <w:pPr>
        <w:numPr>
          <w:ilvl w:val="0"/>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These rows will include important policies and programs that effect RMNCH according to four specific categories based on the WHO Health System Building Blocks:</w:t>
      </w:r>
    </w:p>
    <w:p w14:paraId="04ED7A23" w14:textId="77777777" w:rsidR="009A51AC" w:rsidRPr="009A51AC" w:rsidRDefault="009A51AC" w:rsidP="009A51AC">
      <w:pPr>
        <w:ind w:left="720"/>
        <w:contextualSpacing/>
        <w:rPr>
          <w:rFonts w:ascii="Calibri" w:hAnsi="Calibri" w:cs="Calibri"/>
          <w:color w:val="000000"/>
          <w:szCs w:val="22"/>
          <w:lang w:val="en-GB" w:eastAsia="en-GB"/>
        </w:rPr>
      </w:pPr>
    </w:p>
    <w:p w14:paraId="25735427"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u w:val="single"/>
          <w:lang w:val="en-GB" w:eastAsia="en-GB"/>
        </w:rPr>
        <w:t>Health System Financing</w:t>
      </w:r>
      <w:r w:rsidRPr="009A51AC">
        <w:rPr>
          <w:rFonts w:ascii="Calibri" w:hAnsi="Calibri" w:cs="Calibri"/>
          <w:color w:val="000000"/>
          <w:szCs w:val="22"/>
          <w:lang w:val="en-GB" w:eastAsia="en-GB"/>
        </w:rPr>
        <w:t>, including relevant information on the following key components:</w:t>
      </w:r>
    </w:p>
    <w:p w14:paraId="547021ED"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Sustainable financing of RMNCH</w:t>
      </w:r>
    </w:p>
    <w:p w14:paraId="6CD25F0E"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resource allocation and expenditure</w:t>
      </w:r>
    </w:p>
    <w:p w14:paraId="5D9593BF"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Elimination of financial barriers</w:t>
      </w:r>
    </w:p>
    <w:p w14:paraId="4E51E35F"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resource reporting and tracking</w:t>
      </w:r>
    </w:p>
    <w:p w14:paraId="368C9D50" w14:textId="77777777" w:rsidR="009A51AC" w:rsidRPr="009A51AC" w:rsidRDefault="009A51AC" w:rsidP="009A51AC">
      <w:pPr>
        <w:ind w:left="2160"/>
        <w:contextualSpacing/>
        <w:rPr>
          <w:rFonts w:ascii="Calibri" w:hAnsi="Calibri" w:cs="Calibri"/>
          <w:color w:val="000000"/>
          <w:szCs w:val="22"/>
          <w:lang w:val="en-GB" w:eastAsia="en-GB"/>
        </w:rPr>
      </w:pPr>
    </w:p>
    <w:p w14:paraId="4B7BCBD2"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u w:val="single"/>
          <w:lang w:val="en-GB" w:eastAsia="en-GB"/>
        </w:rPr>
        <w:t>Health Workforce</w:t>
      </w:r>
      <w:r w:rsidRPr="009A51AC">
        <w:rPr>
          <w:rFonts w:ascii="Calibri" w:hAnsi="Calibri" w:cs="Calibri"/>
          <w:color w:val="000000"/>
          <w:szCs w:val="22"/>
          <w:lang w:val="en-GB" w:eastAsia="en-GB"/>
        </w:rPr>
        <w:t>, including relevant information on the following key components:</w:t>
      </w:r>
    </w:p>
    <w:p w14:paraId="6747153F"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Deployment and retention</w:t>
      </w:r>
    </w:p>
    <w:p w14:paraId="2D07098C"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lastRenderedPageBreak/>
        <w:t>Accreditation and certification</w:t>
      </w:r>
    </w:p>
    <w:p w14:paraId="02061CC6" w14:textId="7B3A70BD" w:rsidR="009A51AC" w:rsidRPr="009A51AC" w:rsidRDefault="00F75AC9" w:rsidP="009A51AC">
      <w:pPr>
        <w:numPr>
          <w:ilvl w:val="2"/>
          <w:numId w:val="39"/>
        </w:numPr>
        <w:contextualSpacing/>
        <w:jc w:val="left"/>
        <w:rPr>
          <w:rFonts w:ascii="Calibri" w:hAnsi="Calibri" w:cs="Calibri"/>
          <w:color w:val="000000"/>
          <w:szCs w:val="22"/>
          <w:lang w:val="en-GB" w:eastAsia="en-GB"/>
        </w:rPr>
      </w:pPr>
      <w:r>
        <w:rPr>
          <w:rFonts w:ascii="Calibri" w:hAnsi="Calibri" w:cs="Calibri"/>
          <w:color w:val="000000"/>
          <w:szCs w:val="22"/>
          <w:lang w:val="en-GB" w:eastAsia="en-GB"/>
        </w:rPr>
        <w:t>Authoris</w:t>
      </w:r>
      <w:r w:rsidR="009A51AC" w:rsidRPr="009A51AC">
        <w:rPr>
          <w:rFonts w:ascii="Calibri" w:hAnsi="Calibri" w:cs="Calibri"/>
          <w:color w:val="000000"/>
          <w:szCs w:val="22"/>
          <w:lang w:val="en-GB" w:eastAsia="en-GB"/>
        </w:rPr>
        <w:t>ation of service provision and task shifting</w:t>
      </w:r>
    </w:p>
    <w:p w14:paraId="3F8A9466"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Unmet needs for midwives/doctors/health service providers</w:t>
      </w:r>
    </w:p>
    <w:p w14:paraId="426BD6F0"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training curricular</w:t>
      </w:r>
    </w:p>
    <w:p w14:paraId="3E21836A"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RMNCH continuous skills training</w:t>
      </w:r>
    </w:p>
    <w:p w14:paraId="26BB4543"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Supporting supervision for all RMNCH health workers in the delivery of quality RMNCH care</w:t>
      </w:r>
    </w:p>
    <w:p w14:paraId="795CE750" w14:textId="77777777" w:rsidR="009A51AC" w:rsidRPr="009A51AC" w:rsidRDefault="009A51AC" w:rsidP="009A51AC">
      <w:pPr>
        <w:ind w:left="2160"/>
        <w:contextualSpacing/>
        <w:rPr>
          <w:rFonts w:ascii="Calibri" w:hAnsi="Calibri" w:cs="Calibri"/>
          <w:color w:val="000000"/>
          <w:szCs w:val="22"/>
          <w:lang w:val="en-GB" w:eastAsia="en-GB"/>
        </w:rPr>
      </w:pPr>
    </w:p>
    <w:p w14:paraId="7C22EF4E"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u w:val="single"/>
          <w:lang w:val="en-GB" w:eastAsia="en-GB"/>
        </w:rPr>
        <w:t>Infrastructure and Commodities</w:t>
      </w:r>
      <w:r w:rsidRPr="009A51AC">
        <w:rPr>
          <w:rFonts w:ascii="Calibri" w:hAnsi="Calibri" w:cs="Calibri"/>
          <w:color w:val="000000"/>
          <w:szCs w:val="22"/>
          <w:lang w:val="en-GB" w:eastAsia="en-GB"/>
        </w:rPr>
        <w:t>, including relevant information on the following key components:</w:t>
      </w:r>
    </w:p>
    <w:p w14:paraId="63437E4B"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Essential infrastructure in health facilities</w:t>
      </w:r>
    </w:p>
    <w:p w14:paraId="2F50DFEF"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Essential medicine supply and equipment list</w:t>
      </w:r>
    </w:p>
    <w:p w14:paraId="4CABA1C0"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Medicine and commodity security</w:t>
      </w:r>
    </w:p>
    <w:p w14:paraId="6F6918FD"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Stock-out policies</w:t>
      </w:r>
    </w:p>
    <w:p w14:paraId="2DF0A4BD"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Water sanitation and hygiene</w:t>
      </w:r>
    </w:p>
    <w:p w14:paraId="03EC9FD6" w14:textId="77777777" w:rsidR="009A51AC" w:rsidRPr="009A51AC" w:rsidRDefault="009A51AC" w:rsidP="009A51AC">
      <w:pPr>
        <w:ind w:left="2160"/>
        <w:contextualSpacing/>
        <w:rPr>
          <w:rFonts w:ascii="Calibri" w:hAnsi="Calibri" w:cs="Calibri"/>
          <w:color w:val="000000"/>
          <w:szCs w:val="22"/>
          <w:lang w:val="en-GB" w:eastAsia="en-GB"/>
        </w:rPr>
      </w:pPr>
    </w:p>
    <w:p w14:paraId="27BC788F"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u w:val="single"/>
          <w:lang w:val="en-GB" w:eastAsia="en-GB"/>
        </w:rPr>
        <w:t>Participatory community empowerment/Community-based behaviour change</w:t>
      </w:r>
      <w:r w:rsidRPr="009A51AC">
        <w:rPr>
          <w:rFonts w:ascii="Calibri" w:hAnsi="Calibri" w:cs="Calibri"/>
          <w:color w:val="000000"/>
          <w:szCs w:val="22"/>
          <w:lang w:val="en-GB" w:eastAsia="en-GB"/>
        </w:rPr>
        <w:t>, including relevant information on the following key components:</w:t>
      </w:r>
    </w:p>
    <w:p w14:paraId="0469D90C"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 Key participatory community empowerment strategies/policies specific to RMNCH</w:t>
      </w:r>
    </w:p>
    <w:p w14:paraId="6BB865B1"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Key community-based behaviour change strategies/policies specific to RMNCH</w:t>
      </w:r>
    </w:p>
    <w:p w14:paraId="1C222A51" w14:textId="77777777" w:rsidR="009A51AC" w:rsidRPr="009A51AC" w:rsidRDefault="009A51AC" w:rsidP="009A51AC">
      <w:pPr>
        <w:ind w:left="2160"/>
        <w:contextualSpacing/>
        <w:rPr>
          <w:rFonts w:ascii="Calibri" w:hAnsi="Calibri" w:cs="Calibri"/>
          <w:color w:val="000000"/>
          <w:szCs w:val="22"/>
          <w:lang w:val="en-GB" w:eastAsia="en-GB"/>
        </w:rPr>
      </w:pPr>
    </w:p>
    <w:p w14:paraId="65BE385F" w14:textId="77777777" w:rsidR="009A51AC" w:rsidRPr="009A51AC" w:rsidRDefault="009A51AC" w:rsidP="009A51AC">
      <w:pPr>
        <w:numPr>
          <w:ilvl w:val="1"/>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u w:val="single"/>
          <w:lang w:val="en-GB" w:eastAsia="en-GB"/>
        </w:rPr>
        <w:t>Health Information Systems</w:t>
      </w:r>
      <w:r w:rsidRPr="009A51AC">
        <w:rPr>
          <w:rFonts w:ascii="Calibri" w:hAnsi="Calibri" w:cs="Calibri"/>
          <w:color w:val="000000"/>
          <w:szCs w:val="22"/>
          <w:lang w:val="en-GB" w:eastAsia="en-GB"/>
        </w:rPr>
        <w:t>, including relevant information on the following key components:</w:t>
      </w:r>
    </w:p>
    <w:p w14:paraId="4D857146"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Birth registration</w:t>
      </w:r>
    </w:p>
    <w:p w14:paraId="13575F54"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Death notification</w:t>
      </w:r>
    </w:p>
    <w:p w14:paraId="19F0C547"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Death reviews</w:t>
      </w:r>
    </w:p>
    <w:p w14:paraId="44CCEB44"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Well-functioning health information system and surveillance system for RMNCH</w:t>
      </w:r>
    </w:p>
    <w:p w14:paraId="046A6B92"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Defining key RMNCH indicators</w:t>
      </w:r>
    </w:p>
    <w:p w14:paraId="01AD67AE" w14:textId="77777777" w:rsidR="009A51AC" w:rsidRPr="009A51AC" w:rsidRDefault="009A51AC" w:rsidP="009A51AC">
      <w:pPr>
        <w:numPr>
          <w:ilvl w:val="2"/>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National and subnational RMNCH targets</w:t>
      </w:r>
    </w:p>
    <w:p w14:paraId="746F350E" w14:textId="77777777" w:rsidR="009A51AC" w:rsidRPr="009A51AC" w:rsidRDefault="009A51AC" w:rsidP="009A51AC">
      <w:pPr>
        <w:numPr>
          <w:ilvl w:val="2"/>
          <w:numId w:val="39"/>
        </w:numPr>
        <w:contextualSpacing/>
        <w:jc w:val="left"/>
        <w:rPr>
          <w:rFonts w:ascii="Calibri Light" w:hAnsi="Calibri Light" w:cs="Calibri"/>
          <w:color w:val="000000"/>
          <w:szCs w:val="22"/>
          <w:lang w:val="en-GB" w:eastAsia="en-GB"/>
        </w:rPr>
      </w:pPr>
      <w:r w:rsidRPr="009A51AC">
        <w:rPr>
          <w:rFonts w:ascii="Calibri" w:hAnsi="Calibri" w:cs="Calibri"/>
          <w:color w:val="000000"/>
          <w:szCs w:val="22"/>
          <w:lang w:val="en-GB" w:eastAsia="en-GB"/>
        </w:rPr>
        <w:t>Data review process</w:t>
      </w:r>
    </w:p>
    <w:p w14:paraId="695358CA" w14:textId="77777777" w:rsidR="009A51AC" w:rsidRPr="009A51AC" w:rsidRDefault="009A51AC" w:rsidP="009A51AC">
      <w:pPr>
        <w:ind w:left="1440"/>
        <w:contextualSpacing/>
        <w:rPr>
          <w:rFonts w:ascii="Calibri Light" w:hAnsi="Calibri Light" w:cs="Calibri"/>
          <w:color w:val="000000"/>
          <w:szCs w:val="22"/>
          <w:lang w:val="en-GB" w:eastAsia="en-GB"/>
        </w:rPr>
      </w:pPr>
    </w:p>
    <w:p w14:paraId="3D823425" w14:textId="77777777" w:rsidR="009A51AC" w:rsidRPr="009A51AC" w:rsidRDefault="009A51AC" w:rsidP="009A51AC">
      <w:pPr>
        <w:contextualSpacing/>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LEVEL 4</w:t>
      </w:r>
      <w:r w:rsidRPr="009A51AC">
        <w:rPr>
          <w:rFonts w:ascii="Calibri" w:hAnsi="Calibri" w:cs="Calibri"/>
          <w:b/>
          <w:color w:val="000000"/>
          <w:szCs w:val="22"/>
          <w:lang w:val="en-GB" w:eastAsia="en-GB"/>
        </w:rPr>
        <w:t>: High Impact Policies Specific to RMNCH</w:t>
      </w:r>
    </w:p>
    <w:p w14:paraId="47174575" w14:textId="77777777" w:rsidR="009A51AC" w:rsidRPr="009A51AC" w:rsidRDefault="009A51AC" w:rsidP="009A51AC">
      <w:pPr>
        <w:numPr>
          <w:ilvl w:val="0"/>
          <w:numId w:val="39"/>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This row will include policies and programs specific to RMNCH independently, including:</w:t>
      </w:r>
    </w:p>
    <w:p w14:paraId="62D0876C" w14:textId="77777777" w:rsidR="009A51AC" w:rsidRPr="009A51AC" w:rsidRDefault="009A51AC" w:rsidP="009A51AC">
      <w:pPr>
        <w:ind w:left="720"/>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4.1  Specific</w:t>
      </w:r>
      <w:proofErr w:type="gramEnd"/>
      <w:r w:rsidRPr="009A51AC">
        <w:rPr>
          <w:rFonts w:ascii="Calibri" w:hAnsi="Calibri" w:cs="Calibri"/>
          <w:color w:val="000000"/>
          <w:szCs w:val="22"/>
          <w:lang w:val="en-GB" w:eastAsia="en-GB"/>
        </w:rPr>
        <w:t xml:space="preserve"> </w:t>
      </w:r>
      <w:r w:rsidRPr="009A51AC">
        <w:rPr>
          <w:rFonts w:ascii="Calibri" w:hAnsi="Calibri" w:cs="Calibri"/>
          <w:color w:val="000000"/>
          <w:szCs w:val="22"/>
          <w:u w:val="single"/>
          <w:lang w:val="en-GB" w:eastAsia="en-GB"/>
        </w:rPr>
        <w:t>reproductive</w:t>
      </w:r>
      <w:r w:rsidRPr="009A51AC">
        <w:rPr>
          <w:rFonts w:ascii="Calibri" w:hAnsi="Calibri" w:cs="Calibri"/>
          <w:color w:val="000000"/>
          <w:szCs w:val="22"/>
          <w:lang w:val="en-GB" w:eastAsia="en-GB"/>
        </w:rPr>
        <w:t xml:space="preserve"> health policies, strategies and reports, including:</w:t>
      </w:r>
    </w:p>
    <w:p w14:paraId="74E825FA" w14:textId="77777777" w:rsidR="009A51AC" w:rsidRPr="009A51AC" w:rsidRDefault="009A51AC" w:rsidP="009A51AC">
      <w:pPr>
        <w:ind w:left="1985" w:hanging="567"/>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4.1.1   Access to sexual and reproductive health services e.g. Injectable contraception - e.g. lowest cadres authorized to administer</w:t>
      </w:r>
    </w:p>
    <w:p w14:paraId="0905EFAB"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4.1.2  Legal</w:t>
      </w:r>
      <w:proofErr w:type="gramEnd"/>
      <w:r w:rsidRPr="009A51AC">
        <w:rPr>
          <w:rFonts w:ascii="Calibri" w:hAnsi="Calibri" w:cs="Calibri"/>
          <w:color w:val="000000"/>
          <w:szCs w:val="22"/>
          <w:lang w:val="en-GB" w:eastAsia="en-GB"/>
        </w:rPr>
        <w:t xml:space="preserve"> basis for safe abortion, and policies/programs for post abortion care</w:t>
      </w:r>
    </w:p>
    <w:p w14:paraId="43C832BC"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4.1.3  Commodities</w:t>
      </w:r>
      <w:proofErr w:type="gramEnd"/>
      <w:r w:rsidRPr="009A51AC">
        <w:rPr>
          <w:rFonts w:ascii="Calibri" w:hAnsi="Calibri" w:cs="Calibri"/>
          <w:color w:val="000000"/>
          <w:szCs w:val="22"/>
          <w:lang w:val="en-GB" w:eastAsia="en-GB"/>
        </w:rPr>
        <w:t xml:space="preserve"> e.g.  contraception stock-out policies</w:t>
      </w:r>
    </w:p>
    <w:p w14:paraId="724F384D" w14:textId="77777777" w:rsidR="009A51AC" w:rsidRPr="009A51AC" w:rsidRDefault="009A51AC" w:rsidP="009A51AC">
      <w:pPr>
        <w:ind w:left="1985" w:hanging="567"/>
        <w:contextualSpacing/>
        <w:rPr>
          <w:rFonts w:ascii="Calibri" w:hAnsi="Calibri" w:cs="Calibri"/>
          <w:color w:val="000000"/>
          <w:szCs w:val="22"/>
          <w:lang w:val="en-GB" w:eastAsia="en-GB"/>
        </w:rPr>
      </w:pPr>
    </w:p>
    <w:p w14:paraId="642FD24A" w14:textId="77777777" w:rsidR="009A51AC" w:rsidRPr="009A51AC" w:rsidRDefault="009A51AC" w:rsidP="009A51AC">
      <w:pPr>
        <w:ind w:left="720"/>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4.2  Specific</w:t>
      </w:r>
      <w:proofErr w:type="gramEnd"/>
      <w:r w:rsidRPr="009A51AC">
        <w:rPr>
          <w:rFonts w:ascii="Calibri" w:hAnsi="Calibri" w:cs="Calibri"/>
          <w:color w:val="000000"/>
          <w:szCs w:val="22"/>
          <w:lang w:val="en-GB" w:eastAsia="en-GB"/>
        </w:rPr>
        <w:t xml:space="preserve"> </w:t>
      </w:r>
      <w:r w:rsidRPr="009A51AC">
        <w:rPr>
          <w:rFonts w:ascii="Calibri" w:hAnsi="Calibri" w:cs="Calibri"/>
          <w:color w:val="000000"/>
          <w:szCs w:val="22"/>
          <w:u w:val="single"/>
          <w:lang w:val="en-GB" w:eastAsia="en-GB"/>
        </w:rPr>
        <w:t>maternal</w:t>
      </w:r>
      <w:r w:rsidRPr="009A51AC">
        <w:rPr>
          <w:rFonts w:ascii="Calibri" w:hAnsi="Calibri" w:cs="Calibri"/>
          <w:color w:val="000000"/>
          <w:szCs w:val="22"/>
          <w:lang w:val="en-GB" w:eastAsia="en-GB"/>
        </w:rPr>
        <w:t xml:space="preserve"> health policies, strategies and reports, including:</w:t>
      </w:r>
    </w:p>
    <w:p w14:paraId="19A34584"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4.2.1  Antenatal</w:t>
      </w:r>
      <w:proofErr w:type="gramEnd"/>
      <w:r w:rsidRPr="009A51AC">
        <w:rPr>
          <w:rFonts w:ascii="Calibri" w:hAnsi="Calibri" w:cs="Calibri"/>
          <w:color w:val="000000"/>
          <w:szCs w:val="22"/>
          <w:lang w:val="en-GB" w:eastAsia="en-GB"/>
        </w:rPr>
        <w:t xml:space="preserve"> Care (ANC) including Malaria and Sexually Transmitted Infections (STIs) in pregnancy</w:t>
      </w:r>
    </w:p>
    <w:p w14:paraId="27AE8A42"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4.2.2  Care</w:t>
      </w:r>
      <w:proofErr w:type="gramEnd"/>
      <w:r w:rsidRPr="009A51AC">
        <w:rPr>
          <w:rFonts w:ascii="Calibri" w:hAnsi="Calibri" w:cs="Calibri"/>
          <w:color w:val="000000"/>
          <w:szCs w:val="22"/>
          <w:lang w:val="en-GB" w:eastAsia="en-GB"/>
        </w:rPr>
        <w:t xml:space="preserve"> at birth, skilled attendance, % </w:t>
      </w:r>
      <w:proofErr w:type="spellStart"/>
      <w:r w:rsidRPr="009A51AC">
        <w:rPr>
          <w:rFonts w:ascii="Calibri" w:hAnsi="Calibri" w:cs="Calibri"/>
          <w:color w:val="000000"/>
          <w:szCs w:val="22"/>
          <w:lang w:val="en-GB" w:eastAsia="en-GB"/>
        </w:rPr>
        <w:t>CEmONC</w:t>
      </w:r>
      <w:proofErr w:type="spellEnd"/>
      <w:r w:rsidRPr="009A51AC">
        <w:rPr>
          <w:rFonts w:ascii="Calibri" w:hAnsi="Calibri" w:cs="Calibri"/>
          <w:color w:val="000000"/>
          <w:szCs w:val="22"/>
          <w:lang w:val="en-GB" w:eastAsia="en-GB"/>
        </w:rPr>
        <w:t xml:space="preserve">/ </w:t>
      </w:r>
      <w:proofErr w:type="spellStart"/>
      <w:r w:rsidRPr="009A51AC">
        <w:rPr>
          <w:rFonts w:ascii="Calibri" w:hAnsi="Calibri" w:cs="Calibri"/>
          <w:color w:val="000000"/>
          <w:szCs w:val="22"/>
          <w:lang w:val="en-GB" w:eastAsia="en-GB"/>
        </w:rPr>
        <w:t>BEmoNC</w:t>
      </w:r>
      <w:proofErr w:type="spellEnd"/>
      <w:r w:rsidRPr="009A51AC">
        <w:rPr>
          <w:rFonts w:ascii="Calibri" w:hAnsi="Calibri" w:cs="Calibri"/>
          <w:color w:val="000000"/>
          <w:szCs w:val="22"/>
          <w:lang w:val="en-GB" w:eastAsia="en-GB"/>
        </w:rPr>
        <w:t xml:space="preserve"> compliant health centres, quality of care</w:t>
      </w:r>
    </w:p>
    <w:p w14:paraId="6DFACD61" w14:textId="77777777" w:rsidR="009A51AC" w:rsidRPr="009A51AC" w:rsidRDefault="009A51AC" w:rsidP="009A51AC">
      <w:pPr>
        <w:ind w:left="1985" w:hanging="567"/>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4.2.3   Postnatal Care (PNC) </w:t>
      </w:r>
    </w:p>
    <w:p w14:paraId="49A60669"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4.2.4  Death</w:t>
      </w:r>
      <w:proofErr w:type="gramEnd"/>
      <w:r w:rsidRPr="009A51AC">
        <w:rPr>
          <w:rFonts w:ascii="Calibri" w:hAnsi="Calibri" w:cs="Calibri"/>
          <w:color w:val="000000"/>
          <w:szCs w:val="22"/>
          <w:lang w:val="en-GB" w:eastAsia="en-GB"/>
        </w:rPr>
        <w:t xml:space="preserve"> Reviews</w:t>
      </w:r>
    </w:p>
    <w:p w14:paraId="0150D3DF" w14:textId="77777777" w:rsidR="009A51AC" w:rsidRPr="009A51AC" w:rsidRDefault="009A51AC" w:rsidP="009A51AC">
      <w:pPr>
        <w:ind w:left="720"/>
        <w:contextualSpacing/>
        <w:rPr>
          <w:rFonts w:ascii="Calibri" w:hAnsi="Calibri" w:cs="Calibri"/>
          <w:color w:val="000000"/>
          <w:szCs w:val="22"/>
          <w:lang w:val="en-GB" w:eastAsia="en-GB"/>
        </w:rPr>
      </w:pPr>
    </w:p>
    <w:p w14:paraId="14DCD0CE" w14:textId="77777777" w:rsidR="009A51AC" w:rsidRPr="009A51AC" w:rsidRDefault="009A51AC" w:rsidP="009A51AC">
      <w:pPr>
        <w:ind w:left="720"/>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4.3 Specific </w:t>
      </w:r>
      <w:r w:rsidRPr="009A51AC">
        <w:rPr>
          <w:rFonts w:ascii="Calibri" w:hAnsi="Calibri" w:cs="Calibri"/>
          <w:color w:val="000000"/>
          <w:szCs w:val="22"/>
          <w:u w:val="single"/>
          <w:lang w:val="en-GB" w:eastAsia="en-GB"/>
        </w:rPr>
        <w:t>newborn</w:t>
      </w:r>
      <w:r w:rsidRPr="009A51AC">
        <w:rPr>
          <w:rFonts w:ascii="Calibri" w:hAnsi="Calibri" w:cs="Calibri"/>
          <w:color w:val="000000"/>
          <w:szCs w:val="22"/>
          <w:lang w:val="en-GB" w:eastAsia="en-GB"/>
        </w:rPr>
        <w:t xml:space="preserve"> health policies, strategies and reports, including:</w:t>
      </w:r>
    </w:p>
    <w:p w14:paraId="76432A8D"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lastRenderedPageBreak/>
        <w:t>4.3.1  Essential</w:t>
      </w:r>
      <w:proofErr w:type="gramEnd"/>
      <w:r w:rsidRPr="009A51AC">
        <w:rPr>
          <w:rFonts w:ascii="Calibri" w:hAnsi="Calibri" w:cs="Calibri"/>
          <w:color w:val="000000"/>
          <w:szCs w:val="22"/>
          <w:lang w:val="en-GB" w:eastAsia="en-GB"/>
        </w:rPr>
        <w:t xml:space="preserve"> newborn care, Neonatal resuscitation e.g. Helping Babies Breathe (HBB)</w:t>
      </w:r>
    </w:p>
    <w:p w14:paraId="09C46603"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4.3.2  Management</w:t>
      </w:r>
      <w:proofErr w:type="gramEnd"/>
      <w:r w:rsidRPr="009A51AC">
        <w:rPr>
          <w:rFonts w:ascii="Calibri" w:hAnsi="Calibri" w:cs="Calibri"/>
          <w:color w:val="000000"/>
          <w:szCs w:val="22"/>
          <w:lang w:val="en-GB" w:eastAsia="en-GB"/>
        </w:rPr>
        <w:t xml:space="preserve"> of preterm babies, including Kangaroo Mother Care (KMC)</w:t>
      </w:r>
    </w:p>
    <w:p w14:paraId="4E8A49D8"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4.3.3  PNC</w:t>
      </w:r>
      <w:proofErr w:type="gramEnd"/>
      <w:r w:rsidRPr="009A51AC">
        <w:rPr>
          <w:rFonts w:ascii="Calibri" w:hAnsi="Calibri" w:cs="Calibri"/>
          <w:color w:val="000000"/>
          <w:szCs w:val="22"/>
          <w:lang w:val="en-GB" w:eastAsia="en-GB"/>
        </w:rPr>
        <w:t xml:space="preserve"> for mothers and newborns and Exclusive breastfeeding                           </w:t>
      </w:r>
    </w:p>
    <w:p w14:paraId="2A3FCB9F"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4.3.4  Care</w:t>
      </w:r>
      <w:proofErr w:type="gramEnd"/>
      <w:r w:rsidRPr="009A51AC">
        <w:rPr>
          <w:rFonts w:ascii="Calibri" w:hAnsi="Calibri" w:cs="Calibri"/>
          <w:color w:val="000000"/>
          <w:szCs w:val="22"/>
          <w:lang w:val="en-GB" w:eastAsia="en-GB"/>
        </w:rPr>
        <w:t xml:space="preserve"> for sick newborns e.g. through IMCI or facility care</w:t>
      </w:r>
    </w:p>
    <w:p w14:paraId="6C7358AB" w14:textId="77777777" w:rsidR="009A51AC" w:rsidRPr="009A51AC" w:rsidRDefault="009A51AC" w:rsidP="009A51AC">
      <w:pPr>
        <w:ind w:left="720"/>
        <w:contextualSpacing/>
        <w:rPr>
          <w:rFonts w:ascii="Calibri" w:hAnsi="Calibri" w:cs="Calibri"/>
          <w:color w:val="000000"/>
          <w:szCs w:val="22"/>
          <w:lang w:val="en-GB" w:eastAsia="en-GB"/>
        </w:rPr>
      </w:pPr>
    </w:p>
    <w:p w14:paraId="201D8405" w14:textId="77777777" w:rsidR="009A51AC" w:rsidRPr="009A51AC" w:rsidRDefault="009A51AC" w:rsidP="009A51AC">
      <w:pPr>
        <w:ind w:left="720"/>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4.4 Specific </w:t>
      </w:r>
      <w:r w:rsidRPr="009A51AC">
        <w:rPr>
          <w:rFonts w:ascii="Calibri" w:hAnsi="Calibri" w:cs="Calibri"/>
          <w:color w:val="000000"/>
          <w:szCs w:val="22"/>
          <w:u w:val="single"/>
          <w:lang w:val="en-GB" w:eastAsia="en-GB"/>
        </w:rPr>
        <w:t>child health</w:t>
      </w:r>
      <w:r w:rsidRPr="009A51AC">
        <w:rPr>
          <w:rFonts w:ascii="Calibri" w:hAnsi="Calibri" w:cs="Calibri"/>
          <w:color w:val="000000"/>
          <w:szCs w:val="22"/>
          <w:lang w:val="en-GB" w:eastAsia="en-GB"/>
        </w:rPr>
        <w:t xml:space="preserve"> policies, strategies and reports, including:</w:t>
      </w:r>
    </w:p>
    <w:p w14:paraId="275E7CE0"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4.4.1  IMCI</w:t>
      </w:r>
      <w:proofErr w:type="gramEnd"/>
      <w:r w:rsidRPr="009A51AC">
        <w:rPr>
          <w:rFonts w:ascii="Calibri" w:hAnsi="Calibri" w:cs="Calibri"/>
          <w:color w:val="000000"/>
          <w:szCs w:val="22"/>
          <w:lang w:val="en-GB" w:eastAsia="en-GB"/>
        </w:rPr>
        <w:t xml:space="preserve"> including diarrhoea and pneumonia case management, e.g. oral rehydration and zinc</w:t>
      </w:r>
    </w:p>
    <w:p w14:paraId="6EE954AB"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4.4.2  Child</w:t>
      </w:r>
      <w:proofErr w:type="gramEnd"/>
      <w:r w:rsidRPr="009A51AC">
        <w:rPr>
          <w:rFonts w:ascii="Calibri" w:hAnsi="Calibri" w:cs="Calibri"/>
          <w:color w:val="000000"/>
          <w:szCs w:val="22"/>
          <w:lang w:val="en-GB" w:eastAsia="en-GB"/>
        </w:rPr>
        <w:t xml:space="preserve"> nutrition and breastfeeding</w:t>
      </w:r>
    </w:p>
    <w:p w14:paraId="08622646"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4.4.3  Malaria</w:t>
      </w:r>
      <w:proofErr w:type="gramEnd"/>
      <w:r w:rsidRPr="009A51AC">
        <w:rPr>
          <w:rFonts w:ascii="Calibri" w:hAnsi="Calibri" w:cs="Calibri"/>
          <w:color w:val="000000"/>
          <w:szCs w:val="22"/>
          <w:lang w:val="en-GB" w:eastAsia="en-GB"/>
        </w:rPr>
        <w:t xml:space="preserve"> prevention including bed nets and </w:t>
      </w:r>
      <w:proofErr w:type="spellStart"/>
      <w:r w:rsidRPr="009A51AC">
        <w:rPr>
          <w:rFonts w:ascii="Calibri" w:hAnsi="Calibri" w:cs="Calibri"/>
          <w:color w:val="000000"/>
          <w:szCs w:val="22"/>
          <w:lang w:val="en-GB" w:eastAsia="en-GB"/>
        </w:rPr>
        <w:t>ITPi</w:t>
      </w:r>
      <w:proofErr w:type="spellEnd"/>
    </w:p>
    <w:p w14:paraId="3863128A" w14:textId="77777777" w:rsidR="009A51AC" w:rsidRPr="009A51AC" w:rsidRDefault="009A51AC" w:rsidP="009A51AC">
      <w:pPr>
        <w:ind w:left="1985" w:hanging="567"/>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4.4.5. Immunisation                       </w:t>
      </w:r>
    </w:p>
    <w:p w14:paraId="4BCAFA12" w14:textId="77777777" w:rsidR="009A51AC" w:rsidRPr="009A51AC" w:rsidRDefault="009A51AC" w:rsidP="009A51AC">
      <w:pPr>
        <w:ind w:left="1985" w:hanging="567"/>
        <w:contextualSpacing/>
        <w:rPr>
          <w:rFonts w:ascii="Calibri" w:hAnsi="Calibri" w:cs="Calibri"/>
          <w:color w:val="000000"/>
          <w:szCs w:val="22"/>
          <w:lang w:val="en-GB" w:eastAsia="en-GB"/>
        </w:rPr>
      </w:pPr>
      <w:proofErr w:type="gramStart"/>
      <w:r w:rsidRPr="009A51AC">
        <w:rPr>
          <w:rFonts w:ascii="Calibri" w:hAnsi="Calibri" w:cs="Calibri"/>
          <w:color w:val="000000"/>
          <w:szCs w:val="22"/>
          <w:lang w:val="en-GB" w:eastAsia="en-GB"/>
        </w:rPr>
        <w:t>4.4.6  PMTCT</w:t>
      </w:r>
      <w:proofErr w:type="gramEnd"/>
    </w:p>
    <w:p w14:paraId="44E85862" w14:textId="77777777" w:rsidR="009A51AC" w:rsidRPr="009A51AC" w:rsidRDefault="009A51AC" w:rsidP="009A51AC">
      <w:pPr>
        <w:ind w:left="1985" w:hanging="567"/>
        <w:contextualSpacing/>
        <w:rPr>
          <w:rFonts w:ascii="Calibri" w:hAnsi="Calibri" w:cs="Calibri"/>
          <w:color w:val="000000"/>
          <w:szCs w:val="22"/>
          <w:lang w:val="en-GB" w:eastAsia="en-GB"/>
        </w:rPr>
      </w:pPr>
    </w:p>
    <w:p w14:paraId="20938B42" w14:textId="77777777" w:rsidR="009A51AC" w:rsidRPr="009A51AC" w:rsidRDefault="009A51AC" w:rsidP="009A51AC">
      <w:pPr>
        <w:contextualSpacing/>
        <w:rPr>
          <w:rFonts w:ascii="Calibri" w:hAnsi="Calibri" w:cs="Calibri"/>
          <w:color w:val="000000"/>
          <w:szCs w:val="22"/>
          <w:lang w:val="en-GB" w:eastAsia="en-GB"/>
        </w:rPr>
      </w:pPr>
    </w:p>
    <w:p w14:paraId="57522CC8" w14:textId="77777777" w:rsidR="009A51AC" w:rsidRPr="009A51AC" w:rsidRDefault="009A51AC" w:rsidP="009A51AC">
      <w:pPr>
        <w:contextualSpacing/>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 xml:space="preserve">LEVEL 5: </w:t>
      </w:r>
      <w:r w:rsidRPr="009A51AC">
        <w:rPr>
          <w:rFonts w:ascii="Calibri" w:hAnsi="Calibri" w:cs="Calibri"/>
          <w:b/>
          <w:color w:val="000000"/>
          <w:szCs w:val="22"/>
          <w:lang w:val="en-GB" w:eastAsia="en-GB"/>
        </w:rPr>
        <w:t>High Impact Research Specific to RMNCH</w:t>
      </w:r>
    </w:p>
    <w:p w14:paraId="068CCB47" w14:textId="77777777" w:rsidR="009A51AC" w:rsidRPr="009A51AC" w:rsidRDefault="009A51AC" w:rsidP="009A51AC">
      <w:pPr>
        <w:numPr>
          <w:ilvl w:val="0"/>
          <w:numId w:val="40"/>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These rows will include high impact research that has affected the landscape of RMNCH within the specific country. Only list research studies that had a major national impact. Research in this section should be more focused on studies and influential papers or series outside the country that had an influence inside.</w:t>
      </w:r>
    </w:p>
    <w:p w14:paraId="625F155E" w14:textId="77777777" w:rsidR="009A51AC" w:rsidRPr="009A51AC" w:rsidRDefault="009A51AC" w:rsidP="009A51AC">
      <w:pPr>
        <w:numPr>
          <w:ilvl w:val="0"/>
          <w:numId w:val="40"/>
        </w:numPr>
        <w:contextualSpacing/>
        <w:jc w:val="left"/>
        <w:rPr>
          <w:rFonts w:ascii="Calibri" w:hAnsi="Calibri" w:cs="Calibri"/>
          <w:color w:val="000000"/>
          <w:szCs w:val="22"/>
          <w:lang w:val="en-GB" w:eastAsia="en-GB"/>
        </w:rPr>
      </w:pPr>
      <w:r w:rsidRPr="009A51AC">
        <w:rPr>
          <w:rFonts w:ascii="Calibri" w:hAnsi="Calibri" w:cs="Calibri"/>
          <w:b/>
          <w:color w:val="000000"/>
          <w:szCs w:val="22"/>
          <w:lang w:val="en-GB" w:eastAsia="en-GB"/>
        </w:rPr>
        <w:t>NOTE:</w:t>
      </w:r>
      <w:r w:rsidRPr="009A51AC">
        <w:rPr>
          <w:rFonts w:ascii="Calibri" w:hAnsi="Calibri" w:cs="Calibri"/>
          <w:color w:val="000000"/>
          <w:szCs w:val="22"/>
          <w:lang w:val="en-GB" w:eastAsia="en-GB"/>
        </w:rPr>
        <w:t xml:space="preserve"> This section should not include items such as HSSP MTR, since that is part of policy. Also, other program assessments and reports should be in their respective RMNCH rows, not in this research section.</w:t>
      </w:r>
    </w:p>
    <w:p w14:paraId="74C3A84A" w14:textId="77777777" w:rsidR="009A51AC" w:rsidRPr="009A51AC" w:rsidRDefault="009A51AC" w:rsidP="009A51AC">
      <w:pPr>
        <w:contextualSpacing/>
        <w:rPr>
          <w:rFonts w:ascii="Calibri" w:hAnsi="Calibri" w:cs="Calibri"/>
          <w:b/>
          <w:color w:val="000000"/>
          <w:szCs w:val="22"/>
          <w:lang w:val="en-GB" w:eastAsia="en-GB"/>
        </w:rPr>
      </w:pPr>
    </w:p>
    <w:p w14:paraId="111C035D" w14:textId="77777777" w:rsidR="009A51AC" w:rsidRPr="009A51AC" w:rsidRDefault="009A51AC" w:rsidP="009A51AC">
      <w:pPr>
        <w:contextualSpacing/>
        <w:rPr>
          <w:rFonts w:ascii="Calibri" w:hAnsi="Calibri" w:cs="Calibri"/>
          <w:b/>
          <w:color w:val="000000"/>
          <w:szCs w:val="22"/>
          <w:u w:val="single"/>
          <w:lang w:val="en-GB" w:eastAsia="en-GB"/>
        </w:rPr>
      </w:pPr>
    </w:p>
    <w:p w14:paraId="7AB9D096" w14:textId="77777777" w:rsidR="009A51AC" w:rsidRPr="009A51AC" w:rsidRDefault="009A51AC" w:rsidP="009A51AC">
      <w:pPr>
        <w:contextualSpacing/>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ALL LEVELS</w:t>
      </w:r>
      <w:r w:rsidRPr="009A51AC">
        <w:rPr>
          <w:rFonts w:ascii="Calibri" w:hAnsi="Calibri" w:cs="Calibri"/>
          <w:b/>
          <w:color w:val="000000"/>
          <w:szCs w:val="22"/>
          <w:lang w:val="en-GB" w:eastAsia="en-GB"/>
        </w:rPr>
        <w:t>: Partnerships and Convening Mechanisms</w:t>
      </w:r>
    </w:p>
    <w:p w14:paraId="45840779" w14:textId="77777777" w:rsidR="009A51AC" w:rsidRPr="009A51AC" w:rsidRDefault="009A51AC" w:rsidP="009A51AC">
      <w:pPr>
        <w:numPr>
          <w:ilvl w:val="0"/>
          <w:numId w:val="30"/>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These rows will include information on formal and/or informal partnerships and convening mechanisms within the specific country. </w:t>
      </w:r>
    </w:p>
    <w:p w14:paraId="751F85E5" w14:textId="4C03C9BF" w:rsidR="009A51AC" w:rsidRPr="000D5184" w:rsidRDefault="009A51AC" w:rsidP="000D5184">
      <w:pPr>
        <w:rPr>
          <w:b/>
          <w:sz w:val="28"/>
          <w:szCs w:val="28"/>
          <w:lang w:val="en-GB"/>
        </w:rPr>
      </w:pPr>
      <w:r w:rsidRPr="009A51AC">
        <w:rPr>
          <w:u w:val="single"/>
          <w:lang w:val="en-GB"/>
        </w:rPr>
        <w:br w:type="page"/>
      </w:r>
      <w:r w:rsidRPr="000D5184">
        <w:rPr>
          <w:b/>
          <w:sz w:val="28"/>
          <w:szCs w:val="28"/>
          <w:u w:val="single"/>
          <w:lang w:val="en-GB"/>
        </w:rPr>
        <w:lastRenderedPageBreak/>
        <w:t>Annex 2:</w:t>
      </w:r>
      <w:r w:rsidRPr="000D5184">
        <w:rPr>
          <w:b/>
          <w:sz w:val="28"/>
          <w:szCs w:val="28"/>
          <w:lang w:val="en-GB"/>
        </w:rPr>
        <w:t xml:space="preserve"> Guidance on Conducting Country-specific Analysis of Policy and Program</w:t>
      </w:r>
      <w:r w:rsidR="000D5184" w:rsidRPr="000D5184">
        <w:rPr>
          <w:b/>
          <w:sz w:val="28"/>
          <w:szCs w:val="28"/>
          <w:lang w:val="en-GB"/>
        </w:rPr>
        <w:t>me</w:t>
      </w:r>
      <w:r w:rsidRPr="000D5184">
        <w:rPr>
          <w:b/>
          <w:sz w:val="28"/>
          <w:szCs w:val="28"/>
          <w:lang w:val="en-GB"/>
        </w:rPr>
        <w:t xml:space="preserve"> Timeline </w:t>
      </w:r>
    </w:p>
    <w:p w14:paraId="55609355" w14:textId="77777777" w:rsidR="009A51AC" w:rsidRPr="009A51AC" w:rsidRDefault="009A51AC" w:rsidP="009A51AC">
      <w:pPr>
        <w:contextualSpacing/>
        <w:jc w:val="left"/>
        <w:rPr>
          <w:rFonts w:ascii="Calibri" w:hAnsi="Calibri" w:cs="Calibri"/>
          <w:color w:val="000000"/>
          <w:szCs w:val="22"/>
          <w:lang w:val="en-GB" w:eastAsia="x-none"/>
        </w:rPr>
      </w:pPr>
    </w:p>
    <w:p w14:paraId="75010881" w14:textId="77777777" w:rsidR="009A51AC" w:rsidRPr="009A51AC" w:rsidRDefault="009A51AC" w:rsidP="009A51AC">
      <w:pPr>
        <w:numPr>
          <w:ilvl w:val="0"/>
          <w:numId w:val="27"/>
        </w:numPr>
        <w:ind w:left="426" w:hanging="284"/>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SPECIFIC TASKS:</w:t>
      </w:r>
    </w:p>
    <w:p w14:paraId="43B03AE5"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Countdown (CD) Country Team to approach country partners/stakeholders and share the Policy and Program Timeline to build consensus on what has changed in policy, programs, and implementation in their country.  </w:t>
      </w:r>
    </w:p>
    <w:p w14:paraId="5AD02ABF"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CD Country Teams and key partners/stakeholders to work through the questions below, document findings and note where consensus is strong or weak from their country Policy and Program Timeline Analysis.</w:t>
      </w:r>
    </w:p>
    <w:p w14:paraId="7F04CD21"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Suggest to country teams to record minutes of meetings with partners going through the initial review and discussions of the questions below and then systematically summarise those notes identifying major themes.</w:t>
      </w:r>
    </w:p>
    <w:p w14:paraId="763E72D5"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Since questions are grouped in themes, it might be useful to start with a general discussion on reproductive, maternal, newborn and child health (RMNCH) within country to review the timeline before delving into specific questions (listed below).</w:t>
      </w:r>
    </w:p>
    <w:p w14:paraId="54C83B5B"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If key events/sources of influence emerge from discussion are not reflected in the timeline, then they should be added to the timeline</w:t>
      </w:r>
    </w:p>
    <w:p w14:paraId="2099F424"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This meeting can be used as the forum in which to propose a country paper</w:t>
      </w:r>
    </w:p>
    <w:p w14:paraId="4D37DA00"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CD Country Team to share updated draft with the CD Health Systems and Policy Technical Working Group </w:t>
      </w:r>
    </w:p>
    <w:p w14:paraId="72B3126E" w14:textId="77777777" w:rsidR="009A51AC" w:rsidRPr="009A51AC" w:rsidRDefault="009A51AC" w:rsidP="009A51AC">
      <w:pPr>
        <w:numPr>
          <w:ilvl w:val="1"/>
          <w:numId w:val="21"/>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CD Health Systems and Policy Technical Working Group to review and provide technical support</w:t>
      </w:r>
    </w:p>
    <w:p w14:paraId="5AD6FD65" w14:textId="77777777" w:rsidR="009A51AC" w:rsidRPr="009A51AC" w:rsidRDefault="009A51AC" w:rsidP="009A51AC">
      <w:pPr>
        <w:contextualSpacing/>
        <w:rPr>
          <w:rFonts w:ascii="Calibri" w:hAnsi="Calibri" w:cs="Calibri"/>
          <w:color w:val="000000"/>
          <w:szCs w:val="22"/>
          <w:lang w:val="en-GB" w:eastAsia="en-GB"/>
        </w:rPr>
      </w:pPr>
    </w:p>
    <w:p w14:paraId="04C3FA37" w14:textId="77777777" w:rsidR="009A51AC" w:rsidRPr="009A51AC" w:rsidRDefault="009A51AC" w:rsidP="009A51AC">
      <w:pPr>
        <w:numPr>
          <w:ilvl w:val="0"/>
          <w:numId w:val="35"/>
        </w:numPr>
        <w:contextualSpacing/>
        <w:jc w:val="left"/>
        <w:rPr>
          <w:rFonts w:ascii="Calibri" w:hAnsi="Calibri" w:cs="Calibri"/>
          <w:color w:val="000000"/>
          <w:szCs w:val="22"/>
          <w:lang w:val="en-GB" w:eastAsia="en-GB"/>
        </w:rPr>
      </w:pPr>
      <w:r w:rsidRPr="009A51AC">
        <w:rPr>
          <w:rFonts w:ascii="Calibri" w:hAnsi="Calibri" w:cs="Calibri"/>
          <w:b/>
          <w:color w:val="000000"/>
          <w:szCs w:val="22"/>
          <w:lang w:val="en-GB" w:eastAsia="en-GB"/>
        </w:rPr>
        <w:t>Note:</w:t>
      </w:r>
      <w:r w:rsidRPr="009A51AC">
        <w:rPr>
          <w:rFonts w:ascii="Calibri" w:hAnsi="Calibri" w:cs="Calibri"/>
          <w:color w:val="000000"/>
          <w:szCs w:val="22"/>
          <w:lang w:val="en-GB" w:eastAsia="en-GB"/>
        </w:rPr>
        <w:t xml:space="preserve"> Those countries writing papers that include this analysis should summarize results into the detailed outline of the qualitative section of their paper or create a </w:t>
      </w:r>
      <w:proofErr w:type="gramStart"/>
      <w:r w:rsidRPr="009A51AC">
        <w:rPr>
          <w:rFonts w:ascii="Calibri" w:hAnsi="Calibri" w:cs="Calibri"/>
          <w:color w:val="000000"/>
          <w:szCs w:val="22"/>
          <w:lang w:val="en-GB" w:eastAsia="en-GB"/>
        </w:rPr>
        <w:t>one page</w:t>
      </w:r>
      <w:proofErr w:type="gramEnd"/>
      <w:r w:rsidRPr="009A51AC">
        <w:rPr>
          <w:rFonts w:ascii="Calibri" w:hAnsi="Calibri" w:cs="Calibri"/>
          <w:color w:val="000000"/>
          <w:szCs w:val="22"/>
          <w:lang w:val="en-GB" w:eastAsia="en-GB"/>
        </w:rPr>
        <w:t xml:space="preserve"> summary.</w:t>
      </w:r>
    </w:p>
    <w:p w14:paraId="6D62C062" w14:textId="77777777" w:rsidR="009A51AC" w:rsidRPr="009A51AC" w:rsidRDefault="009A51AC" w:rsidP="009A51AC">
      <w:pPr>
        <w:contextualSpacing/>
        <w:rPr>
          <w:rFonts w:ascii="Calibri" w:hAnsi="Calibri" w:cs="Calibri"/>
          <w:color w:val="000000"/>
          <w:szCs w:val="22"/>
          <w:lang w:val="en-GB" w:eastAsia="en-GB"/>
        </w:rPr>
      </w:pPr>
    </w:p>
    <w:p w14:paraId="007B567B" w14:textId="77777777" w:rsidR="009A51AC" w:rsidRPr="009A51AC" w:rsidRDefault="009A51AC" w:rsidP="009A51AC">
      <w:pPr>
        <w:numPr>
          <w:ilvl w:val="0"/>
          <w:numId w:val="28"/>
        </w:numPr>
        <w:contextualSpacing/>
        <w:jc w:val="left"/>
        <w:rPr>
          <w:rFonts w:ascii="Calibri" w:hAnsi="Calibri" w:cs="Calibri"/>
          <w:b/>
          <w:color w:val="000000"/>
          <w:szCs w:val="22"/>
          <w:lang w:val="en-GB" w:eastAsia="en-GB"/>
        </w:rPr>
      </w:pPr>
      <w:r w:rsidRPr="009A51AC">
        <w:rPr>
          <w:rFonts w:ascii="Calibri" w:hAnsi="Calibri" w:cs="Calibri"/>
          <w:b/>
          <w:color w:val="000000"/>
          <w:szCs w:val="22"/>
          <w:lang w:val="en-GB" w:eastAsia="en-GB"/>
        </w:rPr>
        <w:t xml:space="preserve">Questions to guide the country specific analysis  </w:t>
      </w:r>
    </w:p>
    <w:p w14:paraId="16B16F4C" w14:textId="77777777" w:rsidR="009A51AC" w:rsidRPr="009A51AC" w:rsidRDefault="009A51AC" w:rsidP="009A51AC">
      <w:pPr>
        <w:contextualSpacing/>
        <w:rPr>
          <w:rFonts w:ascii="Calibri" w:hAnsi="Calibri" w:cs="Calibri"/>
          <w:color w:val="000000"/>
          <w:szCs w:val="22"/>
          <w:lang w:val="en-GB" w:eastAsia="en-GB"/>
        </w:rPr>
      </w:pPr>
      <w:r w:rsidRPr="009A51AC">
        <w:rPr>
          <w:rFonts w:ascii="Calibri" w:hAnsi="Calibri" w:cs="Calibri"/>
          <w:color w:val="000000"/>
          <w:szCs w:val="22"/>
          <w:lang w:val="en-GB" w:eastAsia="en-GB"/>
        </w:rPr>
        <w:t xml:space="preserve">These questions aim to guide the country-specific analysis of the Policy and Program Timeline tool for the country papers and report.  Suggested questions for each row in the tool focus on the </w:t>
      </w:r>
      <w:r w:rsidRPr="009A51AC">
        <w:rPr>
          <w:rFonts w:ascii="Calibri" w:hAnsi="Calibri" w:cs="Calibri"/>
          <w:i/>
          <w:color w:val="000000"/>
          <w:szCs w:val="22"/>
          <w:lang w:val="en-GB" w:eastAsia="en-GB"/>
        </w:rPr>
        <w:t>Agenda Setting</w:t>
      </w:r>
      <w:r w:rsidRPr="009A51AC">
        <w:rPr>
          <w:rFonts w:ascii="Calibri" w:hAnsi="Calibri" w:cs="Calibri"/>
          <w:color w:val="000000"/>
          <w:szCs w:val="22"/>
          <w:lang w:val="en-GB" w:eastAsia="en-GB"/>
        </w:rPr>
        <w:t xml:space="preserve"> and </w:t>
      </w:r>
      <w:r w:rsidRPr="009A51AC">
        <w:rPr>
          <w:rFonts w:ascii="Calibri" w:hAnsi="Calibri" w:cs="Calibri"/>
          <w:i/>
          <w:color w:val="000000"/>
          <w:szCs w:val="22"/>
          <w:lang w:val="en-GB" w:eastAsia="en-GB"/>
        </w:rPr>
        <w:t>Partnerships</w:t>
      </w:r>
      <w:r w:rsidRPr="009A51AC">
        <w:rPr>
          <w:rFonts w:ascii="Calibri" w:hAnsi="Calibri" w:cs="Calibri"/>
          <w:color w:val="000000"/>
          <w:szCs w:val="22"/>
          <w:lang w:val="en-GB" w:eastAsia="en-GB"/>
        </w:rPr>
        <w:t xml:space="preserve"> components of the policy heuristic:</w:t>
      </w:r>
    </w:p>
    <w:p w14:paraId="30077C72" w14:textId="77777777" w:rsidR="009A51AC" w:rsidRPr="009A51AC" w:rsidRDefault="009A51AC" w:rsidP="009A51AC">
      <w:pPr>
        <w:contextualSpacing/>
        <w:rPr>
          <w:rFonts w:ascii="Calibri" w:hAnsi="Calibri" w:cs="Calibri"/>
          <w:color w:val="000000"/>
          <w:szCs w:val="22"/>
          <w:lang w:val="en-GB" w:eastAsia="en-GB"/>
        </w:rPr>
      </w:pPr>
    </w:p>
    <w:p w14:paraId="2A3DEB7B" w14:textId="77777777" w:rsidR="009A51AC" w:rsidRPr="009A51AC" w:rsidRDefault="009A51AC" w:rsidP="009A51AC">
      <w:pPr>
        <w:numPr>
          <w:ilvl w:val="0"/>
          <w:numId w:val="29"/>
        </w:numPr>
        <w:ind w:left="426" w:hanging="284"/>
        <w:contextualSpacing/>
        <w:jc w:val="left"/>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Agenda Setting</w:t>
      </w:r>
    </w:p>
    <w:p w14:paraId="247FA983"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What have been key policies/program milestones for RMNCH in the country?  </w:t>
      </w:r>
    </w:p>
    <w:p w14:paraId="5096BDEC"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What windows of opportunity were used (and what was result)? </w:t>
      </w:r>
    </w:p>
    <w:p w14:paraId="4200F930"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Were opportunities missed?</w:t>
      </w:r>
    </w:p>
    <w:p w14:paraId="3A647E8E"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What were strategic steps taken to bring attention to RMNCH?</w:t>
      </w:r>
    </w:p>
    <w:p w14:paraId="3C57D871"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reproductive health ascended as an issue in political and policy attention? And if so, how?</w:t>
      </w:r>
    </w:p>
    <w:p w14:paraId="11172C23"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maternal health ascended as an issue in political and policy attention? And if so, how?</w:t>
      </w:r>
    </w:p>
    <w:p w14:paraId="41050053"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newborn health ascended as an issue in political and policy attention? And if so, how?</w:t>
      </w:r>
    </w:p>
    <w:p w14:paraId="77EA402C"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child health ascended as an issue in political and policy attention? And if so, how?</w:t>
      </w:r>
    </w:p>
    <w:p w14:paraId="70ACD7E2"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increased attention to one aspect of RMNCH affected attention to another aspect of health along the continuum of care?</w:t>
      </w:r>
    </w:p>
    <w:p w14:paraId="31E2FBB4"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What did [Country X] plan in terms of addressing policy barriers and/or mobilizing resources for RMNCH and what actually happened (or did not)?</w:t>
      </w:r>
    </w:p>
    <w:p w14:paraId="6BDEF2F1"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How did the relevant ministry/</w:t>
      </w:r>
      <w:proofErr w:type="spellStart"/>
      <w:r w:rsidRPr="009A51AC">
        <w:rPr>
          <w:rFonts w:ascii="Calibri" w:hAnsi="Calibri" w:cs="Calibri"/>
          <w:color w:val="000000"/>
          <w:szCs w:val="22"/>
          <w:lang w:val="en-GB" w:eastAsia="en-GB"/>
        </w:rPr>
        <w:t>ies</w:t>
      </w:r>
      <w:proofErr w:type="spellEnd"/>
      <w:r w:rsidRPr="009A51AC">
        <w:rPr>
          <w:rFonts w:ascii="Calibri" w:hAnsi="Calibri" w:cs="Calibri"/>
          <w:color w:val="000000"/>
          <w:szCs w:val="22"/>
          <w:lang w:val="en-GB" w:eastAsia="en-GB"/>
        </w:rPr>
        <w:t xml:space="preserve"> build technical capacity in RMNCH in [Country </w:t>
      </w:r>
      <w:proofErr w:type="gramStart"/>
      <w:r w:rsidRPr="009A51AC">
        <w:rPr>
          <w:rFonts w:ascii="Calibri" w:hAnsi="Calibri" w:cs="Calibri"/>
          <w:color w:val="000000"/>
          <w:szCs w:val="22"/>
          <w:lang w:val="en-GB" w:eastAsia="en-GB"/>
        </w:rPr>
        <w:t>X]</w:t>
      </w:r>
      <w:proofErr w:type="gramEnd"/>
    </w:p>
    <w:p w14:paraId="631AFD7C" w14:textId="77777777" w:rsidR="009A51AC" w:rsidRPr="009A51AC" w:rsidRDefault="009A51AC" w:rsidP="009A51AC">
      <w:pPr>
        <w:ind w:left="426" w:hanging="284"/>
        <w:contextualSpacing/>
        <w:rPr>
          <w:rFonts w:ascii="Calibri" w:hAnsi="Calibri" w:cs="Calibri"/>
          <w:color w:val="000000"/>
          <w:szCs w:val="22"/>
          <w:lang w:val="en-GB" w:eastAsia="en-GB"/>
        </w:rPr>
      </w:pPr>
    </w:p>
    <w:p w14:paraId="1D7B7AA8"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Looking at different causes of maternal, newborn and child deaths, identify if one cause has had more attention than the others. If so, why?</w:t>
      </w:r>
    </w:p>
    <w:p w14:paraId="251D3522"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lastRenderedPageBreak/>
        <w:t>In reviewing completed timelines, are there obvious gaps in terms of the spectrum of interventions for RMNCH in [Country X]</w:t>
      </w:r>
    </w:p>
    <w:p w14:paraId="6C8C125F"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What did [Country X] plan in terms of taking advantage of opportunities for integration along the continuum of care and what was done to test feasibility of integrating (or did not do)?</w:t>
      </w:r>
    </w:p>
    <w:p w14:paraId="54A9A91E"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Is there a Behaviour change or communication strategy for RMNCH? </w:t>
      </w:r>
    </w:p>
    <w:p w14:paraId="0BC9BF3D" w14:textId="77777777" w:rsidR="009A51AC" w:rsidRPr="009A51AC" w:rsidRDefault="009A51AC" w:rsidP="009A51AC">
      <w:pPr>
        <w:ind w:left="426" w:hanging="284"/>
        <w:contextualSpacing/>
        <w:rPr>
          <w:rFonts w:ascii="Calibri" w:hAnsi="Calibri" w:cs="Calibri"/>
          <w:color w:val="000000"/>
          <w:szCs w:val="22"/>
          <w:lang w:val="en-GB" w:eastAsia="en-GB"/>
        </w:rPr>
      </w:pPr>
    </w:p>
    <w:p w14:paraId="55BA4ABF" w14:textId="77777777" w:rsidR="009A51AC" w:rsidRPr="009A51AC" w:rsidRDefault="009A51AC" w:rsidP="009A51AC">
      <w:pPr>
        <w:numPr>
          <w:ilvl w:val="0"/>
          <w:numId w:val="29"/>
        </w:numPr>
        <w:ind w:left="426" w:hanging="284"/>
        <w:contextualSpacing/>
        <w:jc w:val="left"/>
        <w:rPr>
          <w:rFonts w:ascii="Calibri" w:hAnsi="Calibri" w:cs="Calibri"/>
          <w:b/>
          <w:color w:val="000000"/>
          <w:szCs w:val="22"/>
          <w:u w:val="single"/>
          <w:lang w:val="en-GB" w:eastAsia="en-GB"/>
        </w:rPr>
      </w:pPr>
      <w:r w:rsidRPr="009A51AC">
        <w:rPr>
          <w:rFonts w:ascii="Calibri" w:hAnsi="Calibri" w:cs="Calibri"/>
          <w:b/>
          <w:color w:val="000000"/>
          <w:szCs w:val="22"/>
          <w:u w:val="single"/>
          <w:lang w:val="en-GB" w:eastAsia="en-GB"/>
        </w:rPr>
        <w:t>Partnerships</w:t>
      </w:r>
    </w:p>
    <w:p w14:paraId="66D25514"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Who has played critical role in RMNCH, e.g. Steering committee, government leader, NGO, donor or UN agency, professional associations, specific individual champions, etc.?</w:t>
      </w:r>
    </w:p>
    <w:p w14:paraId="2E16DC59"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Name any champions and indicate how they were involved?</w:t>
      </w:r>
    </w:p>
    <w:p w14:paraId="3E101461"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Is there a stakeholder that has been essential and without which achievements could not have been possible?</w:t>
      </w:r>
    </w:p>
    <w:p w14:paraId="09EAA31C"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Has there been significant opposition to any RMNCH policies? From whom? What influence did that opposition have?</w:t>
      </w:r>
    </w:p>
    <w:p w14:paraId="098022CC"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Were there any south-to-south visits from [Country X] to another? What influence did such visits have on RMNCH policies?</w:t>
      </w:r>
    </w:p>
    <w:p w14:paraId="13C39360" w14:textId="77777777" w:rsidR="009A51AC" w:rsidRPr="009A51AC" w:rsidRDefault="009A51AC" w:rsidP="009A51AC">
      <w:pPr>
        <w:numPr>
          <w:ilvl w:val="0"/>
          <w:numId w:val="28"/>
        </w:numPr>
        <w:ind w:left="426" w:hanging="284"/>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Did [Country X] also host visitors from another country? If so, did that have an influence on the RMNCH policies?</w:t>
      </w:r>
    </w:p>
    <w:p w14:paraId="50F9843E" w14:textId="485F74C9" w:rsidR="009A51AC" w:rsidRPr="000D5184" w:rsidRDefault="009A51AC" w:rsidP="000D5184">
      <w:pPr>
        <w:rPr>
          <w:b/>
          <w:sz w:val="28"/>
          <w:szCs w:val="28"/>
          <w:lang w:val="en-GB"/>
        </w:rPr>
      </w:pPr>
      <w:r w:rsidRPr="009A51AC">
        <w:rPr>
          <w:lang w:val="en-GB"/>
        </w:rPr>
        <w:br w:type="page"/>
      </w:r>
      <w:r w:rsidRPr="000D5184">
        <w:rPr>
          <w:b/>
          <w:sz w:val="28"/>
          <w:szCs w:val="28"/>
          <w:u w:val="single"/>
          <w:lang w:val="en-GB"/>
        </w:rPr>
        <w:lastRenderedPageBreak/>
        <w:t>Annex 3:</w:t>
      </w:r>
      <w:r w:rsidRPr="000D5184">
        <w:rPr>
          <w:b/>
          <w:sz w:val="28"/>
          <w:szCs w:val="28"/>
          <w:lang w:val="en-GB"/>
        </w:rPr>
        <w:t xml:space="preserve"> Guidance on Synthesising Results from Country Specific Analyses on Policy and Program</w:t>
      </w:r>
      <w:r w:rsidR="000D5184" w:rsidRPr="000D5184">
        <w:rPr>
          <w:b/>
          <w:sz w:val="28"/>
          <w:szCs w:val="28"/>
          <w:lang w:val="en-GB"/>
        </w:rPr>
        <w:t>me</w:t>
      </w:r>
      <w:r w:rsidRPr="000D5184">
        <w:rPr>
          <w:b/>
          <w:sz w:val="28"/>
          <w:szCs w:val="28"/>
          <w:lang w:val="en-GB"/>
        </w:rPr>
        <w:t xml:space="preserve"> Timelines</w:t>
      </w:r>
    </w:p>
    <w:p w14:paraId="0F532B79" w14:textId="77777777" w:rsidR="009A51AC" w:rsidRPr="009A51AC" w:rsidRDefault="009A51AC" w:rsidP="009A51AC">
      <w:pPr>
        <w:contextualSpacing/>
        <w:jc w:val="left"/>
        <w:rPr>
          <w:rFonts w:ascii="Calibri" w:hAnsi="Calibri" w:cs="Calibri"/>
          <w:color w:val="000000"/>
          <w:szCs w:val="22"/>
          <w:lang w:val="en-GB"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
        <w:gridCol w:w="2552"/>
        <w:gridCol w:w="6207"/>
      </w:tblGrid>
      <w:tr w:rsidR="009A51AC" w:rsidRPr="009A51AC" w14:paraId="4780411F" w14:textId="77777777" w:rsidTr="00E65AD9">
        <w:tc>
          <w:tcPr>
            <w:tcW w:w="9216" w:type="dxa"/>
            <w:gridSpan w:val="3"/>
            <w:shd w:val="clear" w:color="auto" w:fill="000000"/>
          </w:tcPr>
          <w:p w14:paraId="04B7787C"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 xml:space="preserve">I. Analysis of common themes across countries conducting Countdown Country Case Studies  </w:t>
            </w:r>
          </w:p>
          <w:p w14:paraId="0D95D104" w14:textId="77777777" w:rsidR="009A51AC" w:rsidRPr="009A51AC" w:rsidRDefault="009A51AC" w:rsidP="009A51AC">
            <w:pPr>
              <w:contextualSpacing/>
              <w:jc w:val="left"/>
              <w:rPr>
                <w:rFonts w:ascii="Calibri" w:hAnsi="Calibri" w:cs="Calibri"/>
                <w:color w:val="000000"/>
                <w:szCs w:val="22"/>
                <w:lang w:val="en-GB" w:eastAsia="en-GB"/>
              </w:rPr>
            </w:pPr>
          </w:p>
        </w:tc>
      </w:tr>
      <w:tr w:rsidR="009A51AC" w:rsidRPr="009A51AC" w14:paraId="18631F6E" w14:textId="77777777" w:rsidTr="00E65AD9">
        <w:trPr>
          <w:trHeight w:val="463"/>
        </w:trPr>
        <w:tc>
          <w:tcPr>
            <w:tcW w:w="457" w:type="dxa"/>
            <w:shd w:val="clear" w:color="auto" w:fill="FFFFFF"/>
          </w:tcPr>
          <w:p w14:paraId="1E4F24B8" w14:textId="77777777" w:rsidR="009A51AC" w:rsidRPr="009A51AC" w:rsidRDefault="009A51AC" w:rsidP="009A51AC">
            <w:pPr>
              <w:contextualSpacing/>
              <w:jc w:val="left"/>
              <w:rPr>
                <w:rFonts w:ascii="Calibri" w:hAnsi="Calibri" w:cs="Calibri"/>
                <w:color w:val="000000"/>
                <w:szCs w:val="22"/>
                <w:lang w:val="en-GB" w:eastAsia="en-GB"/>
              </w:rPr>
            </w:pPr>
          </w:p>
        </w:tc>
        <w:tc>
          <w:tcPr>
            <w:tcW w:w="2552" w:type="dxa"/>
            <w:shd w:val="clear" w:color="auto" w:fill="FFFFFF"/>
          </w:tcPr>
          <w:p w14:paraId="5D40743E"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Theme</w:t>
            </w:r>
          </w:p>
        </w:tc>
        <w:tc>
          <w:tcPr>
            <w:tcW w:w="6207" w:type="dxa"/>
            <w:shd w:val="clear" w:color="auto" w:fill="FFFFFF"/>
          </w:tcPr>
          <w:p w14:paraId="0CB860B8" w14:textId="77777777" w:rsidR="009A51AC" w:rsidRPr="009A51AC" w:rsidRDefault="009A51AC" w:rsidP="009A51AC">
            <w:pPr>
              <w:contextualSpacing/>
              <w:jc w:val="left"/>
              <w:rPr>
                <w:rFonts w:ascii="Calibri" w:hAnsi="Calibri" w:cs="Calibri"/>
                <w:szCs w:val="22"/>
                <w:lang w:val="en-GB" w:eastAsia="en-GB"/>
              </w:rPr>
            </w:pPr>
            <w:r w:rsidRPr="009A51AC">
              <w:rPr>
                <w:rFonts w:ascii="Calibri" w:hAnsi="Calibri" w:cs="Calibri"/>
                <w:szCs w:val="22"/>
                <w:lang w:val="en-GB" w:eastAsia="en-GB"/>
              </w:rPr>
              <w:t>Questions</w:t>
            </w:r>
            <w:r w:rsidRPr="009A51AC">
              <w:rPr>
                <w:rFonts w:ascii="Calibri" w:hAnsi="Calibri" w:cs="Calibri"/>
                <w:color w:val="000000"/>
                <w:szCs w:val="22"/>
                <w:lang w:val="en-GB" w:eastAsia="en-GB"/>
              </w:rPr>
              <w:t xml:space="preserve"> to guide country analysis across countries</w:t>
            </w:r>
          </w:p>
        </w:tc>
      </w:tr>
      <w:tr w:rsidR="009A51AC" w:rsidRPr="009A51AC" w14:paraId="37513EFA" w14:textId="77777777" w:rsidTr="00E65AD9">
        <w:tc>
          <w:tcPr>
            <w:tcW w:w="457" w:type="dxa"/>
            <w:shd w:val="clear" w:color="auto" w:fill="auto"/>
          </w:tcPr>
          <w:p w14:paraId="2DB9755C"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1</w:t>
            </w:r>
          </w:p>
        </w:tc>
        <w:tc>
          <w:tcPr>
            <w:tcW w:w="2552" w:type="dxa"/>
            <w:shd w:val="clear" w:color="auto" w:fill="auto"/>
          </w:tcPr>
          <w:p w14:paraId="3ED81F51"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Lessons learnt about pathways to scale</w:t>
            </w:r>
          </w:p>
          <w:p w14:paraId="0436388D" w14:textId="77777777" w:rsidR="009A51AC" w:rsidRPr="009A51AC" w:rsidRDefault="009A51AC" w:rsidP="009A51AC">
            <w:pPr>
              <w:contextualSpacing/>
              <w:jc w:val="left"/>
              <w:rPr>
                <w:rFonts w:ascii="Calibri" w:hAnsi="Calibri" w:cs="Calibri"/>
                <w:color w:val="000000"/>
                <w:szCs w:val="22"/>
                <w:lang w:val="en-GB" w:eastAsia="en-GB"/>
              </w:rPr>
            </w:pPr>
          </w:p>
        </w:tc>
        <w:tc>
          <w:tcPr>
            <w:tcW w:w="6207" w:type="dxa"/>
            <w:shd w:val="clear" w:color="auto" w:fill="auto"/>
          </w:tcPr>
          <w:p w14:paraId="2F242FB2" w14:textId="77777777" w:rsidR="009A51AC" w:rsidRPr="009A51AC" w:rsidRDefault="009A51AC" w:rsidP="009A51AC">
            <w:pPr>
              <w:numPr>
                <w:ilvl w:val="1"/>
                <w:numId w:val="32"/>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Did major challenges in national context (first row of timeline figure) interfere or facilitate the process of scale up? If so how?</w:t>
            </w:r>
          </w:p>
          <w:p w14:paraId="1A469B87" w14:textId="77777777" w:rsidR="009A51AC" w:rsidRPr="009A51AC" w:rsidRDefault="009A51AC" w:rsidP="009A51AC">
            <w:pPr>
              <w:numPr>
                <w:ilvl w:val="1"/>
                <w:numId w:val="32"/>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Advocacy – what works best for getting reproductive, maternal, newborn and child health (RMNCH) on the national agenda? </w:t>
            </w:r>
          </w:p>
          <w:p w14:paraId="21C9580C" w14:textId="77777777" w:rsidR="009A51AC" w:rsidRPr="009A51AC" w:rsidRDefault="009A51AC" w:rsidP="009A51AC">
            <w:pPr>
              <w:numPr>
                <w:ilvl w:val="1"/>
                <w:numId w:val="32"/>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Program – overall which programs moved fast and which did not? E.g. Kangaroo Mother Care (KMC). Why? Why not? Did policy change link to program implementation? What helped this or hindered it? E.g. training strategies etc.</w:t>
            </w:r>
          </w:p>
          <w:p w14:paraId="44437B35" w14:textId="77777777" w:rsidR="009A51AC" w:rsidRPr="009A51AC" w:rsidRDefault="009A51AC" w:rsidP="009A51AC">
            <w:pPr>
              <w:numPr>
                <w:ilvl w:val="1"/>
                <w:numId w:val="32"/>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Research - what new evidence or research for RMNCH led to action? </w:t>
            </w:r>
          </w:p>
          <w:p w14:paraId="6BDA7898" w14:textId="77777777" w:rsidR="009A51AC" w:rsidRPr="009A51AC" w:rsidRDefault="009A51AC" w:rsidP="009A51AC">
            <w:pPr>
              <w:ind w:left="393" w:hanging="283"/>
              <w:contextualSpacing/>
              <w:jc w:val="left"/>
              <w:rPr>
                <w:rFonts w:ascii="Calibri" w:hAnsi="Calibri" w:cs="Calibri"/>
                <w:color w:val="000000"/>
                <w:szCs w:val="22"/>
                <w:lang w:val="en-GB" w:eastAsia="en-GB"/>
              </w:rPr>
            </w:pPr>
          </w:p>
        </w:tc>
      </w:tr>
      <w:tr w:rsidR="009A51AC" w:rsidRPr="009A51AC" w14:paraId="024592BD" w14:textId="77777777" w:rsidTr="00E65AD9">
        <w:tc>
          <w:tcPr>
            <w:tcW w:w="457" w:type="dxa"/>
            <w:shd w:val="clear" w:color="auto" w:fill="auto"/>
          </w:tcPr>
          <w:p w14:paraId="42E9DC0E"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2</w:t>
            </w:r>
          </w:p>
        </w:tc>
        <w:tc>
          <w:tcPr>
            <w:tcW w:w="2552" w:type="dxa"/>
            <w:shd w:val="clear" w:color="auto" w:fill="auto"/>
          </w:tcPr>
          <w:p w14:paraId="20ABD9C2" w14:textId="77777777"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Lessons learnt about levers for scale</w:t>
            </w:r>
          </w:p>
          <w:p w14:paraId="7BCDA4B1" w14:textId="77777777" w:rsidR="009A51AC" w:rsidRPr="009A51AC" w:rsidRDefault="009A51AC" w:rsidP="009A51AC">
            <w:pPr>
              <w:contextualSpacing/>
              <w:jc w:val="left"/>
              <w:rPr>
                <w:rFonts w:ascii="Calibri" w:hAnsi="Calibri" w:cs="Calibri"/>
                <w:color w:val="000000"/>
                <w:szCs w:val="22"/>
                <w:lang w:val="en-GB" w:eastAsia="en-GB"/>
              </w:rPr>
            </w:pPr>
          </w:p>
        </w:tc>
        <w:tc>
          <w:tcPr>
            <w:tcW w:w="6207" w:type="dxa"/>
            <w:shd w:val="clear" w:color="auto" w:fill="auto"/>
          </w:tcPr>
          <w:p w14:paraId="1B340381" w14:textId="77777777" w:rsidR="009A51AC" w:rsidRPr="009A51AC" w:rsidRDefault="009A51AC" w:rsidP="009A51AC">
            <w:pPr>
              <w:numPr>
                <w:ilvl w:val="0"/>
                <w:numId w:val="33"/>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For countries with government coordinating mechanisms (e.g. steering committee, taskforce, etc.), did policy change move after establishment of such a committee? How did these committees function (composition, coordination, sphere of influence, integrated vs. specific to newborn </w:t>
            </w:r>
            <w:proofErr w:type="gramStart"/>
            <w:r w:rsidRPr="009A51AC">
              <w:rPr>
                <w:rFonts w:ascii="Calibri" w:hAnsi="Calibri" w:cs="Calibri"/>
                <w:color w:val="000000"/>
                <w:szCs w:val="22"/>
                <w:lang w:val="en-GB" w:eastAsia="en-GB"/>
              </w:rPr>
              <w:t>health).</w:t>
            </w:r>
            <w:proofErr w:type="gramEnd"/>
            <w:r w:rsidRPr="009A51AC">
              <w:rPr>
                <w:rFonts w:ascii="Calibri" w:hAnsi="Calibri" w:cs="Calibri"/>
                <w:color w:val="000000"/>
                <w:szCs w:val="22"/>
                <w:lang w:val="en-GB" w:eastAsia="en-GB"/>
              </w:rPr>
              <w:t xml:space="preserve"> Were they consistent or variable? Why?</w:t>
            </w:r>
          </w:p>
          <w:p w14:paraId="3577203D" w14:textId="77777777" w:rsidR="009A51AC" w:rsidRPr="009A51AC" w:rsidRDefault="009A51AC" w:rsidP="009A51AC">
            <w:pPr>
              <w:numPr>
                <w:ilvl w:val="0"/>
                <w:numId w:val="33"/>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Did partnerships with professional associations contribute? How? </w:t>
            </w:r>
          </w:p>
          <w:p w14:paraId="361C9CBA" w14:textId="77777777" w:rsidR="009A51AC" w:rsidRPr="009A51AC" w:rsidRDefault="009A51AC" w:rsidP="009A51AC">
            <w:pPr>
              <w:numPr>
                <w:ilvl w:val="0"/>
                <w:numId w:val="33"/>
              </w:numPr>
              <w:ind w:left="393"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Did the media and use of wider civil society, parliamentarians contribute? How?</w:t>
            </w:r>
          </w:p>
          <w:p w14:paraId="02B559E0" w14:textId="77777777" w:rsidR="009A51AC" w:rsidRPr="009A51AC" w:rsidRDefault="009A51AC" w:rsidP="009A51AC">
            <w:pPr>
              <w:ind w:left="393" w:hanging="283"/>
              <w:contextualSpacing/>
              <w:jc w:val="left"/>
              <w:rPr>
                <w:rFonts w:ascii="Calibri" w:hAnsi="Calibri" w:cs="Calibri"/>
                <w:color w:val="000000"/>
                <w:szCs w:val="22"/>
                <w:lang w:val="en-GB" w:eastAsia="en-GB"/>
              </w:rPr>
            </w:pPr>
          </w:p>
        </w:tc>
      </w:tr>
      <w:tr w:rsidR="009A51AC" w:rsidRPr="009A51AC" w14:paraId="128A13E4" w14:textId="77777777" w:rsidTr="00E65AD9">
        <w:tc>
          <w:tcPr>
            <w:tcW w:w="9216" w:type="dxa"/>
            <w:gridSpan w:val="3"/>
            <w:shd w:val="clear" w:color="auto" w:fill="000000"/>
          </w:tcPr>
          <w:p w14:paraId="421AFE28" w14:textId="77777777" w:rsidR="009A51AC" w:rsidRPr="009A51AC" w:rsidRDefault="009A51AC" w:rsidP="009A51AC">
            <w:pPr>
              <w:contextualSpacing/>
              <w:jc w:val="left"/>
              <w:rPr>
                <w:rFonts w:ascii="Calibri" w:hAnsi="Calibri" w:cs="Calibri"/>
                <w:b/>
                <w:color w:val="FFFFFF"/>
                <w:szCs w:val="22"/>
                <w:lang w:val="en-GB" w:eastAsia="en-GB"/>
              </w:rPr>
            </w:pPr>
            <w:r w:rsidRPr="009A51AC">
              <w:rPr>
                <w:rFonts w:ascii="Calibri" w:hAnsi="Calibri" w:cs="Calibri"/>
                <w:b/>
                <w:color w:val="FFFFFF"/>
                <w:szCs w:val="22"/>
                <w:lang w:val="en-GB" w:eastAsia="en-GB"/>
              </w:rPr>
              <w:t>II. Draft Countdown standardized graphics reflecting the Policy and Program Analysis to be used in a scientific journal and policy brief</w:t>
            </w:r>
          </w:p>
          <w:p w14:paraId="2095166D" w14:textId="77777777" w:rsidR="009A51AC" w:rsidRPr="009A51AC" w:rsidRDefault="009A51AC" w:rsidP="009A51AC">
            <w:pPr>
              <w:contextualSpacing/>
              <w:jc w:val="left"/>
              <w:rPr>
                <w:rFonts w:ascii="Calibri" w:hAnsi="Calibri" w:cs="Calibri"/>
                <w:color w:val="FFFFFF"/>
                <w:szCs w:val="22"/>
                <w:lang w:val="en-GB" w:eastAsia="en-GB"/>
              </w:rPr>
            </w:pPr>
          </w:p>
        </w:tc>
      </w:tr>
      <w:tr w:rsidR="009A51AC" w:rsidRPr="009A51AC" w14:paraId="7508C9A4" w14:textId="77777777" w:rsidTr="00E65AD9">
        <w:tc>
          <w:tcPr>
            <w:tcW w:w="9216" w:type="dxa"/>
            <w:gridSpan w:val="3"/>
            <w:shd w:val="clear" w:color="auto" w:fill="auto"/>
          </w:tcPr>
          <w:p w14:paraId="5629BF75" w14:textId="77777777" w:rsidR="009A51AC" w:rsidRPr="009A51AC" w:rsidRDefault="009A51AC" w:rsidP="009A51AC">
            <w:pPr>
              <w:numPr>
                <w:ilvl w:val="0"/>
                <w:numId w:val="33"/>
              </w:numPr>
              <w:ind w:left="567" w:hanging="283"/>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Select and incorporate key data on RMNCH policies and programs into a graphic that is suitable for the purpose and audience.</w:t>
            </w:r>
          </w:p>
          <w:p w14:paraId="1AA2DD19" w14:textId="77777777" w:rsidR="009A51AC" w:rsidRPr="009A51AC" w:rsidRDefault="009A51AC" w:rsidP="009A51AC">
            <w:pPr>
              <w:numPr>
                <w:ilvl w:val="1"/>
                <w:numId w:val="33"/>
              </w:num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See Annex 4 and 5 for examples of graphics. Annex 4 depicts a policy timeline generated from the Niger Countdown Country Case Study and published in the Lancet (</w:t>
            </w:r>
            <w:proofErr w:type="spellStart"/>
            <w:r w:rsidRPr="009A51AC">
              <w:rPr>
                <w:rFonts w:ascii="Calibri" w:hAnsi="Calibri" w:cs="Calibri"/>
                <w:color w:val="000000"/>
                <w:szCs w:val="22"/>
                <w:lang w:val="en-GB" w:eastAsia="en-GB"/>
              </w:rPr>
              <w:t>Amouzou</w:t>
            </w:r>
            <w:proofErr w:type="spellEnd"/>
            <w:r w:rsidRPr="009A51AC">
              <w:rPr>
                <w:rFonts w:ascii="Calibri" w:hAnsi="Calibri" w:cs="Calibri"/>
                <w:color w:val="000000"/>
                <w:szCs w:val="22"/>
                <w:lang w:val="en-GB" w:eastAsia="en-GB"/>
              </w:rPr>
              <w:t xml:space="preserve"> et al, 2012).  Annex 5 depicts a policy timeline generated from the Decade of Change for Newborn Survival Country analysis conducted in Bangladesh and published in a policy brief (</w:t>
            </w:r>
            <w:proofErr w:type="spellStart"/>
            <w:r w:rsidRPr="009A51AC">
              <w:rPr>
                <w:rFonts w:ascii="Calibri" w:hAnsi="Calibri" w:cs="Calibri"/>
                <w:color w:val="000000"/>
                <w:szCs w:val="22"/>
                <w:lang w:val="en-GB" w:eastAsia="en-GB"/>
              </w:rPr>
              <w:t>Rubayet</w:t>
            </w:r>
            <w:proofErr w:type="spellEnd"/>
            <w:r w:rsidRPr="009A51AC">
              <w:rPr>
                <w:rFonts w:ascii="Calibri" w:hAnsi="Calibri" w:cs="Calibri"/>
                <w:color w:val="000000"/>
                <w:szCs w:val="22"/>
                <w:lang w:val="en-GB" w:eastAsia="en-GB"/>
              </w:rPr>
              <w:t xml:space="preserve"> et al, 2012).</w:t>
            </w:r>
          </w:p>
        </w:tc>
      </w:tr>
    </w:tbl>
    <w:p w14:paraId="6D2C964E" w14:textId="77777777" w:rsidR="009A51AC" w:rsidRPr="009A51AC" w:rsidRDefault="009A51AC" w:rsidP="009A51AC">
      <w:pPr>
        <w:contextualSpacing/>
        <w:jc w:val="left"/>
        <w:rPr>
          <w:rFonts w:ascii="Calibri" w:hAnsi="Calibri" w:cs="Calibri"/>
          <w:color w:val="000000"/>
          <w:szCs w:val="22"/>
          <w:lang w:val="en-GB" w:eastAsia="en-GB"/>
        </w:rPr>
      </w:pPr>
    </w:p>
    <w:p w14:paraId="628F26BE" w14:textId="77777777" w:rsidR="009A51AC" w:rsidRPr="009A51AC" w:rsidRDefault="009A51AC" w:rsidP="009A51AC">
      <w:pPr>
        <w:contextualSpacing/>
        <w:jc w:val="left"/>
        <w:rPr>
          <w:rFonts w:ascii="Calibri" w:hAnsi="Calibri" w:cs="Calibri"/>
          <w:color w:val="000000"/>
          <w:szCs w:val="22"/>
          <w:lang w:val="en-GB" w:eastAsia="en-GB"/>
        </w:rPr>
        <w:sectPr w:rsidR="009A51AC" w:rsidRPr="009A51AC" w:rsidSect="00E65AD9">
          <w:pgSz w:w="12240" w:h="15840"/>
          <w:pgMar w:top="1440" w:right="1440" w:bottom="1134" w:left="1440" w:header="720" w:footer="720" w:gutter="0"/>
          <w:cols w:space="720"/>
          <w:docGrid w:linePitch="360"/>
        </w:sectPr>
      </w:pPr>
    </w:p>
    <w:p w14:paraId="28CE4355" w14:textId="77777777" w:rsidR="009A51AC" w:rsidRPr="000D5184" w:rsidRDefault="009A51AC" w:rsidP="000D5184">
      <w:pPr>
        <w:rPr>
          <w:b/>
          <w:sz w:val="28"/>
          <w:szCs w:val="28"/>
          <w:lang w:val="en-GB"/>
        </w:rPr>
      </w:pPr>
      <w:r w:rsidRPr="000D5184">
        <w:rPr>
          <w:b/>
          <w:sz w:val="28"/>
          <w:szCs w:val="28"/>
          <w:u w:val="single"/>
          <w:lang w:val="en-GB"/>
        </w:rPr>
        <w:lastRenderedPageBreak/>
        <w:t>Annex 4</w:t>
      </w:r>
      <w:r w:rsidRPr="000D5184">
        <w:rPr>
          <w:b/>
          <w:sz w:val="28"/>
          <w:szCs w:val="28"/>
          <w:lang w:val="en-GB"/>
        </w:rPr>
        <w:t>: Policy &amp; Programme Timeline presented in the Niger Countdown Case Study published in the Lancet (</w:t>
      </w:r>
      <w:proofErr w:type="spellStart"/>
      <w:r w:rsidRPr="000D5184">
        <w:rPr>
          <w:b/>
          <w:sz w:val="28"/>
          <w:szCs w:val="28"/>
          <w:lang w:val="en-GB"/>
        </w:rPr>
        <w:t>Amouzou</w:t>
      </w:r>
      <w:proofErr w:type="spellEnd"/>
      <w:r w:rsidRPr="000D5184">
        <w:rPr>
          <w:b/>
          <w:sz w:val="28"/>
          <w:szCs w:val="28"/>
          <w:lang w:val="en-GB"/>
        </w:rPr>
        <w:t xml:space="preserve"> et al, 2012)</w:t>
      </w:r>
    </w:p>
    <w:p w14:paraId="0BF9D478" w14:textId="77777777" w:rsidR="009A51AC" w:rsidRPr="009A51AC" w:rsidRDefault="009A51AC" w:rsidP="009A51AC">
      <w:pPr>
        <w:contextualSpacing/>
        <w:jc w:val="left"/>
        <w:rPr>
          <w:rFonts w:ascii="Calibri" w:hAnsi="Calibri" w:cs="Calibri"/>
          <w:color w:val="000000"/>
          <w:szCs w:val="22"/>
          <w:lang w:val="en-GB" w:eastAsia="en-GB"/>
        </w:rPr>
      </w:pPr>
    </w:p>
    <w:p w14:paraId="0A58C91A" w14:textId="324D8069"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color w:val="000000"/>
          <w:szCs w:val="22"/>
          <w:lang w:val="en-GB" w:eastAsia="en-GB"/>
        </w:rPr>
        <w:t xml:space="preserve">              </w:t>
      </w:r>
      <w:r w:rsidRPr="009A51AC">
        <w:rPr>
          <w:rFonts w:ascii="Calibri" w:hAnsi="Calibri" w:cs="Calibri"/>
          <w:noProof/>
          <w:color w:val="000000"/>
          <w:szCs w:val="22"/>
          <w:lang w:val="en-GB" w:eastAsia="en-GB"/>
        </w:rPr>
        <w:drawing>
          <wp:inline distT="0" distB="0" distL="0" distR="0" wp14:anchorId="2185299C" wp14:editId="6A5DFA05">
            <wp:extent cx="5562600" cy="3867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3867150"/>
                    </a:xfrm>
                    <a:prstGeom prst="rect">
                      <a:avLst/>
                    </a:prstGeom>
                    <a:noFill/>
                    <a:ln>
                      <a:noFill/>
                    </a:ln>
                  </pic:spPr>
                </pic:pic>
              </a:graphicData>
            </a:graphic>
          </wp:inline>
        </w:drawing>
      </w:r>
    </w:p>
    <w:p w14:paraId="0B27A531" w14:textId="77777777" w:rsidR="009A51AC" w:rsidRPr="009A51AC" w:rsidRDefault="009A51AC" w:rsidP="000D5184">
      <w:pPr>
        <w:rPr>
          <w:lang w:val="en-GB"/>
        </w:rPr>
      </w:pPr>
    </w:p>
    <w:p w14:paraId="0AF90BDD" w14:textId="77777777" w:rsidR="009A51AC" w:rsidRPr="009A51AC" w:rsidRDefault="009A51AC" w:rsidP="000D5184">
      <w:pPr>
        <w:rPr>
          <w:rFonts w:ascii="Calibri" w:hAnsi="Calibri" w:cs="Calibri"/>
          <w:b/>
          <w:bCs/>
          <w:color w:val="000000"/>
          <w:kern w:val="32"/>
          <w:sz w:val="28"/>
          <w:szCs w:val="32"/>
          <w:u w:val="single"/>
          <w:lang w:val="en-GB" w:eastAsia="x-none"/>
        </w:rPr>
      </w:pPr>
    </w:p>
    <w:p w14:paraId="0F48E691" w14:textId="77777777" w:rsidR="009A51AC" w:rsidRPr="009A51AC" w:rsidRDefault="009A51AC" w:rsidP="000D5184">
      <w:pPr>
        <w:rPr>
          <w:rFonts w:ascii="Calibri" w:hAnsi="Calibri" w:cs="Calibri"/>
          <w:b/>
          <w:bCs/>
          <w:color w:val="000000"/>
          <w:kern w:val="32"/>
          <w:sz w:val="28"/>
          <w:szCs w:val="32"/>
          <w:u w:val="single"/>
          <w:lang w:val="en-GB" w:eastAsia="x-none"/>
        </w:rPr>
      </w:pPr>
    </w:p>
    <w:p w14:paraId="7AC214E0" w14:textId="77777777" w:rsidR="009A51AC" w:rsidRPr="000D5184" w:rsidRDefault="009A51AC" w:rsidP="000D5184">
      <w:pPr>
        <w:rPr>
          <w:b/>
          <w:sz w:val="28"/>
          <w:szCs w:val="28"/>
          <w:lang w:val="en-GB"/>
        </w:rPr>
      </w:pPr>
      <w:r w:rsidRPr="000D5184">
        <w:rPr>
          <w:b/>
          <w:sz w:val="28"/>
          <w:szCs w:val="28"/>
          <w:u w:val="single"/>
          <w:lang w:val="en-GB"/>
        </w:rPr>
        <w:t>Annex 5</w:t>
      </w:r>
      <w:r w:rsidRPr="000D5184">
        <w:rPr>
          <w:b/>
          <w:sz w:val="28"/>
          <w:szCs w:val="28"/>
          <w:lang w:val="en-GB"/>
        </w:rPr>
        <w:t>: Policy brief for A Decade of Change “Newborn Survival in Bangladesh”</w:t>
      </w:r>
    </w:p>
    <w:p w14:paraId="02A7CB2B" w14:textId="77777777" w:rsidR="009A51AC" w:rsidRPr="009A51AC" w:rsidRDefault="009A51AC" w:rsidP="009A51AC">
      <w:pPr>
        <w:contextualSpacing/>
        <w:jc w:val="left"/>
        <w:rPr>
          <w:rFonts w:ascii="Calibri" w:hAnsi="Calibri" w:cs="Calibri"/>
          <w:color w:val="000000"/>
          <w:szCs w:val="22"/>
          <w:lang w:val="en-GB" w:eastAsia="en-GB"/>
        </w:rPr>
      </w:pPr>
    </w:p>
    <w:p w14:paraId="7A29D269" w14:textId="5EEEBAF5" w:rsidR="009A51AC" w:rsidRPr="009A51AC" w:rsidRDefault="009A51AC" w:rsidP="009A51AC">
      <w:pPr>
        <w:contextualSpacing/>
        <w:jc w:val="left"/>
        <w:rPr>
          <w:rFonts w:ascii="Calibri" w:hAnsi="Calibri" w:cs="Calibri"/>
          <w:color w:val="000000"/>
          <w:szCs w:val="22"/>
          <w:lang w:val="en-GB" w:eastAsia="en-GB"/>
        </w:rPr>
      </w:pPr>
      <w:r w:rsidRPr="009A51AC">
        <w:rPr>
          <w:rFonts w:ascii="Calibri" w:hAnsi="Calibri" w:cs="Calibri"/>
          <w:noProof/>
          <w:color w:val="000000"/>
          <w:szCs w:val="22"/>
          <w:lang w:val="en-GB" w:eastAsia="en-GB"/>
        </w:rPr>
        <w:drawing>
          <wp:inline distT="0" distB="0" distL="0" distR="0" wp14:anchorId="0C99FCD3" wp14:editId="27E6DE66">
            <wp:extent cx="609600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1657350"/>
                    </a:xfrm>
                    <a:prstGeom prst="rect">
                      <a:avLst/>
                    </a:prstGeom>
                    <a:noFill/>
                    <a:ln>
                      <a:noFill/>
                    </a:ln>
                  </pic:spPr>
                </pic:pic>
              </a:graphicData>
            </a:graphic>
          </wp:inline>
        </w:drawing>
      </w:r>
    </w:p>
    <w:p w14:paraId="171D4D2C" w14:textId="77777777" w:rsidR="00C30E43" w:rsidRPr="00CC6409" w:rsidRDefault="00C30E43" w:rsidP="00CF4BC5">
      <w:pPr>
        <w:spacing w:line="276" w:lineRule="auto"/>
        <w:rPr>
          <w:lang w:val="en-GB"/>
        </w:rPr>
      </w:pPr>
    </w:p>
    <w:p w14:paraId="6CD5ED69" w14:textId="77777777" w:rsidR="00493B45" w:rsidRPr="00CC6409" w:rsidRDefault="00493B45" w:rsidP="00CF4BC5">
      <w:pPr>
        <w:spacing w:line="276" w:lineRule="auto"/>
        <w:rPr>
          <w:rFonts w:cstheme="minorHAnsi"/>
        </w:rPr>
      </w:pPr>
    </w:p>
    <w:p w14:paraId="642664FD" w14:textId="77777777" w:rsidR="00CF4BC5" w:rsidRDefault="00CF4BC5" w:rsidP="00CF4BC5">
      <w:pPr>
        <w:spacing w:line="276" w:lineRule="auto"/>
        <w:rPr>
          <w:rFonts w:cstheme="minorHAnsi"/>
          <w:sz w:val="20"/>
          <w:szCs w:val="20"/>
        </w:rPr>
      </w:pPr>
    </w:p>
    <w:p w14:paraId="2FFD3460" w14:textId="77777777" w:rsidR="00CF4BC5" w:rsidRDefault="00CF4BC5" w:rsidP="00CF4BC5">
      <w:pPr>
        <w:spacing w:line="276" w:lineRule="auto"/>
        <w:rPr>
          <w:rFonts w:cstheme="minorHAnsi"/>
          <w:sz w:val="20"/>
          <w:szCs w:val="20"/>
        </w:rPr>
      </w:pPr>
    </w:p>
    <w:p w14:paraId="1533C818" w14:textId="77777777" w:rsidR="00CF4BC5" w:rsidRDefault="00CF4BC5" w:rsidP="00CF4BC5">
      <w:pPr>
        <w:spacing w:line="276" w:lineRule="auto"/>
        <w:rPr>
          <w:rFonts w:cstheme="minorHAnsi"/>
          <w:sz w:val="20"/>
          <w:szCs w:val="20"/>
        </w:rPr>
      </w:pPr>
    </w:p>
    <w:p w14:paraId="7E8FF4DE" w14:textId="77777777" w:rsidR="00CF4BC5" w:rsidRDefault="00CF4BC5" w:rsidP="00CF4BC5">
      <w:pPr>
        <w:spacing w:line="276" w:lineRule="auto"/>
        <w:rPr>
          <w:rFonts w:cstheme="minorHAnsi"/>
          <w:sz w:val="20"/>
          <w:szCs w:val="20"/>
        </w:rPr>
      </w:pPr>
    </w:p>
    <w:p w14:paraId="73B1D2AB" w14:textId="77777777" w:rsidR="00CF4BC5" w:rsidRDefault="00CF4BC5" w:rsidP="00CF4BC5">
      <w:pPr>
        <w:spacing w:line="276" w:lineRule="auto"/>
        <w:rPr>
          <w:rFonts w:cstheme="minorHAnsi"/>
          <w:sz w:val="20"/>
          <w:szCs w:val="20"/>
        </w:rPr>
      </w:pPr>
    </w:p>
    <w:p w14:paraId="07EBEB3A" w14:textId="77777777" w:rsidR="00CF4BC5" w:rsidRDefault="00CF4BC5" w:rsidP="00CF4BC5">
      <w:pPr>
        <w:spacing w:line="276" w:lineRule="auto"/>
        <w:rPr>
          <w:rFonts w:cstheme="minorHAnsi"/>
          <w:sz w:val="20"/>
          <w:szCs w:val="20"/>
        </w:rPr>
      </w:pPr>
    </w:p>
    <w:p w14:paraId="00ABC25A" w14:textId="77777777" w:rsidR="00CF4BC5" w:rsidRDefault="00CF4BC5" w:rsidP="00CF4BC5">
      <w:pPr>
        <w:spacing w:line="276" w:lineRule="auto"/>
        <w:rPr>
          <w:rFonts w:cstheme="minorHAnsi"/>
          <w:sz w:val="20"/>
          <w:szCs w:val="20"/>
        </w:rPr>
      </w:pPr>
    </w:p>
    <w:p w14:paraId="584BA599" w14:textId="77777777" w:rsidR="00CF4BC5" w:rsidRDefault="00CF4BC5" w:rsidP="00CF4BC5">
      <w:pPr>
        <w:spacing w:line="276" w:lineRule="auto"/>
        <w:rPr>
          <w:rFonts w:cstheme="minorHAnsi"/>
          <w:sz w:val="20"/>
          <w:szCs w:val="20"/>
        </w:rPr>
      </w:pPr>
    </w:p>
    <w:p w14:paraId="691CD38B" w14:textId="77777777" w:rsidR="00CF4BC5" w:rsidRDefault="00CF4BC5" w:rsidP="00CF4BC5">
      <w:pPr>
        <w:spacing w:line="276" w:lineRule="auto"/>
        <w:rPr>
          <w:rFonts w:cstheme="minorHAnsi"/>
          <w:sz w:val="20"/>
          <w:szCs w:val="20"/>
        </w:rPr>
      </w:pPr>
    </w:p>
    <w:p w14:paraId="3A86CD78" w14:textId="77177B28" w:rsidR="00CF4BC5" w:rsidRDefault="00CF4BC5" w:rsidP="00CF4BC5">
      <w:pPr>
        <w:pStyle w:val="Heading1"/>
        <w:jc w:val="left"/>
      </w:pPr>
      <w:bookmarkStart w:id="3" w:name="_Toc439764839"/>
      <w:r>
        <w:lastRenderedPageBreak/>
        <w:t xml:space="preserve">B.  </w:t>
      </w:r>
      <w:r w:rsidR="00E21989">
        <w:t xml:space="preserve">Countdown to 2015 </w:t>
      </w:r>
      <w:r w:rsidR="00493B45">
        <w:t>Health Policy Tracer Indicators Dashboard</w:t>
      </w:r>
      <w:bookmarkEnd w:id="3"/>
      <w:r>
        <w:t xml:space="preserve"> </w:t>
      </w:r>
    </w:p>
    <w:p w14:paraId="608554BA" w14:textId="6D48C1DC" w:rsidR="00CF4BC5" w:rsidRDefault="00CF4BC5" w:rsidP="007612BA">
      <w:pPr>
        <w:pStyle w:val="Heading2"/>
      </w:pPr>
      <w:bookmarkStart w:id="4" w:name="_Toc439764840"/>
      <w:r w:rsidRPr="00C3432C">
        <w:t xml:space="preserve">B.1 </w:t>
      </w:r>
      <w:r w:rsidR="00493B45">
        <w:t>Tool</w:t>
      </w:r>
      <w:bookmarkEnd w:id="4"/>
    </w:p>
    <w:p w14:paraId="1CB0C0E6" w14:textId="77777777" w:rsidR="00224FDD" w:rsidRDefault="00224FDD" w:rsidP="00224FDD">
      <w:pPr>
        <w:rPr>
          <w:lang w:val="en-GB"/>
        </w:rPr>
      </w:pPr>
    </w:p>
    <w:p w14:paraId="43E4FAB1" w14:textId="1260873E" w:rsidR="00224FDD" w:rsidRPr="00224FDD" w:rsidRDefault="00DF7512" w:rsidP="00224FDD">
      <w:pPr>
        <w:rPr>
          <w:lang w:val="en-GB"/>
        </w:rPr>
      </w:pPr>
      <w:r>
        <w:rPr>
          <w:lang w:val="en-GB"/>
        </w:rPr>
        <w:t xml:space="preserve">See Additional file 3. </w:t>
      </w:r>
    </w:p>
    <w:p w14:paraId="68FFF7F2" w14:textId="1881A796" w:rsidR="00493B45" w:rsidRDefault="00493B45" w:rsidP="007612BA">
      <w:pPr>
        <w:pStyle w:val="Heading2"/>
      </w:pPr>
      <w:bookmarkStart w:id="5" w:name="_Toc439764841"/>
      <w:r w:rsidRPr="00C3432C">
        <w:t>B.</w:t>
      </w:r>
      <w:r>
        <w:t>2</w:t>
      </w:r>
      <w:r w:rsidRPr="00C3432C">
        <w:t xml:space="preserve"> </w:t>
      </w:r>
      <w:r>
        <w:t>Protocol</w:t>
      </w:r>
      <w:bookmarkEnd w:id="5"/>
    </w:p>
    <w:p w14:paraId="3F7A235A" w14:textId="77777777" w:rsidR="00BF0B98" w:rsidRPr="00BF0B98" w:rsidRDefault="00BF0B98" w:rsidP="00BF0B98">
      <w:pPr>
        <w:jc w:val="center"/>
        <w:rPr>
          <w:rFonts w:ascii="Calibri" w:eastAsia="MS Mincho" w:hAnsi="Calibri"/>
          <w:b/>
          <w:caps/>
          <w:sz w:val="28"/>
          <w:szCs w:val="28"/>
          <w:lang w:val="en-GB"/>
        </w:rPr>
      </w:pPr>
      <w:r w:rsidRPr="00BF0B98">
        <w:rPr>
          <w:rFonts w:ascii="Calibri" w:eastAsia="MS Mincho" w:hAnsi="Calibri"/>
          <w:b/>
          <w:caps/>
          <w:sz w:val="28"/>
          <w:szCs w:val="28"/>
          <w:lang w:val="en-GB"/>
        </w:rPr>
        <w:t>Countdown to 2015:</w:t>
      </w:r>
    </w:p>
    <w:p w14:paraId="4BAAFA0D" w14:textId="77777777" w:rsidR="00BF0B98" w:rsidRPr="00BF0B98" w:rsidRDefault="00BF0B98" w:rsidP="00BF0B98">
      <w:pPr>
        <w:jc w:val="center"/>
        <w:rPr>
          <w:rFonts w:ascii="Calibri" w:eastAsia="MS Mincho" w:hAnsi="Calibri"/>
          <w:b/>
          <w:caps/>
          <w:sz w:val="28"/>
          <w:szCs w:val="28"/>
          <w:lang w:val="en-GB"/>
        </w:rPr>
      </w:pPr>
      <w:r w:rsidRPr="00BF0B98">
        <w:rPr>
          <w:rFonts w:ascii="Calibri" w:eastAsia="MS Mincho" w:hAnsi="Calibri"/>
          <w:b/>
          <w:caps/>
          <w:sz w:val="28"/>
          <w:szCs w:val="28"/>
          <w:lang w:val="en-GB"/>
        </w:rPr>
        <w:t>Health POLICY Tracer Indicators Dashboard protocol</w:t>
      </w:r>
    </w:p>
    <w:p w14:paraId="7947B410" w14:textId="77777777" w:rsidR="00BF0B98" w:rsidRPr="00BF0B98" w:rsidRDefault="00BF0B98" w:rsidP="00BF0B98">
      <w:pPr>
        <w:jc w:val="center"/>
        <w:rPr>
          <w:rFonts w:ascii="Calibri" w:eastAsia="MS Mincho" w:hAnsi="Calibri" w:cs="Calibri"/>
          <w:sz w:val="24"/>
          <w:lang w:val="en-GB"/>
        </w:rPr>
      </w:pPr>
      <w:r w:rsidRPr="00BF0B98">
        <w:rPr>
          <w:rFonts w:ascii="Calibri" w:eastAsia="MS Mincho" w:hAnsi="Calibri" w:cs="Calibri"/>
          <w:sz w:val="24"/>
          <w:lang w:val="en-GB"/>
        </w:rPr>
        <w:t>Policy Tracer Indicators from</w:t>
      </w:r>
    </w:p>
    <w:p w14:paraId="4ED3C6DE" w14:textId="77777777" w:rsidR="00BF0B98" w:rsidRPr="00BF0B98" w:rsidRDefault="00BF0B98" w:rsidP="00BF0B98">
      <w:pPr>
        <w:jc w:val="center"/>
        <w:rPr>
          <w:rFonts w:ascii="Calibri" w:eastAsia="MS Mincho" w:hAnsi="Calibri" w:cs="Calibri"/>
          <w:sz w:val="24"/>
          <w:lang w:val="en-GB"/>
        </w:rPr>
      </w:pPr>
      <w:r w:rsidRPr="00BF0B98">
        <w:rPr>
          <w:rFonts w:ascii="Calibri" w:eastAsia="MS Mincho" w:hAnsi="Calibri" w:cs="Calibri"/>
          <w:sz w:val="24"/>
          <w:lang w:val="en-GB"/>
        </w:rPr>
        <w:t>the Countdown Country Profile</w:t>
      </w:r>
    </w:p>
    <w:p w14:paraId="2D8112A2" w14:textId="77777777" w:rsidR="00BF0B98" w:rsidRPr="00BF0B98" w:rsidRDefault="00BF0B98" w:rsidP="00BF0B98">
      <w:pPr>
        <w:jc w:val="left"/>
        <w:rPr>
          <w:rFonts w:ascii="Cambria" w:eastAsia="MS Mincho" w:hAnsi="Cambria"/>
          <w:szCs w:val="22"/>
          <w:lang w:val="en-GB" w:eastAsia="x-none"/>
        </w:rPr>
      </w:pPr>
    </w:p>
    <w:p w14:paraId="4BB49E7A" w14:textId="77777777" w:rsidR="00BF0B98" w:rsidRPr="00BF0B98" w:rsidRDefault="00BF0B98" w:rsidP="00BF0B98">
      <w:pPr>
        <w:jc w:val="left"/>
        <w:rPr>
          <w:rFonts w:ascii="Cambria" w:eastAsia="MS Mincho" w:hAnsi="Cambria"/>
          <w:sz w:val="24"/>
          <w:lang w:val="en-GB" w:eastAsia="en-GB"/>
        </w:rPr>
      </w:pPr>
      <w:r w:rsidRPr="00BF0B98">
        <w:rPr>
          <w:rFonts w:ascii="Cambria" w:eastAsia="MS Mincho" w:hAnsi="Cambria"/>
          <w:sz w:val="24"/>
          <w:lang w:val="en-GB"/>
        </w:rPr>
        <w:t>______________________________________________________________________________</w:t>
      </w:r>
    </w:p>
    <w:p w14:paraId="40ECD2AB" w14:textId="77777777" w:rsidR="00BF0B98" w:rsidRPr="00BF0B98" w:rsidRDefault="00BF0B98" w:rsidP="00BF0B98">
      <w:pPr>
        <w:jc w:val="left"/>
        <w:rPr>
          <w:rFonts w:ascii="Calibri" w:eastAsia="MS Mincho" w:hAnsi="Calibri"/>
          <w:b/>
          <w:caps/>
          <w:sz w:val="28"/>
          <w:szCs w:val="28"/>
          <w:lang w:val="en-GB"/>
        </w:rPr>
      </w:pPr>
      <w:r w:rsidRPr="00BF0B98">
        <w:rPr>
          <w:rFonts w:ascii="Calibri" w:eastAsia="MS Mincho" w:hAnsi="Calibri"/>
          <w:b/>
          <w:sz w:val="28"/>
          <w:szCs w:val="28"/>
          <w:lang w:val="en-GB"/>
        </w:rPr>
        <w:t xml:space="preserve">Aim of the Countdown Health Policy Analysis </w:t>
      </w:r>
    </w:p>
    <w:p w14:paraId="585AC828" w14:textId="5D568251"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 xml:space="preserve">The Countdown (CD) Health Policy Tracer Indicators Dashboard will be used will be used in conjunction with the Policy and Programme Timeline tool and the Health Systems Tracer Indicators Dashboard as part of the qualitative analysis for CD Country Case Studies. The Health Policy Tracer Indicators Dashboard will document, in a comparable way, selected Reproductive, Maternal, Newborn and Child Health (RMNCH) tracer policies reported in the CD Country Profiles. </w:t>
      </w:r>
    </w:p>
    <w:p w14:paraId="2DBD7ECC" w14:textId="77777777" w:rsidR="00BF0B98" w:rsidRPr="00BF0B98" w:rsidRDefault="00BF0B98" w:rsidP="00BF0B98">
      <w:pPr>
        <w:rPr>
          <w:rFonts w:ascii="Calibri" w:eastAsia="MS Mincho" w:hAnsi="Calibri" w:cs="Calibri"/>
          <w:szCs w:val="22"/>
          <w:lang w:val="en-GB"/>
        </w:rPr>
      </w:pPr>
    </w:p>
    <w:p w14:paraId="59B630E6"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The general aim of the Health Policy Tracer Indicators Dashboard is to assess selected tracer RMNCH policy indicators to produce the CD Policy Dashboard for the country. This tool will provide a systematic overview of selected health policies tracer indicators of a country, by examining changes in these tracer indicators from 1990 to the current year. CD Country Case Study teams will answer specific questions and collate the data within the tool. These data will then be presented in the Policy Dashboard, a visual representation of the data, which will be reviewed by stakeholders in country in order to build consensus on the documentation of changes in selected RMNCH tracer policy and systems indicators.</w:t>
      </w:r>
    </w:p>
    <w:p w14:paraId="3D7ECAC3" w14:textId="77777777" w:rsidR="00BF0B98" w:rsidRPr="00BF0B98" w:rsidRDefault="00BF0B98" w:rsidP="00BF0B98">
      <w:pPr>
        <w:rPr>
          <w:rFonts w:ascii="Calibri" w:eastAsia="MS Mincho" w:hAnsi="Calibri" w:cs="Calibri"/>
          <w:szCs w:val="22"/>
          <w:lang w:val="en-GB"/>
        </w:rPr>
      </w:pPr>
    </w:p>
    <w:p w14:paraId="44356133"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Countdown aims to use the policy heuristics of (</w:t>
      </w:r>
      <w:proofErr w:type="spellStart"/>
      <w:r w:rsidRPr="00BF0B98">
        <w:rPr>
          <w:rFonts w:ascii="Calibri" w:eastAsia="MS Mincho" w:hAnsi="Calibri" w:cs="Calibri"/>
          <w:szCs w:val="22"/>
          <w:lang w:val="en-GB"/>
        </w:rPr>
        <w:t>i</w:t>
      </w:r>
      <w:proofErr w:type="spellEnd"/>
      <w:r w:rsidRPr="00BF0B98">
        <w:rPr>
          <w:rFonts w:ascii="Calibri" w:eastAsia="MS Mincho" w:hAnsi="Calibri" w:cs="Calibri"/>
          <w:szCs w:val="22"/>
          <w:lang w:val="en-GB"/>
        </w:rPr>
        <w:t xml:space="preserve">) agenda setting; (ii) policy formulation; (iii) policy implementation; and (iv) policy evaluation as guiding principles in the development and analysis of all health policy and systems tools. The </w:t>
      </w:r>
      <w:r w:rsidRPr="00BF0B98">
        <w:rPr>
          <w:rFonts w:ascii="Calibri" w:eastAsia="MS Mincho" w:hAnsi="Calibri" w:cs="Calibri"/>
          <w:szCs w:val="22"/>
        </w:rPr>
        <w:t>Health Policy Tracer Indicators Dashboard</w:t>
      </w:r>
      <w:r w:rsidRPr="00BF0B98">
        <w:rPr>
          <w:rFonts w:ascii="Calibri" w:eastAsia="MS Mincho" w:hAnsi="Calibri" w:cs="Calibri"/>
          <w:szCs w:val="22"/>
          <w:lang w:val="en-GB"/>
        </w:rPr>
        <w:t xml:space="preserve"> focuses on the policy formulation component of the heuristic.</w:t>
      </w:r>
    </w:p>
    <w:p w14:paraId="4EDEAA82" w14:textId="77777777" w:rsidR="00BF0B98" w:rsidRPr="00BF0B98" w:rsidRDefault="00BF0B98" w:rsidP="00BF0B98">
      <w:pPr>
        <w:rPr>
          <w:rFonts w:ascii="Calibri" w:eastAsia="MS Mincho" w:hAnsi="Calibri" w:cs="Calibri"/>
          <w:sz w:val="24"/>
          <w:lang w:val="en-GB"/>
        </w:rPr>
      </w:pPr>
    </w:p>
    <w:p w14:paraId="4F4013EB" w14:textId="77777777" w:rsidR="00BF0B98" w:rsidRPr="00BF0B98" w:rsidRDefault="00BF0B98" w:rsidP="00BF0B98">
      <w:pPr>
        <w:rPr>
          <w:rFonts w:ascii="Calibri" w:eastAsia="MS Mincho" w:hAnsi="Calibri" w:cs="Calibri"/>
          <w:sz w:val="24"/>
          <w:lang w:val="en-GB"/>
        </w:rPr>
      </w:pPr>
    </w:p>
    <w:p w14:paraId="6848FE47" w14:textId="2A693C3D" w:rsidR="00BF0B98" w:rsidRPr="00BF0B98" w:rsidRDefault="00BF0B98" w:rsidP="00BF0B98">
      <w:pPr>
        <w:jc w:val="left"/>
        <w:rPr>
          <w:rFonts w:ascii="Calibri" w:eastAsia="MS Mincho" w:hAnsi="Calibri"/>
          <w:b/>
          <w:caps/>
          <w:sz w:val="28"/>
          <w:szCs w:val="28"/>
          <w:lang w:val="en-GB"/>
        </w:rPr>
      </w:pPr>
      <w:r w:rsidRPr="00BF0B98">
        <w:rPr>
          <w:rFonts w:ascii="Calibri" w:eastAsia="MS Mincho" w:hAnsi="Calibri"/>
          <w:b/>
          <w:sz w:val="28"/>
          <w:szCs w:val="28"/>
          <w:lang w:val="en-GB"/>
        </w:rPr>
        <w:t xml:space="preserve">Objectives: CD </w:t>
      </w:r>
      <w:r w:rsidR="00C676E3">
        <w:rPr>
          <w:rFonts w:ascii="Calibri" w:eastAsia="MS Mincho" w:hAnsi="Calibri"/>
          <w:b/>
          <w:sz w:val="28"/>
          <w:szCs w:val="28"/>
          <w:lang w:val="en-GB"/>
        </w:rPr>
        <w:t xml:space="preserve">Health </w:t>
      </w:r>
      <w:r w:rsidR="00DF5412">
        <w:rPr>
          <w:rFonts w:ascii="Calibri" w:eastAsia="MS Mincho" w:hAnsi="Calibri"/>
          <w:b/>
          <w:sz w:val="28"/>
          <w:szCs w:val="28"/>
          <w:lang w:val="en-GB"/>
        </w:rPr>
        <w:t xml:space="preserve">Policy Tracer Indicators </w:t>
      </w:r>
      <w:r w:rsidRPr="00BF0B98">
        <w:rPr>
          <w:rFonts w:ascii="Calibri" w:eastAsia="MS Mincho" w:hAnsi="Calibri"/>
          <w:b/>
          <w:sz w:val="28"/>
          <w:szCs w:val="28"/>
          <w:lang w:val="en-GB"/>
        </w:rPr>
        <w:t xml:space="preserve">Dashboard </w:t>
      </w:r>
    </w:p>
    <w:p w14:paraId="534FD6D0" w14:textId="77777777" w:rsidR="00BF0B98" w:rsidRPr="00BF0B98" w:rsidRDefault="00BF0B98" w:rsidP="00BF0B98">
      <w:pPr>
        <w:numPr>
          <w:ilvl w:val="0"/>
          <w:numId w:val="45"/>
        </w:numPr>
        <w:contextualSpacing/>
        <w:jc w:val="left"/>
        <w:rPr>
          <w:rFonts w:ascii="Calibri" w:eastAsia="MS Mincho" w:hAnsi="Calibri" w:cs="Calibri"/>
          <w:szCs w:val="22"/>
          <w:lang w:val="en-GB"/>
        </w:rPr>
      </w:pPr>
      <w:r w:rsidRPr="00BF0B98">
        <w:rPr>
          <w:rFonts w:ascii="Calibri" w:eastAsia="MS Mincho" w:hAnsi="Calibri" w:cs="Calibri"/>
          <w:szCs w:val="22"/>
          <w:lang w:val="en-GB"/>
        </w:rPr>
        <w:t xml:space="preserve">To systematically assess the development and tracking over time of selected RMNCH tracer policy indicators and related health systems tracer indicators reported in CD Country Profiles </w:t>
      </w:r>
    </w:p>
    <w:p w14:paraId="38F0CE6B" w14:textId="77777777" w:rsidR="00BF0B98" w:rsidRPr="00BF0B98" w:rsidRDefault="00BF0B98" w:rsidP="00BF0B98">
      <w:pPr>
        <w:ind w:left="360"/>
        <w:contextualSpacing/>
        <w:rPr>
          <w:rFonts w:ascii="Calibri" w:eastAsia="MS Mincho" w:hAnsi="Calibri" w:cs="Calibri"/>
          <w:szCs w:val="22"/>
          <w:lang w:val="en-GB"/>
        </w:rPr>
      </w:pPr>
    </w:p>
    <w:p w14:paraId="092BA515" w14:textId="77777777" w:rsidR="00BF0B98" w:rsidRPr="00BF0B98" w:rsidRDefault="00BF0B98" w:rsidP="00BF0B98">
      <w:pPr>
        <w:numPr>
          <w:ilvl w:val="0"/>
          <w:numId w:val="45"/>
        </w:numPr>
        <w:contextualSpacing/>
        <w:jc w:val="left"/>
        <w:rPr>
          <w:rFonts w:ascii="Calibri" w:eastAsia="MS Mincho" w:hAnsi="Calibri" w:cs="Calibri"/>
          <w:szCs w:val="22"/>
          <w:lang w:val="en-GB"/>
        </w:rPr>
      </w:pPr>
      <w:r w:rsidRPr="00BF0B98">
        <w:rPr>
          <w:rFonts w:ascii="Calibri" w:eastAsia="MS Mincho" w:hAnsi="Calibri" w:cs="Calibri"/>
          <w:szCs w:val="22"/>
          <w:lang w:val="en-GB"/>
        </w:rPr>
        <w:t>To visually represent policy tracer indicators in the form of the Policy Dashboard to bring about further interpretation and analysis</w:t>
      </w:r>
    </w:p>
    <w:p w14:paraId="6A68D1AC" w14:textId="77777777" w:rsidR="00BF0B98" w:rsidRPr="00BF0B98" w:rsidRDefault="00BF0B98" w:rsidP="00BF0B98">
      <w:pPr>
        <w:contextualSpacing/>
        <w:rPr>
          <w:rFonts w:ascii="Calibri" w:eastAsia="MS Mincho" w:hAnsi="Calibri" w:cs="Calibri"/>
          <w:szCs w:val="22"/>
          <w:lang w:val="en-GB"/>
        </w:rPr>
      </w:pPr>
    </w:p>
    <w:p w14:paraId="5240926B" w14:textId="77777777" w:rsidR="00BF0B98" w:rsidRPr="00BF0B98" w:rsidRDefault="00BF0B98" w:rsidP="00BF0B98">
      <w:pPr>
        <w:rPr>
          <w:rFonts w:ascii="Calibri" w:eastAsia="MS Mincho" w:hAnsi="Calibri" w:cs="Calibri"/>
          <w:szCs w:val="22"/>
          <w:lang w:val="en-GB"/>
        </w:rPr>
      </w:pPr>
    </w:p>
    <w:p w14:paraId="123DF208"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 xml:space="preserve">This protocol describes the standard tool – a Microsoft Excel spreadsheet for collating data – and the standard process, i.e. methods for conducting a country-specific analysis to complete the </w:t>
      </w:r>
      <w:r w:rsidRPr="00BF0B98">
        <w:rPr>
          <w:rFonts w:ascii="Calibri" w:eastAsia="MS Mincho" w:hAnsi="Calibri" w:cs="Calibri"/>
          <w:szCs w:val="22"/>
        </w:rPr>
        <w:t>Health Policy Tracer Indicators Dashboard</w:t>
      </w:r>
      <w:r w:rsidRPr="00BF0B98">
        <w:rPr>
          <w:rFonts w:ascii="Calibri" w:eastAsia="MS Mincho" w:hAnsi="Calibri" w:cs="Calibri"/>
          <w:szCs w:val="22"/>
          <w:lang w:val="en-GB"/>
        </w:rPr>
        <w:t>.</w:t>
      </w:r>
    </w:p>
    <w:p w14:paraId="6D7AEA9B" w14:textId="77777777" w:rsidR="00BF0B98" w:rsidRDefault="00BF0B98" w:rsidP="00BF0B98">
      <w:pPr>
        <w:ind w:left="720"/>
        <w:contextualSpacing/>
        <w:rPr>
          <w:rFonts w:ascii="Calibri" w:eastAsia="MS Mincho" w:hAnsi="Calibri" w:cs="Calibri"/>
          <w:szCs w:val="22"/>
          <w:lang w:val="en-GB"/>
        </w:rPr>
      </w:pPr>
    </w:p>
    <w:p w14:paraId="1D545256" w14:textId="77777777" w:rsidR="00BF0B98" w:rsidRDefault="00BF0B98" w:rsidP="00BF0B98">
      <w:pPr>
        <w:ind w:left="720"/>
        <w:contextualSpacing/>
        <w:rPr>
          <w:rFonts w:ascii="Calibri" w:eastAsia="MS Mincho" w:hAnsi="Calibri" w:cs="Calibri"/>
          <w:szCs w:val="22"/>
          <w:lang w:val="en-GB"/>
        </w:rPr>
      </w:pPr>
    </w:p>
    <w:p w14:paraId="46E76B0F" w14:textId="77777777" w:rsidR="00BF0B98" w:rsidRPr="00BF0B98" w:rsidRDefault="00BF0B98" w:rsidP="00BF0B98">
      <w:pPr>
        <w:ind w:left="720"/>
        <w:contextualSpacing/>
        <w:rPr>
          <w:rFonts w:ascii="Calibri" w:eastAsia="MS Mincho" w:hAnsi="Calibri" w:cs="Calibri"/>
          <w:szCs w:val="22"/>
          <w:lang w:val="en-GB"/>
        </w:rPr>
      </w:pPr>
    </w:p>
    <w:p w14:paraId="1F872403" w14:textId="77777777" w:rsidR="00BF0B98" w:rsidRPr="00BF0B98" w:rsidRDefault="00BF0B98" w:rsidP="00BF0B98">
      <w:pPr>
        <w:jc w:val="left"/>
        <w:rPr>
          <w:rFonts w:ascii="Calibri" w:eastAsia="MS Mincho" w:hAnsi="Calibri"/>
          <w:b/>
          <w:sz w:val="28"/>
          <w:szCs w:val="28"/>
          <w:lang w:val="en-GB"/>
        </w:rPr>
      </w:pPr>
      <w:r w:rsidRPr="00BF0B98">
        <w:rPr>
          <w:rFonts w:ascii="Calibri" w:eastAsia="MS Mincho" w:hAnsi="Calibri"/>
          <w:b/>
          <w:sz w:val="28"/>
          <w:szCs w:val="28"/>
          <w:lang w:val="en-GB"/>
        </w:rPr>
        <w:t xml:space="preserve">Standard Tool: CD Health Policy Tracer Indicators Dashboard </w:t>
      </w:r>
    </w:p>
    <w:p w14:paraId="1E7D498E" w14:textId="77777777" w:rsidR="00BF0B98" w:rsidRPr="00BF0B98" w:rsidRDefault="00BF0B98" w:rsidP="000C60D7">
      <w:pPr>
        <w:rPr>
          <w:rFonts w:eastAsia="MS Mincho"/>
          <w:lang w:val="en-GB"/>
        </w:rPr>
      </w:pPr>
    </w:p>
    <w:p w14:paraId="477B847B" w14:textId="77777777" w:rsidR="00BF0B98" w:rsidRPr="00BF0B98" w:rsidRDefault="00BF0B98" w:rsidP="000C60D7">
      <w:pPr>
        <w:rPr>
          <w:rFonts w:ascii="Calibri" w:eastAsia="MS Mincho" w:hAnsi="Calibri" w:cs="Calibri"/>
          <w:szCs w:val="22"/>
          <w:lang w:val="en-GB"/>
        </w:rPr>
      </w:pPr>
      <w:r w:rsidRPr="000C60D7">
        <w:rPr>
          <w:lang w:val="en-GB"/>
        </w:rPr>
        <w:lastRenderedPageBreak/>
        <w:t xml:space="preserve">The </w:t>
      </w:r>
      <w:r w:rsidRPr="000C60D7">
        <w:t>Health Policy Tracer Indicators Dashboard</w:t>
      </w:r>
      <w:r w:rsidRPr="000C60D7">
        <w:rPr>
          <w:lang w:val="en-GB"/>
        </w:rPr>
        <w:t xml:space="preserve"> investigates in a standardised manner the existence or not of selected RMNCH tracer policies at the national</w:t>
      </w:r>
      <w:r w:rsidRPr="00BF0B98">
        <w:rPr>
          <w:rFonts w:ascii="Calibri" w:eastAsia="MS Mincho" w:hAnsi="Calibri" w:cs="Calibri"/>
          <w:szCs w:val="22"/>
          <w:lang w:val="en-GB"/>
        </w:rPr>
        <w:t xml:space="preserve"> level monitored and reported by CD.  See section B.1 for the tool in Microsoft Excel format.</w:t>
      </w:r>
    </w:p>
    <w:p w14:paraId="68964FDA" w14:textId="77777777" w:rsidR="00BF0B98" w:rsidRPr="00BF0B98" w:rsidRDefault="00BF0B98" w:rsidP="000C60D7">
      <w:pPr>
        <w:rPr>
          <w:rFonts w:eastAsia="MS Mincho"/>
          <w:lang w:val="en-GB"/>
        </w:rPr>
      </w:pPr>
    </w:p>
    <w:p w14:paraId="698250FC" w14:textId="77777777" w:rsidR="00BF0B98" w:rsidRPr="00BF0B98" w:rsidRDefault="00BF0B98" w:rsidP="000C60D7">
      <w:pPr>
        <w:rPr>
          <w:rFonts w:ascii="Calibri" w:eastAsia="MS Mincho" w:hAnsi="Calibri" w:cs="Calibri"/>
          <w:szCs w:val="22"/>
          <w:lang w:val="en-GB"/>
        </w:rPr>
      </w:pPr>
      <w:r w:rsidRPr="00BF0B98">
        <w:rPr>
          <w:rFonts w:ascii="Calibri" w:eastAsia="MS Mincho" w:hAnsi="Calibri" w:cs="Calibri"/>
          <w:szCs w:val="22"/>
          <w:lang w:val="en-GB"/>
        </w:rPr>
        <w:t>The following eleven policies and their specific components are listed in the rows of the table:</w:t>
      </w:r>
    </w:p>
    <w:p w14:paraId="4769B7E0" w14:textId="77777777" w:rsidR="00BF0B98" w:rsidRPr="00BF0B98" w:rsidRDefault="00BF0B98" w:rsidP="000C60D7">
      <w:pPr>
        <w:rPr>
          <w:rFonts w:ascii="Calibri" w:eastAsia="MS Mincho" w:hAnsi="Calibri" w:cs="Calibri"/>
          <w:szCs w:val="22"/>
          <w:lang w:val="en-GB"/>
        </w:rPr>
      </w:pPr>
    </w:p>
    <w:p w14:paraId="3DBFEE88"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Family Planning for adolescents</w:t>
      </w:r>
    </w:p>
    <w:p w14:paraId="072EAF4D"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Legal status of abortion</w:t>
      </w:r>
    </w:p>
    <w:p w14:paraId="2507D2EC"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Midwives authorised for specific tasks</w:t>
      </w:r>
    </w:p>
    <w:p w14:paraId="3833792F"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Maternity protection (Convention 183)</w:t>
      </w:r>
    </w:p>
    <w:p w14:paraId="29BCC48F"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Maternal deaths notification</w:t>
      </w:r>
    </w:p>
    <w:p w14:paraId="49CD7C8A"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Postnatal home visits in the first week after birth</w:t>
      </w:r>
    </w:p>
    <w:p w14:paraId="6B2F84C2"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Kangaroo Mother Care for low birth weight newborns</w:t>
      </w:r>
    </w:p>
    <w:p w14:paraId="19050362"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Antenatal corticosteroids for management of preterm labour</w:t>
      </w:r>
    </w:p>
    <w:p w14:paraId="705F98A5"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 xml:space="preserve">International code of marketing of breastmilk substitutes </w:t>
      </w:r>
    </w:p>
    <w:p w14:paraId="1E6FEE2D"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Community treatment of pneumonia with antibiotics</w:t>
      </w:r>
    </w:p>
    <w:p w14:paraId="4710EE1E" w14:textId="77777777" w:rsidR="00BF0B98" w:rsidRPr="00BF0B98" w:rsidRDefault="00BF0B98" w:rsidP="00BF0B98">
      <w:pPr>
        <w:numPr>
          <w:ilvl w:val="0"/>
          <w:numId w:val="43"/>
        </w:numPr>
        <w:contextualSpacing/>
        <w:jc w:val="left"/>
        <w:rPr>
          <w:rFonts w:ascii="Calibri" w:eastAsia="MS Mincho" w:hAnsi="Calibri" w:cs="Calibri"/>
          <w:szCs w:val="22"/>
          <w:lang w:val="en-GB"/>
        </w:rPr>
      </w:pPr>
      <w:r w:rsidRPr="00BF0B98">
        <w:rPr>
          <w:rFonts w:ascii="Calibri" w:eastAsia="MS Mincho" w:hAnsi="Calibri" w:cs="Calibri"/>
          <w:szCs w:val="22"/>
          <w:lang w:val="en-GB"/>
        </w:rPr>
        <w:t>Low osmolality ORS and zinc for management of diarrhoea</w:t>
      </w:r>
    </w:p>
    <w:p w14:paraId="6F8BD075" w14:textId="77777777" w:rsidR="00BF0B98" w:rsidRPr="00BF0B98" w:rsidRDefault="00BF0B98" w:rsidP="00BF0B98">
      <w:pPr>
        <w:rPr>
          <w:rFonts w:ascii="Calibri" w:eastAsia="MS Mincho" w:hAnsi="Calibri" w:cs="Calibri"/>
          <w:szCs w:val="22"/>
          <w:lang w:val="en-GB"/>
        </w:rPr>
      </w:pPr>
    </w:p>
    <w:p w14:paraId="61C9175B" w14:textId="77777777" w:rsidR="00BF0B98" w:rsidRPr="00BF0B98" w:rsidRDefault="00BF0B98" w:rsidP="00BF0B98">
      <w:pPr>
        <w:rPr>
          <w:rFonts w:ascii="Calibri" w:eastAsia="MS Mincho" w:hAnsi="Calibri" w:cs="Calibri"/>
          <w:szCs w:val="22"/>
          <w:lang w:val="en-GB"/>
        </w:rPr>
      </w:pPr>
    </w:p>
    <w:p w14:paraId="7A91EBD3" w14:textId="77777777" w:rsidR="00BF0B98" w:rsidRPr="00BF0B98" w:rsidRDefault="00BF0B98" w:rsidP="00BF0B98">
      <w:pPr>
        <w:jc w:val="left"/>
        <w:rPr>
          <w:rFonts w:ascii="Calibri" w:eastAsia="MS Mincho" w:hAnsi="Calibri"/>
          <w:b/>
          <w:sz w:val="28"/>
          <w:szCs w:val="28"/>
          <w:lang w:val="en-GB"/>
        </w:rPr>
      </w:pPr>
      <w:r w:rsidRPr="00BF0B98">
        <w:rPr>
          <w:rFonts w:ascii="Calibri" w:eastAsia="MS Mincho" w:hAnsi="Calibri"/>
          <w:b/>
          <w:sz w:val="28"/>
          <w:szCs w:val="28"/>
          <w:lang w:val="en-GB"/>
        </w:rPr>
        <w:t xml:space="preserve">Standard Process for completing the CD Health Policy Tracer Indicators Dashboard </w:t>
      </w:r>
    </w:p>
    <w:p w14:paraId="4B1101D3"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For each of these policies and specific components, respondents are requested to select “Yes” or “No”</w:t>
      </w:r>
      <w:r w:rsidRPr="00BF0B98">
        <w:rPr>
          <w:rFonts w:ascii="Calibri" w:eastAsia="MS Mincho" w:hAnsi="Calibri" w:cs="Calibri"/>
          <w:szCs w:val="22"/>
          <w:vertAlign w:val="superscript"/>
          <w:lang w:val="en-GB"/>
        </w:rPr>
        <w:footnoteReference w:id="1"/>
      </w:r>
      <w:r w:rsidRPr="00BF0B98">
        <w:rPr>
          <w:rFonts w:ascii="Calibri" w:eastAsia="MS Mincho" w:hAnsi="Calibri" w:cs="Calibri"/>
          <w:szCs w:val="22"/>
          <w:lang w:val="en-GB"/>
        </w:rPr>
        <w:t xml:space="preserve"> from a dropdown menu if the policy or specific component exists. If the policy exists, respondents are requested to select “Yes” under the period when the policy was endorsed. </w:t>
      </w:r>
    </w:p>
    <w:p w14:paraId="667FE560" w14:textId="77777777" w:rsidR="00BF0B98" w:rsidRPr="00BF0B98" w:rsidRDefault="00BF0B98" w:rsidP="00BF0B98">
      <w:pPr>
        <w:rPr>
          <w:rFonts w:ascii="Calibri" w:eastAsia="MS Mincho" w:hAnsi="Calibri" w:cs="Calibri"/>
          <w:szCs w:val="22"/>
          <w:lang w:val="en-GB"/>
        </w:rPr>
      </w:pPr>
    </w:p>
    <w:p w14:paraId="538F7907" w14:textId="77777777" w:rsidR="00BF0B98" w:rsidRPr="00BF0B98" w:rsidRDefault="00BF0B98" w:rsidP="00BF0B98">
      <w:pPr>
        <w:numPr>
          <w:ilvl w:val="0"/>
          <w:numId w:val="44"/>
        </w:numPr>
        <w:contextualSpacing/>
        <w:jc w:val="left"/>
        <w:rPr>
          <w:rFonts w:ascii="Calibri" w:eastAsia="MS Mincho" w:hAnsi="Calibri" w:cs="Calibri"/>
          <w:szCs w:val="22"/>
          <w:lang w:val="en-GB"/>
        </w:rPr>
      </w:pPr>
      <w:r w:rsidRPr="00BF0B98">
        <w:rPr>
          <w:rFonts w:ascii="Calibri" w:eastAsia="MS Mincho" w:hAnsi="Calibri" w:cs="Calibri"/>
          <w:b/>
          <w:szCs w:val="22"/>
          <w:lang w:val="en-GB"/>
        </w:rPr>
        <w:t>NOTE</w:t>
      </w:r>
      <w:r w:rsidRPr="00BF0B98">
        <w:rPr>
          <w:rFonts w:ascii="Calibri" w:eastAsia="MS Mincho" w:hAnsi="Calibri" w:cs="Calibri"/>
          <w:szCs w:val="22"/>
          <w:lang w:val="en-GB"/>
        </w:rPr>
        <w:t xml:space="preserve">: For some countries, there is no difference between </w:t>
      </w:r>
      <w:r w:rsidRPr="00BF0B98">
        <w:rPr>
          <w:rFonts w:ascii="Calibri" w:eastAsia="MS Mincho" w:hAnsi="Calibri" w:cs="Calibri"/>
          <w:i/>
          <w:szCs w:val="22"/>
          <w:lang w:val="en-GB"/>
        </w:rPr>
        <w:t>guidelines</w:t>
      </w:r>
      <w:r w:rsidRPr="00BF0B98">
        <w:rPr>
          <w:rFonts w:ascii="Calibri" w:eastAsia="MS Mincho" w:hAnsi="Calibri" w:cs="Calibri"/>
          <w:szCs w:val="22"/>
          <w:lang w:val="en-GB"/>
        </w:rPr>
        <w:t xml:space="preserve"> and </w:t>
      </w:r>
      <w:r w:rsidRPr="00BF0B98">
        <w:rPr>
          <w:rFonts w:ascii="Calibri" w:eastAsia="MS Mincho" w:hAnsi="Calibri" w:cs="Calibri"/>
          <w:i/>
          <w:szCs w:val="22"/>
          <w:lang w:val="en-GB"/>
        </w:rPr>
        <w:t>policies</w:t>
      </w:r>
      <w:r w:rsidRPr="00BF0B98">
        <w:rPr>
          <w:rFonts w:ascii="Calibri" w:eastAsia="MS Mincho" w:hAnsi="Calibri" w:cs="Calibri"/>
          <w:szCs w:val="22"/>
          <w:lang w:val="en-GB"/>
        </w:rPr>
        <w:t xml:space="preserve">, so select “yes” from the dropdown menu for relevant cells if a related guideline is in place but not a policy. </w:t>
      </w:r>
    </w:p>
    <w:p w14:paraId="4222E3A0" w14:textId="77777777" w:rsidR="00BF0B98" w:rsidRPr="00BF0B98" w:rsidRDefault="00BF0B98" w:rsidP="00BF0B98">
      <w:pPr>
        <w:rPr>
          <w:rFonts w:ascii="Calibri" w:eastAsia="MS Mincho" w:hAnsi="Calibri" w:cs="Calibri"/>
          <w:szCs w:val="22"/>
          <w:lang w:val="en-GB"/>
        </w:rPr>
      </w:pPr>
    </w:p>
    <w:p w14:paraId="4F83420C"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Please ensure that each policy has a reference, ideally with a hyperlink, in the “</w:t>
      </w:r>
      <w:r w:rsidRPr="00BF0B98">
        <w:rPr>
          <w:rFonts w:ascii="Calibri" w:eastAsia="MS Mincho" w:hAnsi="Calibri" w:cs="Calibri"/>
          <w:b/>
          <w:szCs w:val="22"/>
          <w:lang w:val="en-GB"/>
        </w:rPr>
        <w:t>Reference</w:t>
      </w:r>
      <w:r w:rsidRPr="00BF0B98">
        <w:rPr>
          <w:rFonts w:ascii="Calibri" w:eastAsia="MS Mincho" w:hAnsi="Calibri" w:cs="Calibri"/>
          <w:szCs w:val="22"/>
          <w:lang w:val="en-GB"/>
        </w:rPr>
        <w:t xml:space="preserve">” column. </w:t>
      </w:r>
    </w:p>
    <w:p w14:paraId="7989A6CA" w14:textId="77777777" w:rsidR="00BF0B98" w:rsidRPr="00BF0B98" w:rsidRDefault="00BF0B98" w:rsidP="00BF0B98">
      <w:pPr>
        <w:rPr>
          <w:rFonts w:ascii="Calibri" w:eastAsia="MS Mincho" w:hAnsi="Calibri" w:cs="Calibri"/>
          <w:szCs w:val="22"/>
          <w:lang w:val="en-GB"/>
        </w:rPr>
      </w:pPr>
    </w:p>
    <w:p w14:paraId="30D08AD2" w14:textId="77777777" w:rsidR="00BF0B98" w:rsidRPr="00BF0B98" w:rsidRDefault="00BF0B98" w:rsidP="00BF0B98">
      <w:pPr>
        <w:rPr>
          <w:rFonts w:ascii="Calibri" w:eastAsia="MS Mincho" w:hAnsi="Calibri" w:cs="Calibri"/>
          <w:szCs w:val="22"/>
          <w:lang w:val="en-GB"/>
        </w:rPr>
      </w:pPr>
      <w:r w:rsidRPr="00BF0B98">
        <w:rPr>
          <w:rFonts w:ascii="Calibri" w:eastAsia="MS Mincho" w:hAnsi="Calibri" w:cs="Calibri"/>
          <w:szCs w:val="22"/>
          <w:lang w:val="en-GB"/>
        </w:rPr>
        <w:t>Please make notes related to the policies or its specific components sparingly under the “</w:t>
      </w:r>
      <w:r w:rsidRPr="00BF0B98">
        <w:rPr>
          <w:rFonts w:ascii="Calibri" w:eastAsia="MS Mincho" w:hAnsi="Calibri" w:cs="Calibri"/>
          <w:b/>
          <w:szCs w:val="22"/>
          <w:lang w:val="en-GB"/>
        </w:rPr>
        <w:t>Comments</w:t>
      </w:r>
      <w:r w:rsidRPr="00BF0B98">
        <w:rPr>
          <w:rFonts w:ascii="Calibri" w:eastAsia="MS Mincho" w:hAnsi="Calibri" w:cs="Calibri"/>
          <w:szCs w:val="22"/>
          <w:lang w:val="en-GB"/>
        </w:rPr>
        <w:t xml:space="preserve">” column whenever relevant. </w:t>
      </w:r>
    </w:p>
    <w:p w14:paraId="4B6A6272" w14:textId="77777777" w:rsidR="00BF0B98" w:rsidRPr="00BF0B98" w:rsidRDefault="00BF0B98" w:rsidP="00BF0B98">
      <w:pPr>
        <w:rPr>
          <w:rFonts w:ascii="Calibri" w:eastAsia="MS Mincho" w:hAnsi="Calibri" w:cs="Calibri"/>
          <w:szCs w:val="22"/>
          <w:lang w:val="en-GB"/>
        </w:rPr>
      </w:pPr>
    </w:p>
    <w:p w14:paraId="4B4F862E" w14:textId="77777777" w:rsidR="00BF0B98" w:rsidRPr="00BF0B98" w:rsidRDefault="00BF0B98" w:rsidP="00BF0B98">
      <w:pPr>
        <w:contextualSpacing/>
        <w:jc w:val="left"/>
        <w:rPr>
          <w:rFonts w:ascii="Calibri" w:eastAsia="MS Mincho" w:hAnsi="Calibri" w:cs="Calibri"/>
          <w:b/>
          <w:sz w:val="24"/>
          <w:lang w:val="en-GB"/>
        </w:rPr>
      </w:pPr>
    </w:p>
    <w:p w14:paraId="44DB7996" w14:textId="77777777" w:rsidR="00BF0B98" w:rsidRPr="00BF0B98" w:rsidRDefault="00BF0B98" w:rsidP="00BF0B98">
      <w:pPr>
        <w:jc w:val="left"/>
        <w:rPr>
          <w:rFonts w:ascii="Calibri" w:eastAsia="MS Mincho" w:hAnsi="Calibri" w:cs="Calibri"/>
          <w:b/>
          <w:sz w:val="24"/>
          <w:lang w:val="en-GB"/>
        </w:rPr>
      </w:pPr>
    </w:p>
    <w:p w14:paraId="32D45865" w14:textId="77777777" w:rsidR="00BF0B98" w:rsidRPr="00BF0B98" w:rsidRDefault="00BF0B98" w:rsidP="00BF0B98">
      <w:pPr>
        <w:jc w:val="left"/>
        <w:rPr>
          <w:rFonts w:ascii="Calibri" w:eastAsia="MS Mincho" w:hAnsi="Calibri" w:cs="Calibri"/>
          <w:b/>
          <w:sz w:val="24"/>
          <w:lang w:val="en-GB"/>
        </w:rPr>
      </w:pPr>
    </w:p>
    <w:p w14:paraId="174FD98F" w14:textId="77777777" w:rsidR="00BF0B98" w:rsidRPr="00BF0B98" w:rsidRDefault="00BF0B98" w:rsidP="00BF0B98">
      <w:pPr>
        <w:jc w:val="left"/>
        <w:rPr>
          <w:rFonts w:ascii="Calibri" w:eastAsia="MS Mincho" w:hAnsi="Calibri" w:cs="Calibri"/>
          <w:b/>
          <w:sz w:val="24"/>
          <w:lang w:val="en-GB"/>
        </w:rPr>
      </w:pPr>
    </w:p>
    <w:p w14:paraId="6D5A05A2" w14:textId="77777777" w:rsidR="00BF0B98" w:rsidRPr="00BF0B98" w:rsidRDefault="00BF0B98" w:rsidP="00BF0B98">
      <w:pPr>
        <w:jc w:val="left"/>
        <w:rPr>
          <w:rFonts w:ascii="Calibri" w:eastAsia="MS Mincho" w:hAnsi="Calibri" w:cs="Calibri"/>
          <w:b/>
          <w:sz w:val="24"/>
          <w:lang w:val="en-GB"/>
        </w:rPr>
      </w:pPr>
    </w:p>
    <w:p w14:paraId="31970B04" w14:textId="77777777" w:rsidR="00BF0B98" w:rsidRPr="00BF0B98" w:rsidRDefault="00BF0B98" w:rsidP="00BF0B98">
      <w:pPr>
        <w:jc w:val="left"/>
        <w:rPr>
          <w:rFonts w:ascii="Calibri" w:eastAsia="MS Mincho" w:hAnsi="Calibri" w:cs="Calibri"/>
          <w:b/>
          <w:sz w:val="24"/>
          <w:lang w:val="en-GB"/>
        </w:rPr>
      </w:pPr>
    </w:p>
    <w:p w14:paraId="0A8E7957" w14:textId="77777777" w:rsidR="00BF0B98" w:rsidRPr="00BF0B98" w:rsidRDefault="00BF0B98" w:rsidP="00BF0B98">
      <w:pPr>
        <w:jc w:val="left"/>
        <w:rPr>
          <w:rFonts w:ascii="Calibri" w:eastAsia="MS Mincho" w:hAnsi="Calibri" w:cs="Calibri"/>
          <w:b/>
          <w:sz w:val="24"/>
          <w:lang w:val="en-GB"/>
        </w:rPr>
      </w:pPr>
    </w:p>
    <w:p w14:paraId="16D1ACC4" w14:textId="77777777" w:rsidR="00BF0B98" w:rsidRPr="00BF0B98" w:rsidRDefault="00BF0B98" w:rsidP="00BF0B98">
      <w:pPr>
        <w:jc w:val="left"/>
        <w:rPr>
          <w:rFonts w:ascii="Calibri" w:eastAsia="MS Mincho" w:hAnsi="Calibri" w:cs="Calibri"/>
          <w:b/>
          <w:sz w:val="24"/>
          <w:lang w:val="en-GB"/>
        </w:rPr>
      </w:pPr>
    </w:p>
    <w:p w14:paraId="04DD8A7D" w14:textId="77777777" w:rsidR="00BF0B98" w:rsidRPr="00BF0B98" w:rsidRDefault="00BF0B98" w:rsidP="00BF0B98">
      <w:pPr>
        <w:jc w:val="left"/>
        <w:rPr>
          <w:rFonts w:ascii="Calibri" w:eastAsia="MS Mincho" w:hAnsi="Calibri" w:cs="Calibri"/>
          <w:b/>
          <w:sz w:val="24"/>
          <w:lang w:val="en-GB"/>
        </w:rPr>
      </w:pPr>
    </w:p>
    <w:p w14:paraId="42168220" w14:textId="77777777" w:rsidR="00BF0B98" w:rsidRPr="00BF0B98" w:rsidRDefault="00BF0B98" w:rsidP="00BF0B98">
      <w:pPr>
        <w:jc w:val="left"/>
        <w:rPr>
          <w:rFonts w:ascii="Calibri" w:eastAsia="MS Mincho" w:hAnsi="Calibri" w:cs="Calibri"/>
          <w:sz w:val="24"/>
          <w:lang w:val="en-GB"/>
        </w:rPr>
      </w:pPr>
    </w:p>
    <w:p w14:paraId="748ADF9C" w14:textId="77777777" w:rsidR="00BF0B98" w:rsidRPr="00BF0B98" w:rsidRDefault="00BF0B98" w:rsidP="00BF0B98">
      <w:pPr>
        <w:jc w:val="left"/>
        <w:rPr>
          <w:rFonts w:ascii="Calibri" w:eastAsia="MS Mincho" w:hAnsi="Calibri" w:cs="Calibri"/>
          <w:sz w:val="24"/>
          <w:lang w:val="en-GB"/>
        </w:rPr>
      </w:pPr>
    </w:p>
    <w:p w14:paraId="0EB169A6" w14:textId="77777777" w:rsidR="00BF0B98" w:rsidRPr="00BF0B98" w:rsidRDefault="00BF0B98" w:rsidP="00BF0B98">
      <w:pPr>
        <w:jc w:val="right"/>
        <w:rPr>
          <w:rFonts w:ascii="Calibri" w:eastAsia="MS Mincho" w:hAnsi="Calibri" w:cs="Calibri"/>
          <w:sz w:val="24"/>
          <w:lang w:val="en-GB"/>
        </w:rPr>
      </w:pPr>
    </w:p>
    <w:p w14:paraId="15012BF4" w14:textId="77777777" w:rsidR="00493B45" w:rsidRPr="00493B45" w:rsidRDefault="00493B45" w:rsidP="00493B45">
      <w:pPr>
        <w:rPr>
          <w:lang w:val="en-GB"/>
        </w:rPr>
      </w:pPr>
    </w:p>
    <w:p w14:paraId="4578B99F" w14:textId="77777777" w:rsidR="009F46F2" w:rsidRDefault="009F46F2">
      <w:pPr>
        <w:spacing w:after="200" w:line="276" w:lineRule="auto"/>
        <w:jc w:val="left"/>
        <w:rPr>
          <w:rFonts w:ascii="Cambria" w:eastAsiaTheme="majorEastAsia" w:hAnsi="Cambria" w:cstheme="majorBidi"/>
          <w:b/>
          <w:color w:val="365F91" w:themeColor="accent1" w:themeShade="BF"/>
          <w:sz w:val="28"/>
          <w:szCs w:val="32"/>
          <w:lang w:val="en-GB"/>
        </w:rPr>
      </w:pPr>
      <w:r>
        <w:br w:type="page"/>
      </w:r>
    </w:p>
    <w:p w14:paraId="78C02759" w14:textId="5ADC9F45" w:rsidR="00493B45" w:rsidRDefault="00493B45" w:rsidP="00493B45">
      <w:pPr>
        <w:pStyle w:val="Heading1"/>
        <w:jc w:val="left"/>
      </w:pPr>
      <w:bookmarkStart w:id="6" w:name="_Toc439764842"/>
      <w:r>
        <w:lastRenderedPageBreak/>
        <w:t xml:space="preserve">C.  </w:t>
      </w:r>
      <w:r w:rsidR="00E21989">
        <w:t xml:space="preserve">Countdown to 2015 </w:t>
      </w:r>
      <w:r>
        <w:t>Health Systems Tracer Indicators Dashboard</w:t>
      </w:r>
      <w:bookmarkEnd w:id="6"/>
      <w:r>
        <w:t xml:space="preserve"> </w:t>
      </w:r>
    </w:p>
    <w:p w14:paraId="7EB26CED" w14:textId="4C30F15C" w:rsidR="00493B45" w:rsidRDefault="00493B45" w:rsidP="007612BA">
      <w:pPr>
        <w:pStyle w:val="Heading2"/>
      </w:pPr>
      <w:bookmarkStart w:id="7" w:name="_Toc439764843"/>
      <w:r>
        <w:t>C</w:t>
      </w:r>
      <w:r w:rsidRPr="00C3432C">
        <w:t xml:space="preserve">.1 </w:t>
      </w:r>
      <w:r>
        <w:t>Tool</w:t>
      </w:r>
      <w:bookmarkEnd w:id="7"/>
    </w:p>
    <w:p w14:paraId="1CFC40BD" w14:textId="77777777" w:rsidR="00224FDD" w:rsidRDefault="00224FDD" w:rsidP="00224FDD">
      <w:pPr>
        <w:rPr>
          <w:lang w:val="en-GB"/>
        </w:rPr>
      </w:pPr>
    </w:p>
    <w:p w14:paraId="144C617D" w14:textId="55A4B440" w:rsidR="00224FDD" w:rsidRPr="00224FDD" w:rsidRDefault="00DF7512" w:rsidP="00224FDD">
      <w:pPr>
        <w:rPr>
          <w:lang w:val="en-GB"/>
        </w:rPr>
      </w:pPr>
      <w:r>
        <w:rPr>
          <w:lang w:val="en-GB"/>
        </w:rPr>
        <w:t>See Additional file 4.</w:t>
      </w:r>
      <w:bookmarkStart w:id="8" w:name="_GoBack"/>
      <w:bookmarkEnd w:id="8"/>
    </w:p>
    <w:p w14:paraId="1E09BA02" w14:textId="2B89C96D" w:rsidR="00493B45" w:rsidRDefault="00493B45" w:rsidP="007612BA">
      <w:pPr>
        <w:pStyle w:val="Heading2"/>
      </w:pPr>
      <w:bookmarkStart w:id="9" w:name="_Toc439764844"/>
      <w:r>
        <w:t>C</w:t>
      </w:r>
      <w:r w:rsidRPr="00C3432C">
        <w:t>.</w:t>
      </w:r>
      <w:r>
        <w:t>2</w:t>
      </w:r>
      <w:r w:rsidRPr="00C3432C">
        <w:t xml:space="preserve"> </w:t>
      </w:r>
      <w:r>
        <w:t>Protocol</w:t>
      </w:r>
      <w:bookmarkEnd w:id="9"/>
    </w:p>
    <w:p w14:paraId="37A6D977" w14:textId="77777777" w:rsidR="006F385C" w:rsidRPr="006F385C" w:rsidRDefault="006F385C" w:rsidP="006F385C">
      <w:pPr>
        <w:jc w:val="center"/>
        <w:rPr>
          <w:rFonts w:ascii="Calibri" w:eastAsia="MS Mincho" w:hAnsi="Calibri"/>
          <w:b/>
          <w:caps/>
          <w:sz w:val="28"/>
          <w:szCs w:val="28"/>
          <w:lang w:val="en-GB"/>
        </w:rPr>
      </w:pPr>
      <w:r w:rsidRPr="006F385C">
        <w:rPr>
          <w:rFonts w:ascii="Calibri" w:eastAsia="MS Mincho" w:hAnsi="Calibri"/>
          <w:b/>
          <w:caps/>
          <w:sz w:val="28"/>
          <w:szCs w:val="28"/>
          <w:lang w:val="en-GB"/>
        </w:rPr>
        <w:t>Countdown to 2015:</w:t>
      </w:r>
    </w:p>
    <w:p w14:paraId="16F16E31" w14:textId="77777777" w:rsidR="006F385C" w:rsidRPr="006F385C" w:rsidRDefault="006F385C" w:rsidP="006F385C">
      <w:pPr>
        <w:jc w:val="center"/>
        <w:rPr>
          <w:rFonts w:ascii="Calibri" w:eastAsia="MS Mincho" w:hAnsi="Calibri"/>
          <w:b/>
          <w:caps/>
          <w:sz w:val="28"/>
          <w:szCs w:val="28"/>
          <w:lang w:val="en-GB"/>
        </w:rPr>
      </w:pPr>
      <w:r w:rsidRPr="006F385C">
        <w:rPr>
          <w:rFonts w:ascii="Calibri" w:eastAsia="MS Mincho" w:hAnsi="Calibri"/>
          <w:b/>
          <w:caps/>
          <w:sz w:val="28"/>
          <w:szCs w:val="28"/>
          <w:lang w:val="en-GB"/>
        </w:rPr>
        <w:t>Health Systems Tracer Indicators Dashboard protocol</w:t>
      </w:r>
    </w:p>
    <w:p w14:paraId="471D1DF9" w14:textId="77777777" w:rsidR="006F385C" w:rsidRPr="006F385C" w:rsidRDefault="006F385C" w:rsidP="006F385C">
      <w:pPr>
        <w:jc w:val="center"/>
        <w:rPr>
          <w:rFonts w:ascii="Calibri" w:eastAsia="MS Mincho" w:hAnsi="Calibri" w:cs="Calibri"/>
          <w:sz w:val="24"/>
          <w:lang w:val="en-GB"/>
        </w:rPr>
      </w:pPr>
      <w:r w:rsidRPr="006F385C">
        <w:rPr>
          <w:rFonts w:ascii="Calibri" w:eastAsia="MS Mincho" w:hAnsi="Calibri" w:cs="Calibri"/>
          <w:sz w:val="24"/>
          <w:lang w:val="en-GB"/>
        </w:rPr>
        <w:t>Policy Tracer Indicators from</w:t>
      </w:r>
    </w:p>
    <w:p w14:paraId="4313C0EF" w14:textId="77777777" w:rsidR="006F385C" w:rsidRPr="006F385C" w:rsidRDefault="006F385C" w:rsidP="006F385C">
      <w:pPr>
        <w:jc w:val="center"/>
        <w:rPr>
          <w:rFonts w:ascii="Calibri" w:eastAsia="MS Mincho" w:hAnsi="Calibri" w:cs="Calibri"/>
          <w:sz w:val="24"/>
          <w:lang w:val="en-GB"/>
        </w:rPr>
      </w:pPr>
      <w:r w:rsidRPr="006F385C">
        <w:rPr>
          <w:rFonts w:ascii="Calibri" w:eastAsia="MS Mincho" w:hAnsi="Calibri" w:cs="Calibri"/>
          <w:sz w:val="24"/>
          <w:lang w:val="en-GB"/>
        </w:rPr>
        <w:t>the Countdown Country Profile</w:t>
      </w:r>
    </w:p>
    <w:p w14:paraId="67DD64BE" w14:textId="77777777" w:rsidR="006F385C" w:rsidRPr="006F385C" w:rsidRDefault="006F385C" w:rsidP="006F385C">
      <w:pPr>
        <w:jc w:val="left"/>
        <w:rPr>
          <w:rFonts w:ascii="Cambria" w:eastAsia="MS Mincho" w:hAnsi="Cambria"/>
          <w:szCs w:val="22"/>
          <w:lang w:val="en-GB" w:eastAsia="x-none"/>
        </w:rPr>
      </w:pPr>
    </w:p>
    <w:p w14:paraId="336EB7A6" w14:textId="77777777" w:rsidR="006F385C" w:rsidRPr="006F385C" w:rsidRDefault="006F385C" w:rsidP="006F385C">
      <w:pPr>
        <w:jc w:val="left"/>
        <w:rPr>
          <w:rFonts w:ascii="Cambria" w:eastAsia="MS Mincho" w:hAnsi="Cambria"/>
          <w:sz w:val="24"/>
          <w:lang w:val="en-GB" w:eastAsia="en-GB"/>
        </w:rPr>
      </w:pPr>
      <w:r w:rsidRPr="006F385C">
        <w:rPr>
          <w:rFonts w:ascii="Cambria" w:eastAsia="MS Mincho" w:hAnsi="Cambria"/>
          <w:sz w:val="24"/>
          <w:lang w:val="en-GB"/>
        </w:rPr>
        <w:t>______________________________________________________________________________</w:t>
      </w:r>
    </w:p>
    <w:p w14:paraId="398820FD" w14:textId="77777777" w:rsidR="006F385C" w:rsidRPr="006F385C" w:rsidRDefault="006F385C" w:rsidP="006F385C">
      <w:pPr>
        <w:jc w:val="left"/>
        <w:rPr>
          <w:rFonts w:ascii="Cambria" w:eastAsia="MS Mincho" w:hAnsi="Cambria"/>
          <w:sz w:val="24"/>
          <w:lang w:val="en-GB"/>
        </w:rPr>
      </w:pPr>
    </w:p>
    <w:p w14:paraId="366660E7" w14:textId="77777777" w:rsidR="006F385C" w:rsidRPr="006F385C" w:rsidRDefault="006F385C" w:rsidP="006F385C">
      <w:pPr>
        <w:jc w:val="left"/>
        <w:rPr>
          <w:rFonts w:ascii="Calibri" w:eastAsia="MS Mincho" w:hAnsi="Calibri"/>
          <w:b/>
          <w:caps/>
          <w:sz w:val="28"/>
          <w:szCs w:val="28"/>
          <w:lang w:val="en-GB"/>
        </w:rPr>
      </w:pPr>
      <w:r w:rsidRPr="006F385C">
        <w:rPr>
          <w:rFonts w:ascii="Calibri" w:eastAsia="MS Mincho" w:hAnsi="Calibri"/>
          <w:b/>
          <w:sz w:val="28"/>
          <w:szCs w:val="28"/>
          <w:lang w:val="en-GB"/>
        </w:rPr>
        <w:t xml:space="preserve">Aim of the Countdown Health Systems Analysis </w:t>
      </w:r>
    </w:p>
    <w:p w14:paraId="10A05357"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 xml:space="preserve">The Countdown (CD) Health Systems Tracer Indicators Dashboard will be used will be used in conjunction with the Policy and Programme Timeline tool and the Health Policy Tracer Indicators Dashboard as part of the qualitative analysis for CD Country Case Studies. The Health Systems Tracer Indicators Dashboard will document, in a comparable way, selected Reproductive, Maternal, Newborn and Child Health (RMNCH) tracer systems indicators reported in the CD Country Profiles. </w:t>
      </w:r>
    </w:p>
    <w:p w14:paraId="71A9E6C7" w14:textId="77777777" w:rsidR="006F385C" w:rsidRPr="006F385C" w:rsidRDefault="006F385C" w:rsidP="006F385C">
      <w:pPr>
        <w:rPr>
          <w:rFonts w:ascii="Calibri" w:eastAsia="MS Mincho" w:hAnsi="Calibri" w:cs="Calibri"/>
          <w:szCs w:val="22"/>
          <w:lang w:val="en-GB"/>
        </w:rPr>
      </w:pPr>
    </w:p>
    <w:p w14:paraId="1E0746A6"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The general aim of the Health Systems Tracer Indicators Dashboard is to assess selected tracer RMNCH systems indicators to produce the CD Systems Dashboard for the country. This tool will provide a systematic overview of selected health systems tracer indicators of a country, by examining changes in these tracer indicators from 1990 to the current year. CD Country Case Study teams will answer specific questions and collate the data within the tool. These data will then be presented in the Systems Dashboard, a visual representation of the data, which will be reviewed by stakeholders in country in order to build consensus on the documentation of changes in selected RMNCH tracer systems indicators.</w:t>
      </w:r>
    </w:p>
    <w:p w14:paraId="182E0694" w14:textId="77777777" w:rsidR="006F385C" w:rsidRPr="006F385C" w:rsidRDefault="006F385C" w:rsidP="006F385C">
      <w:pPr>
        <w:rPr>
          <w:rFonts w:ascii="Calibri" w:eastAsia="MS Mincho" w:hAnsi="Calibri" w:cs="Calibri"/>
          <w:szCs w:val="22"/>
          <w:lang w:val="en-GB"/>
        </w:rPr>
      </w:pPr>
    </w:p>
    <w:p w14:paraId="38BF1F0D"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Countdown aims to use the policy heuristics of (</w:t>
      </w:r>
      <w:proofErr w:type="spellStart"/>
      <w:r w:rsidRPr="006F385C">
        <w:rPr>
          <w:rFonts w:ascii="Calibri" w:eastAsia="MS Mincho" w:hAnsi="Calibri" w:cs="Calibri"/>
          <w:szCs w:val="22"/>
          <w:lang w:val="en-GB"/>
        </w:rPr>
        <w:t>i</w:t>
      </w:r>
      <w:proofErr w:type="spellEnd"/>
      <w:r w:rsidRPr="006F385C">
        <w:rPr>
          <w:rFonts w:ascii="Calibri" w:eastAsia="MS Mincho" w:hAnsi="Calibri" w:cs="Calibri"/>
          <w:szCs w:val="22"/>
          <w:lang w:val="en-GB"/>
        </w:rPr>
        <w:t>) agenda setting; (ii) policy formulation; (iii) policy implementation; and (iv) policy evaluation as guiding principles in the development and analysis of all health policy and systems tools. The Health Systems Tracer Indicators Dashboard focuses on the policy formulation component of the heuristic.</w:t>
      </w:r>
    </w:p>
    <w:p w14:paraId="171713E9" w14:textId="77777777" w:rsidR="006F385C" w:rsidRPr="006F385C" w:rsidRDefault="006F385C" w:rsidP="006F385C">
      <w:pPr>
        <w:rPr>
          <w:rFonts w:ascii="Calibri" w:eastAsia="MS Mincho" w:hAnsi="Calibri" w:cs="Calibri"/>
          <w:sz w:val="24"/>
          <w:lang w:val="en-GB"/>
        </w:rPr>
      </w:pPr>
    </w:p>
    <w:p w14:paraId="6B63917B" w14:textId="77777777" w:rsidR="006F385C" w:rsidRPr="006F385C" w:rsidRDefault="006F385C" w:rsidP="006F385C">
      <w:pPr>
        <w:jc w:val="left"/>
        <w:rPr>
          <w:rFonts w:ascii="Calibri" w:eastAsia="MS Mincho" w:hAnsi="Calibri"/>
          <w:b/>
          <w:caps/>
          <w:sz w:val="28"/>
          <w:szCs w:val="28"/>
          <w:lang w:val="en-GB"/>
        </w:rPr>
      </w:pPr>
      <w:r w:rsidRPr="006F385C">
        <w:rPr>
          <w:rFonts w:ascii="Calibri" w:eastAsia="MS Mincho" w:hAnsi="Calibri"/>
          <w:b/>
          <w:sz w:val="28"/>
          <w:szCs w:val="28"/>
          <w:lang w:val="en-GB"/>
        </w:rPr>
        <w:t>Objectives: CD Health Systems Tracer Indicators Dashboard</w:t>
      </w:r>
    </w:p>
    <w:p w14:paraId="65D11298" w14:textId="77777777" w:rsidR="006F385C" w:rsidRPr="006F385C" w:rsidRDefault="006F385C" w:rsidP="006F385C">
      <w:pPr>
        <w:numPr>
          <w:ilvl w:val="0"/>
          <w:numId w:val="45"/>
        </w:numPr>
        <w:contextualSpacing/>
        <w:jc w:val="left"/>
        <w:rPr>
          <w:rFonts w:ascii="Calibri" w:eastAsia="MS Mincho" w:hAnsi="Calibri" w:cs="Calibri"/>
          <w:szCs w:val="22"/>
          <w:lang w:val="en-GB"/>
        </w:rPr>
      </w:pPr>
      <w:r w:rsidRPr="006F385C">
        <w:rPr>
          <w:rFonts w:ascii="Calibri" w:eastAsia="MS Mincho" w:hAnsi="Calibri" w:cs="Calibri"/>
          <w:szCs w:val="22"/>
          <w:lang w:val="en-GB"/>
        </w:rPr>
        <w:t xml:space="preserve">To systematically assess the development and tracking over time of selected RMNCH systems tracer indicators reported in CD Country Profiles </w:t>
      </w:r>
    </w:p>
    <w:p w14:paraId="20C33540" w14:textId="77777777" w:rsidR="006F385C" w:rsidRPr="006F385C" w:rsidRDefault="006F385C" w:rsidP="006F385C">
      <w:pPr>
        <w:ind w:left="360"/>
        <w:contextualSpacing/>
        <w:rPr>
          <w:rFonts w:ascii="Calibri" w:eastAsia="MS Mincho" w:hAnsi="Calibri" w:cs="Calibri"/>
          <w:szCs w:val="22"/>
          <w:lang w:val="en-GB"/>
        </w:rPr>
      </w:pPr>
    </w:p>
    <w:p w14:paraId="7BDE9E88" w14:textId="77777777" w:rsidR="006F385C" w:rsidRPr="006F385C" w:rsidRDefault="006F385C" w:rsidP="006F385C">
      <w:pPr>
        <w:numPr>
          <w:ilvl w:val="0"/>
          <w:numId w:val="45"/>
        </w:numPr>
        <w:contextualSpacing/>
        <w:jc w:val="left"/>
        <w:rPr>
          <w:rFonts w:ascii="Calibri" w:eastAsia="MS Mincho" w:hAnsi="Calibri" w:cs="Calibri"/>
          <w:szCs w:val="22"/>
          <w:lang w:val="en-GB"/>
        </w:rPr>
      </w:pPr>
      <w:r w:rsidRPr="006F385C">
        <w:rPr>
          <w:rFonts w:ascii="Calibri" w:eastAsia="MS Mincho" w:hAnsi="Calibri" w:cs="Calibri"/>
          <w:szCs w:val="22"/>
          <w:lang w:val="en-GB"/>
        </w:rPr>
        <w:t>To visually represent system tracer indicators in the form of the Systems Dashboard to bring about further interpretation and analysis</w:t>
      </w:r>
    </w:p>
    <w:p w14:paraId="2674AFC9" w14:textId="77777777" w:rsidR="006F385C" w:rsidRPr="006F385C" w:rsidRDefault="006F385C" w:rsidP="006F385C">
      <w:pPr>
        <w:contextualSpacing/>
        <w:rPr>
          <w:rFonts w:ascii="Calibri" w:eastAsia="MS Mincho" w:hAnsi="Calibri" w:cs="Calibri"/>
          <w:szCs w:val="22"/>
          <w:lang w:val="en-GB"/>
        </w:rPr>
      </w:pPr>
    </w:p>
    <w:p w14:paraId="6588668B" w14:textId="77777777" w:rsidR="006F385C" w:rsidRPr="006F385C" w:rsidRDefault="006F385C" w:rsidP="006F385C">
      <w:pPr>
        <w:rPr>
          <w:rFonts w:ascii="Calibri" w:eastAsia="MS Mincho" w:hAnsi="Calibri" w:cs="Calibri"/>
          <w:szCs w:val="22"/>
          <w:lang w:val="en-GB"/>
        </w:rPr>
      </w:pPr>
    </w:p>
    <w:p w14:paraId="3CD2C900" w14:textId="77777777" w:rsidR="006F385C" w:rsidRPr="006F385C" w:rsidRDefault="006F385C" w:rsidP="006F385C">
      <w:pPr>
        <w:tabs>
          <w:tab w:val="left" w:pos="2280"/>
        </w:tabs>
        <w:rPr>
          <w:rFonts w:ascii="Calibri" w:eastAsia="MS Mincho" w:hAnsi="Calibri" w:cs="Calibri"/>
          <w:szCs w:val="22"/>
          <w:lang w:val="en-GB"/>
        </w:rPr>
      </w:pPr>
      <w:r w:rsidRPr="006F385C">
        <w:rPr>
          <w:rFonts w:ascii="Calibri" w:eastAsia="MS Mincho" w:hAnsi="Calibri" w:cs="Calibri"/>
          <w:szCs w:val="22"/>
          <w:lang w:val="en-GB"/>
        </w:rPr>
        <w:t>This protocol describes the standard tool – a Microsoft Excel spreadsheet for collating data – and the standard process, i.e. methods for conducting a country-specific analysis to complete the Health Systems Tracer Indicators Dashboard.</w:t>
      </w:r>
    </w:p>
    <w:p w14:paraId="7D75CB0E" w14:textId="77777777" w:rsidR="006F385C" w:rsidRDefault="006F385C" w:rsidP="006F385C">
      <w:pPr>
        <w:ind w:left="720"/>
        <w:contextualSpacing/>
        <w:rPr>
          <w:rFonts w:ascii="Calibri" w:eastAsia="MS Mincho" w:hAnsi="Calibri" w:cs="Calibri"/>
          <w:szCs w:val="22"/>
          <w:lang w:val="en-GB"/>
        </w:rPr>
      </w:pPr>
    </w:p>
    <w:p w14:paraId="2B9A6F1C" w14:textId="77777777" w:rsidR="007612BA" w:rsidRPr="006F385C" w:rsidRDefault="007612BA" w:rsidP="006F385C">
      <w:pPr>
        <w:ind w:left="720"/>
        <w:contextualSpacing/>
        <w:rPr>
          <w:rFonts w:ascii="Calibri" w:eastAsia="MS Mincho" w:hAnsi="Calibri" w:cs="Calibri"/>
          <w:szCs w:val="22"/>
          <w:lang w:val="en-GB"/>
        </w:rPr>
      </w:pPr>
    </w:p>
    <w:p w14:paraId="2AFBD1EC" w14:textId="77777777" w:rsidR="006F385C" w:rsidRDefault="006F385C" w:rsidP="006F385C">
      <w:pPr>
        <w:jc w:val="left"/>
        <w:rPr>
          <w:rFonts w:ascii="Calibri" w:eastAsia="MS Mincho" w:hAnsi="Calibri"/>
          <w:b/>
          <w:sz w:val="28"/>
          <w:szCs w:val="28"/>
          <w:lang w:val="en-GB"/>
        </w:rPr>
      </w:pPr>
      <w:r w:rsidRPr="006F385C">
        <w:rPr>
          <w:rFonts w:ascii="Calibri" w:eastAsia="MS Mincho" w:hAnsi="Calibri"/>
          <w:b/>
          <w:sz w:val="28"/>
          <w:szCs w:val="28"/>
          <w:lang w:val="en-GB"/>
        </w:rPr>
        <w:t xml:space="preserve">Standard Tool &amp; Process for Completion: CD Health Systems Tracer Indicators Dashboard </w:t>
      </w:r>
    </w:p>
    <w:p w14:paraId="5EA54815" w14:textId="77777777" w:rsidR="007612BA" w:rsidRPr="006F385C" w:rsidRDefault="007612BA" w:rsidP="006F385C">
      <w:pPr>
        <w:jc w:val="left"/>
        <w:rPr>
          <w:rFonts w:ascii="Calibri" w:eastAsia="MS Mincho" w:hAnsi="Calibri"/>
          <w:b/>
          <w:sz w:val="28"/>
          <w:szCs w:val="28"/>
          <w:lang w:val="en-GB"/>
        </w:rPr>
      </w:pPr>
    </w:p>
    <w:p w14:paraId="19B10BB3"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lastRenderedPageBreak/>
        <w:t xml:space="preserve">The Health Systems Tracer Indicators Dashboard contains the following three tables: </w:t>
      </w:r>
    </w:p>
    <w:p w14:paraId="381A9803" w14:textId="77777777" w:rsidR="006F385C" w:rsidRPr="006F385C" w:rsidRDefault="006F385C" w:rsidP="006F385C">
      <w:pPr>
        <w:rPr>
          <w:rFonts w:ascii="Calibri" w:eastAsia="MS Mincho" w:hAnsi="Calibri" w:cs="Calibri"/>
          <w:szCs w:val="22"/>
          <w:lang w:val="en-GB"/>
        </w:rPr>
      </w:pPr>
    </w:p>
    <w:p w14:paraId="6F467797"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b/>
          <w:szCs w:val="22"/>
          <w:u w:val="single"/>
          <w:lang w:val="en-GB"/>
        </w:rPr>
        <w:t>Table 1</w:t>
      </w:r>
      <w:r w:rsidRPr="006F385C">
        <w:rPr>
          <w:rFonts w:ascii="Calibri" w:eastAsia="MS Mincho" w:hAnsi="Calibri" w:cs="Calibri"/>
          <w:szCs w:val="22"/>
          <w:lang w:val="en-GB"/>
        </w:rPr>
        <w:t xml:space="preserve"> tracks in a standardised way the existence or not of national strategy/ plans of action to improve RMNCH. Respondents will select “Yes” or “No” from a dropdown menu if the strategy and/or plan exists and is costed. If the strategy/plan exists, then enter the years the strategy document covers under the columns labelled “Start Year of the Strategy” and “End year of the Strategy.” </w:t>
      </w:r>
    </w:p>
    <w:p w14:paraId="7D66C726" w14:textId="77777777" w:rsidR="006F385C" w:rsidRPr="006F385C" w:rsidRDefault="006F385C" w:rsidP="006F385C">
      <w:pPr>
        <w:rPr>
          <w:rFonts w:ascii="Calibri" w:eastAsia="MS Mincho" w:hAnsi="Calibri" w:cs="Calibri"/>
          <w:szCs w:val="22"/>
          <w:lang w:val="en-GB"/>
        </w:rPr>
      </w:pPr>
    </w:p>
    <w:p w14:paraId="6AF30133" w14:textId="77777777" w:rsidR="006F385C" w:rsidRPr="006F385C" w:rsidRDefault="006F385C" w:rsidP="006F385C">
      <w:pPr>
        <w:numPr>
          <w:ilvl w:val="0"/>
          <w:numId w:val="44"/>
        </w:numPr>
        <w:contextualSpacing/>
        <w:jc w:val="left"/>
        <w:rPr>
          <w:rFonts w:ascii="Calibri" w:eastAsia="MS Mincho" w:hAnsi="Calibri" w:cs="Calibri"/>
          <w:szCs w:val="22"/>
          <w:lang w:val="en-GB"/>
        </w:rPr>
      </w:pPr>
      <w:r w:rsidRPr="006F385C">
        <w:rPr>
          <w:rFonts w:ascii="Calibri" w:eastAsia="MS Mincho" w:hAnsi="Calibri" w:cs="Calibri"/>
          <w:szCs w:val="22"/>
          <w:u w:val="single"/>
          <w:lang w:val="en-GB"/>
        </w:rPr>
        <w:t>Note</w:t>
      </w:r>
      <w:r w:rsidRPr="006F385C">
        <w:rPr>
          <w:rFonts w:ascii="Calibri" w:eastAsia="MS Mincho" w:hAnsi="Calibri" w:cs="Calibri"/>
          <w:szCs w:val="22"/>
          <w:lang w:val="en-GB"/>
        </w:rPr>
        <w:t xml:space="preserve">: Often the strategies and plans for RMNCH are not a standalone document, but rather integrated with each other in different combinations. Answer “Yes” if that is the case and in the column “Comments” mark the name of strategy and provide full reference in the “Reference” column. </w:t>
      </w:r>
    </w:p>
    <w:p w14:paraId="0782003C" w14:textId="77777777" w:rsidR="006F385C" w:rsidRPr="006F385C" w:rsidRDefault="006F385C" w:rsidP="006F385C">
      <w:pPr>
        <w:rPr>
          <w:rFonts w:ascii="Calibri" w:eastAsia="MS Mincho" w:hAnsi="Calibri" w:cs="Calibri"/>
          <w:szCs w:val="22"/>
          <w:lang w:val="en-GB"/>
        </w:rPr>
      </w:pPr>
    </w:p>
    <w:p w14:paraId="214FB745"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Please ensure that each policy/strategy has a reference, ideally with a hyperlink, in the “</w:t>
      </w:r>
      <w:r w:rsidRPr="006F385C">
        <w:rPr>
          <w:rFonts w:ascii="Calibri" w:eastAsia="MS Mincho" w:hAnsi="Calibri" w:cs="Calibri"/>
          <w:b/>
          <w:szCs w:val="22"/>
          <w:lang w:val="en-GB"/>
        </w:rPr>
        <w:t>Reference</w:t>
      </w:r>
      <w:r w:rsidRPr="006F385C">
        <w:rPr>
          <w:rFonts w:ascii="Calibri" w:eastAsia="MS Mincho" w:hAnsi="Calibri" w:cs="Calibri"/>
          <w:szCs w:val="22"/>
          <w:lang w:val="en-GB"/>
        </w:rPr>
        <w:t xml:space="preserve">” column. </w:t>
      </w:r>
    </w:p>
    <w:p w14:paraId="0A3691C2" w14:textId="77777777" w:rsidR="006F385C" w:rsidRPr="006F385C" w:rsidRDefault="006F385C" w:rsidP="006F385C">
      <w:pPr>
        <w:rPr>
          <w:rFonts w:ascii="Calibri" w:eastAsia="MS Mincho" w:hAnsi="Calibri" w:cs="Calibri"/>
          <w:szCs w:val="22"/>
          <w:lang w:val="en-GB"/>
        </w:rPr>
      </w:pPr>
    </w:p>
    <w:p w14:paraId="6A828216"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Please make notes related to the policies/strategies or its specific components sparingly under the “</w:t>
      </w:r>
      <w:r w:rsidRPr="006F385C">
        <w:rPr>
          <w:rFonts w:ascii="Calibri" w:eastAsia="MS Mincho" w:hAnsi="Calibri" w:cs="Calibri"/>
          <w:b/>
          <w:szCs w:val="22"/>
          <w:lang w:val="en-GB"/>
        </w:rPr>
        <w:t>Comments</w:t>
      </w:r>
      <w:r w:rsidRPr="006F385C">
        <w:rPr>
          <w:rFonts w:ascii="Calibri" w:eastAsia="MS Mincho" w:hAnsi="Calibri" w:cs="Calibri"/>
          <w:szCs w:val="22"/>
          <w:lang w:val="en-GB"/>
        </w:rPr>
        <w:t xml:space="preserve">” column whenever relevant. </w:t>
      </w:r>
    </w:p>
    <w:p w14:paraId="2BC57231" w14:textId="77777777" w:rsidR="006F385C" w:rsidRPr="006F385C" w:rsidRDefault="006F385C" w:rsidP="006F385C">
      <w:pPr>
        <w:rPr>
          <w:rFonts w:ascii="Calibri" w:eastAsia="MS Mincho" w:hAnsi="Calibri" w:cs="Calibri"/>
          <w:szCs w:val="22"/>
          <w:lang w:val="en-GB"/>
        </w:rPr>
      </w:pPr>
    </w:p>
    <w:p w14:paraId="50BA805D" w14:textId="77777777" w:rsidR="006F385C" w:rsidRPr="006F385C" w:rsidRDefault="006F385C" w:rsidP="006F385C">
      <w:pPr>
        <w:rPr>
          <w:rFonts w:ascii="Calibri" w:eastAsia="MS Mincho" w:hAnsi="Calibri" w:cs="Calibri"/>
          <w:szCs w:val="22"/>
          <w:lang w:val="en-GB"/>
        </w:rPr>
      </w:pPr>
    </w:p>
    <w:p w14:paraId="1DDB6354" w14:textId="77777777" w:rsidR="006F385C" w:rsidRPr="006F385C" w:rsidRDefault="006F385C" w:rsidP="006F385C">
      <w:pPr>
        <w:rPr>
          <w:rFonts w:ascii="Calibri" w:eastAsia="MS Mincho" w:hAnsi="Calibri" w:cs="Calibri"/>
          <w:szCs w:val="22"/>
          <w:lang w:val="en-GB"/>
        </w:rPr>
      </w:pPr>
    </w:p>
    <w:p w14:paraId="047E4471"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b/>
          <w:szCs w:val="22"/>
          <w:u w:val="single"/>
          <w:lang w:val="en-GB"/>
        </w:rPr>
        <w:t>Table 2</w:t>
      </w:r>
      <w:r w:rsidRPr="006F385C">
        <w:rPr>
          <w:rFonts w:ascii="Calibri" w:eastAsia="MS Mincho" w:hAnsi="Calibri" w:cs="Calibri"/>
          <w:szCs w:val="22"/>
          <w:lang w:val="en-GB"/>
        </w:rPr>
        <w:t xml:space="preserve"> tracks integration of selected Lifesaving commodities in Essential medicines and supplies list (EML).</w:t>
      </w:r>
    </w:p>
    <w:p w14:paraId="7B145BFE" w14:textId="77777777" w:rsidR="006F385C" w:rsidRPr="006F385C" w:rsidRDefault="006F385C" w:rsidP="006F385C">
      <w:pPr>
        <w:rPr>
          <w:rFonts w:ascii="Calibri" w:eastAsia="MS Mincho" w:hAnsi="Calibri" w:cs="Calibri"/>
          <w:szCs w:val="22"/>
          <w:lang w:val="en-GB"/>
        </w:rPr>
      </w:pPr>
    </w:p>
    <w:p w14:paraId="571A2146"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 xml:space="preserve">Respondents are requested to indicate by “Yes” or “No” if the specific medicine/supply is included in the EML. If the answer is “Yes”, please mark this under the period column when this medicine/supply was introduced in EML. </w:t>
      </w:r>
    </w:p>
    <w:p w14:paraId="207B59F7" w14:textId="77777777" w:rsidR="006F385C" w:rsidRPr="006F385C" w:rsidRDefault="006F385C" w:rsidP="006F385C">
      <w:pPr>
        <w:rPr>
          <w:rFonts w:ascii="Calibri" w:eastAsia="MS Mincho" w:hAnsi="Calibri" w:cs="Calibri"/>
          <w:szCs w:val="22"/>
          <w:lang w:val="en-GB"/>
        </w:rPr>
      </w:pPr>
    </w:p>
    <w:p w14:paraId="373722E9"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Please ensure that each policy/strategy has a reference, ideally with a hyperlink, in the “</w:t>
      </w:r>
      <w:r w:rsidRPr="006F385C">
        <w:rPr>
          <w:rFonts w:ascii="Calibri" w:eastAsia="MS Mincho" w:hAnsi="Calibri" w:cs="Calibri"/>
          <w:b/>
          <w:szCs w:val="22"/>
          <w:lang w:val="en-GB"/>
        </w:rPr>
        <w:t>Reference</w:t>
      </w:r>
      <w:r w:rsidRPr="006F385C">
        <w:rPr>
          <w:rFonts w:ascii="Calibri" w:eastAsia="MS Mincho" w:hAnsi="Calibri" w:cs="Calibri"/>
          <w:szCs w:val="22"/>
          <w:lang w:val="en-GB"/>
        </w:rPr>
        <w:t xml:space="preserve">” column. </w:t>
      </w:r>
    </w:p>
    <w:p w14:paraId="594317BD" w14:textId="77777777" w:rsidR="006F385C" w:rsidRPr="006F385C" w:rsidRDefault="006F385C" w:rsidP="006F385C">
      <w:pPr>
        <w:rPr>
          <w:rFonts w:ascii="Calibri" w:eastAsia="MS Mincho" w:hAnsi="Calibri" w:cs="Calibri"/>
          <w:szCs w:val="22"/>
          <w:lang w:val="en-GB"/>
        </w:rPr>
      </w:pPr>
    </w:p>
    <w:p w14:paraId="7DF2985B"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Please make notes related to the policies/strategies or its specific components sparingly under the “</w:t>
      </w:r>
      <w:r w:rsidRPr="006F385C">
        <w:rPr>
          <w:rFonts w:ascii="Calibri" w:eastAsia="MS Mincho" w:hAnsi="Calibri" w:cs="Calibri"/>
          <w:b/>
          <w:szCs w:val="22"/>
          <w:lang w:val="en-GB"/>
        </w:rPr>
        <w:t>Comments</w:t>
      </w:r>
      <w:r w:rsidRPr="006F385C">
        <w:rPr>
          <w:rFonts w:ascii="Calibri" w:eastAsia="MS Mincho" w:hAnsi="Calibri" w:cs="Calibri"/>
          <w:szCs w:val="22"/>
          <w:lang w:val="en-GB"/>
        </w:rPr>
        <w:t xml:space="preserve">” column whenever relevant. </w:t>
      </w:r>
    </w:p>
    <w:p w14:paraId="5ECBCE12" w14:textId="77777777" w:rsidR="006F385C" w:rsidRPr="006F385C" w:rsidRDefault="006F385C" w:rsidP="006F385C">
      <w:pPr>
        <w:rPr>
          <w:rFonts w:ascii="Calibri" w:eastAsia="MS Mincho" w:hAnsi="Calibri" w:cs="Calibri"/>
          <w:szCs w:val="22"/>
          <w:lang w:val="en-GB"/>
        </w:rPr>
      </w:pPr>
    </w:p>
    <w:p w14:paraId="4BAD81D9" w14:textId="77777777" w:rsidR="006F385C" w:rsidRPr="006F385C" w:rsidRDefault="006F385C" w:rsidP="006F385C">
      <w:pPr>
        <w:rPr>
          <w:rFonts w:ascii="Calibri" w:eastAsia="MS Mincho" w:hAnsi="Calibri" w:cs="Calibri"/>
          <w:szCs w:val="22"/>
          <w:lang w:val="en-GB"/>
        </w:rPr>
      </w:pPr>
    </w:p>
    <w:p w14:paraId="5A5B3E98" w14:textId="77777777" w:rsidR="006F385C" w:rsidRPr="006F385C" w:rsidRDefault="006F385C" w:rsidP="006F385C">
      <w:pPr>
        <w:rPr>
          <w:rFonts w:ascii="Calibri" w:eastAsia="MS Mincho" w:hAnsi="Calibri" w:cs="Calibri"/>
          <w:szCs w:val="22"/>
          <w:lang w:val="en-GB"/>
        </w:rPr>
      </w:pPr>
    </w:p>
    <w:p w14:paraId="797D221C"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b/>
          <w:szCs w:val="22"/>
          <w:u w:val="single"/>
          <w:lang w:val="en-GB"/>
        </w:rPr>
        <w:t>Table 3</w:t>
      </w:r>
      <w:r w:rsidRPr="006F385C">
        <w:rPr>
          <w:rFonts w:ascii="Calibri" w:eastAsia="MS Mincho" w:hAnsi="Calibri" w:cs="Calibri"/>
          <w:szCs w:val="22"/>
          <w:lang w:val="en-GB"/>
        </w:rPr>
        <w:t xml:space="preserve"> tracks progressive changes in the following two systems’ tracer indicators: </w:t>
      </w:r>
    </w:p>
    <w:p w14:paraId="509284A8" w14:textId="77777777" w:rsidR="006F385C" w:rsidRPr="006F385C" w:rsidRDefault="006F385C" w:rsidP="006F385C">
      <w:pPr>
        <w:rPr>
          <w:rFonts w:ascii="Calibri" w:eastAsia="MS Mincho" w:hAnsi="Calibri" w:cs="Calibri"/>
          <w:szCs w:val="22"/>
          <w:lang w:val="en-GB"/>
        </w:rPr>
      </w:pPr>
    </w:p>
    <w:p w14:paraId="1FF7FDDF" w14:textId="77777777" w:rsidR="006F385C" w:rsidRPr="006F385C" w:rsidRDefault="006F385C" w:rsidP="006F385C">
      <w:pPr>
        <w:numPr>
          <w:ilvl w:val="0"/>
          <w:numId w:val="46"/>
        </w:numPr>
        <w:contextualSpacing/>
        <w:jc w:val="left"/>
        <w:rPr>
          <w:rFonts w:ascii="Calibri" w:eastAsia="MS Mincho" w:hAnsi="Calibri" w:cs="Calibri"/>
          <w:szCs w:val="22"/>
          <w:lang w:val="en-GB"/>
        </w:rPr>
      </w:pPr>
      <w:r w:rsidRPr="006F385C">
        <w:rPr>
          <w:rFonts w:ascii="Calibri" w:eastAsia="MS Mincho" w:hAnsi="Calibri" w:cs="Calibri"/>
          <w:szCs w:val="22"/>
          <w:lang w:val="en-GB"/>
        </w:rPr>
        <w:t xml:space="preserve">Density of health professionals </w:t>
      </w:r>
    </w:p>
    <w:p w14:paraId="07D30984" w14:textId="77777777" w:rsidR="006F385C" w:rsidRPr="006F385C" w:rsidRDefault="006F385C" w:rsidP="006F385C">
      <w:pPr>
        <w:numPr>
          <w:ilvl w:val="0"/>
          <w:numId w:val="46"/>
        </w:numPr>
        <w:contextualSpacing/>
        <w:jc w:val="left"/>
        <w:rPr>
          <w:rFonts w:ascii="Calibri" w:eastAsia="MS Mincho" w:hAnsi="Calibri" w:cs="Calibri"/>
          <w:szCs w:val="22"/>
          <w:lang w:val="en-GB"/>
        </w:rPr>
      </w:pPr>
      <w:r w:rsidRPr="006F385C">
        <w:rPr>
          <w:rFonts w:ascii="Calibri" w:eastAsia="MS Mincho" w:hAnsi="Calibri" w:cs="Calibri"/>
          <w:szCs w:val="22"/>
          <w:lang w:val="en-GB"/>
        </w:rPr>
        <w:t xml:space="preserve">National availability of emergency obstetric care services </w:t>
      </w:r>
    </w:p>
    <w:p w14:paraId="4620B497" w14:textId="77777777" w:rsidR="006F385C" w:rsidRPr="006F385C" w:rsidRDefault="006F385C" w:rsidP="006F385C">
      <w:pPr>
        <w:rPr>
          <w:rFonts w:ascii="Calibri" w:eastAsia="MS Mincho" w:hAnsi="Calibri" w:cs="Calibri"/>
          <w:szCs w:val="22"/>
          <w:lang w:val="en-GB"/>
        </w:rPr>
      </w:pPr>
    </w:p>
    <w:p w14:paraId="6FBCE210"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 xml:space="preserve">For each of these systems’ indicators, note the data, the year the data was reported and source of data. </w:t>
      </w:r>
    </w:p>
    <w:p w14:paraId="3C397E84" w14:textId="77777777" w:rsidR="006F385C" w:rsidRPr="006F385C" w:rsidRDefault="006F385C" w:rsidP="006F385C">
      <w:pPr>
        <w:rPr>
          <w:rFonts w:ascii="Calibri" w:eastAsia="MS Mincho" w:hAnsi="Calibri" w:cs="Calibri"/>
          <w:szCs w:val="22"/>
          <w:lang w:val="en-GB"/>
        </w:rPr>
      </w:pPr>
    </w:p>
    <w:p w14:paraId="04B76DCA"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 xml:space="preserve">If possible and available, please report more than one data point. </w:t>
      </w:r>
    </w:p>
    <w:p w14:paraId="0BFB9E13" w14:textId="77777777" w:rsidR="006F385C" w:rsidRPr="006F385C" w:rsidRDefault="006F385C" w:rsidP="006F385C">
      <w:pPr>
        <w:rPr>
          <w:rFonts w:ascii="Calibri" w:eastAsia="MS Mincho" w:hAnsi="Calibri" w:cs="Calibri"/>
          <w:szCs w:val="22"/>
          <w:lang w:val="en-GB"/>
        </w:rPr>
      </w:pPr>
    </w:p>
    <w:p w14:paraId="4EEC0183" w14:textId="77777777" w:rsidR="006F385C" w:rsidRPr="006F385C" w:rsidRDefault="006F385C" w:rsidP="006F385C">
      <w:pPr>
        <w:numPr>
          <w:ilvl w:val="0"/>
          <w:numId w:val="44"/>
        </w:numPr>
        <w:contextualSpacing/>
        <w:jc w:val="left"/>
        <w:rPr>
          <w:rFonts w:ascii="Calibri" w:eastAsia="MS Mincho" w:hAnsi="Calibri" w:cs="Calibri"/>
          <w:szCs w:val="22"/>
          <w:lang w:val="en-GB"/>
        </w:rPr>
      </w:pPr>
      <w:r w:rsidRPr="006F385C">
        <w:rPr>
          <w:rFonts w:ascii="Calibri" w:eastAsia="MS Mincho" w:hAnsi="Calibri" w:cs="Calibri"/>
          <w:szCs w:val="22"/>
          <w:u w:val="single"/>
          <w:lang w:val="en-GB"/>
        </w:rPr>
        <w:t>Note</w:t>
      </w:r>
      <w:r w:rsidRPr="006F385C">
        <w:rPr>
          <w:rFonts w:ascii="Calibri" w:eastAsia="MS Mincho" w:hAnsi="Calibri" w:cs="Calibri"/>
          <w:szCs w:val="22"/>
          <w:lang w:val="en-GB"/>
        </w:rPr>
        <w:t>: Table 3 provides columns for data collected at 3 different points. However, add more columns as needed if countries have data from additional years.</w:t>
      </w:r>
    </w:p>
    <w:p w14:paraId="4F02EAC9" w14:textId="77777777" w:rsidR="006F385C" w:rsidRPr="006F385C" w:rsidRDefault="006F385C" w:rsidP="006F385C">
      <w:pPr>
        <w:rPr>
          <w:rFonts w:ascii="Calibri" w:eastAsia="MS Mincho" w:hAnsi="Calibri" w:cs="Calibri"/>
          <w:szCs w:val="22"/>
          <w:lang w:val="en-GB"/>
        </w:rPr>
      </w:pPr>
    </w:p>
    <w:p w14:paraId="3DF605F3" w14:textId="77777777" w:rsidR="006F385C" w:rsidRPr="006F385C" w:rsidRDefault="006F385C" w:rsidP="006F385C">
      <w:pPr>
        <w:rPr>
          <w:rFonts w:ascii="Calibri" w:eastAsia="MS Mincho" w:hAnsi="Calibri" w:cs="Calibri"/>
          <w:szCs w:val="22"/>
          <w:lang w:val="en-GB"/>
        </w:rPr>
      </w:pPr>
      <w:r w:rsidRPr="006F385C">
        <w:rPr>
          <w:rFonts w:ascii="Calibri" w:eastAsia="MS Mincho" w:hAnsi="Calibri" w:cs="Calibri"/>
          <w:szCs w:val="22"/>
          <w:lang w:val="en-GB"/>
        </w:rPr>
        <w:t>See Section C.1 for the tool in Microsoft Excel format.</w:t>
      </w:r>
    </w:p>
    <w:p w14:paraId="2D9CA3E8" w14:textId="77777777" w:rsidR="00493B45" w:rsidRPr="00493B45" w:rsidRDefault="00493B45" w:rsidP="00493B45">
      <w:pPr>
        <w:rPr>
          <w:lang w:val="en-GB"/>
        </w:rPr>
      </w:pPr>
    </w:p>
    <w:p w14:paraId="7675AC2B" w14:textId="77777777" w:rsidR="00F560F5" w:rsidRDefault="00F560F5">
      <w:pPr>
        <w:spacing w:after="200" w:line="276" w:lineRule="auto"/>
        <w:jc w:val="left"/>
        <w:sectPr w:rsidR="00F560F5" w:rsidSect="003A2B45">
          <w:headerReference w:type="even" r:id="rId14"/>
          <w:headerReference w:type="default" r:id="rId15"/>
          <w:footerReference w:type="default" r:id="rId16"/>
          <w:headerReference w:type="first" r:id="rId17"/>
          <w:pgSz w:w="11906" w:h="16838" w:code="9"/>
          <w:pgMar w:top="1134" w:right="1134" w:bottom="1134" w:left="1134" w:header="720" w:footer="720" w:gutter="0"/>
          <w:cols w:space="720"/>
          <w:docGrid w:linePitch="360"/>
        </w:sectPr>
      </w:pPr>
    </w:p>
    <w:p w14:paraId="357283D0" w14:textId="211DCB77" w:rsidR="00493B45" w:rsidRDefault="00493B45" w:rsidP="00241B5B">
      <w:pPr>
        <w:pStyle w:val="Heading1"/>
        <w:spacing w:before="0" w:after="160"/>
        <w:jc w:val="left"/>
      </w:pPr>
      <w:bookmarkStart w:id="10" w:name="_Toc439764845"/>
      <w:r>
        <w:lastRenderedPageBreak/>
        <w:t xml:space="preserve">D.  </w:t>
      </w:r>
      <w:r w:rsidR="00AB33B7">
        <w:t>Countdown to 2015</w:t>
      </w:r>
      <w:r>
        <w:t xml:space="preserve"> health system and policy tracer indicators</w:t>
      </w:r>
      <w:r w:rsidR="00E21989">
        <w:t xml:space="preserve">: </w:t>
      </w:r>
      <w:r w:rsidR="007612BA">
        <w:t>D</w:t>
      </w:r>
      <w:r w:rsidR="00E21989">
        <w:t>efinitions and data sources</w:t>
      </w:r>
      <w:bookmarkEnd w:id="10"/>
      <w:r w:rsidR="00E21989">
        <w:t xml:space="preserve"> </w:t>
      </w:r>
    </w:p>
    <w:tbl>
      <w:tblPr>
        <w:tblW w:w="15457" w:type="dxa"/>
        <w:tblInd w:w="-289" w:type="dxa"/>
        <w:tblLayout w:type="fixed"/>
        <w:tblLook w:val="04A0" w:firstRow="1" w:lastRow="0" w:firstColumn="1" w:lastColumn="0" w:noHBand="0" w:noVBand="1"/>
      </w:tblPr>
      <w:tblGrid>
        <w:gridCol w:w="294"/>
        <w:gridCol w:w="1266"/>
        <w:gridCol w:w="425"/>
        <w:gridCol w:w="1985"/>
        <w:gridCol w:w="567"/>
        <w:gridCol w:w="3544"/>
        <w:gridCol w:w="2551"/>
        <w:gridCol w:w="709"/>
        <w:gridCol w:w="1417"/>
        <w:gridCol w:w="2699"/>
      </w:tblGrid>
      <w:tr w:rsidR="00F560F5" w:rsidRPr="00F560F5" w14:paraId="57A0ED93" w14:textId="77777777" w:rsidTr="00241B5B">
        <w:trPr>
          <w:trHeight w:val="486"/>
        </w:trPr>
        <w:tc>
          <w:tcPr>
            <w:tcW w:w="15452" w:type="dxa"/>
            <w:gridSpan w:val="10"/>
            <w:tcBorders>
              <w:top w:val="single" w:sz="4" w:space="0" w:color="auto"/>
              <w:left w:val="single" w:sz="4" w:space="0" w:color="auto"/>
              <w:bottom w:val="single" w:sz="4" w:space="0" w:color="auto"/>
              <w:right w:val="single" w:sz="8" w:space="0" w:color="auto"/>
            </w:tcBorders>
            <w:shd w:val="clear" w:color="auto" w:fill="000000" w:themeFill="text1"/>
            <w:noWrap/>
            <w:vAlign w:val="center"/>
          </w:tcPr>
          <w:p w14:paraId="544AE0DA" w14:textId="5BF9BC2F" w:rsidR="00F560F5" w:rsidRPr="00AB33B7" w:rsidRDefault="00F560F5" w:rsidP="00F560F5">
            <w:pPr>
              <w:jc w:val="left"/>
              <w:rPr>
                <w:rFonts w:ascii="Calibri" w:hAnsi="Calibri"/>
                <w:b/>
                <w:bCs/>
                <w:color w:val="FFFFFF" w:themeColor="background1"/>
                <w:sz w:val="32"/>
                <w:szCs w:val="32"/>
                <w:lang w:val="en-GB" w:eastAsia="en-GB"/>
              </w:rPr>
            </w:pPr>
            <w:r w:rsidRPr="00AB33B7">
              <w:rPr>
                <w:rFonts w:ascii="Calibri" w:hAnsi="Calibri"/>
                <w:b/>
                <w:bCs/>
                <w:i/>
                <w:iCs/>
                <w:color w:val="FFFFFF" w:themeColor="background1"/>
                <w:sz w:val="32"/>
                <w:szCs w:val="32"/>
                <w:lang w:val="en-GB" w:eastAsia="en-GB"/>
              </w:rPr>
              <w:t>Countdown to 2015 Health Policy Indicators</w:t>
            </w:r>
          </w:p>
        </w:tc>
      </w:tr>
      <w:tr w:rsidR="00F560F5" w:rsidRPr="00F560F5" w14:paraId="3745824B" w14:textId="77777777" w:rsidTr="00241B5B">
        <w:trPr>
          <w:trHeight w:val="363"/>
        </w:trPr>
        <w:tc>
          <w:tcPr>
            <w:tcW w:w="1560" w:type="dxa"/>
            <w:gridSpan w:val="2"/>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4D3A93CD" w14:textId="77777777" w:rsidR="00F560F5" w:rsidRPr="00F560F5" w:rsidRDefault="00F560F5" w:rsidP="00F560F5">
            <w:pPr>
              <w:jc w:val="center"/>
              <w:rPr>
                <w:rFonts w:ascii="Calibri" w:hAnsi="Calibri"/>
                <w:b/>
                <w:bCs/>
                <w:color w:val="000000"/>
                <w:sz w:val="24"/>
                <w:lang w:val="en-GB" w:eastAsia="en-GB"/>
              </w:rPr>
            </w:pPr>
            <w:r w:rsidRPr="00F560F5">
              <w:rPr>
                <w:rFonts w:ascii="Calibri" w:hAnsi="Calibri"/>
                <w:b/>
                <w:bCs/>
                <w:color w:val="000000"/>
                <w:sz w:val="24"/>
                <w:lang w:val="en-GB" w:eastAsia="en-GB"/>
              </w:rPr>
              <w:t>INDICATOR</w:t>
            </w:r>
          </w:p>
        </w:tc>
        <w:tc>
          <w:tcPr>
            <w:tcW w:w="2977" w:type="dxa"/>
            <w:gridSpan w:val="3"/>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5B450659" w14:textId="77777777" w:rsidR="00F560F5" w:rsidRPr="00F560F5" w:rsidRDefault="00F560F5" w:rsidP="00F560F5">
            <w:pPr>
              <w:jc w:val="center"/>
              <w:rPr>
                <w:rFonts w:ascii="Calibri" w:hAnsi="Calibri"/>
                <w:b/>
                <w:bCs/>
                <w:color w:val="000000"/>
                <w:sz w:val="24"/>
                <w:lang w:val="en-GB" w:eastAsia="en-GB"/>
              </w:rPr>
            </w:pPr>
            <w:r w:rsidRPr="00F560F5">
              <w:rPr>
                <w:rFonts w:ascii="Calibri" w:hAnsi="Calibri"/>
                <w:b/>
                <w:bCs/>
                <w:color w:val="000000"/>
                <w:sz w:val="24"/>
                <w:lang w:val="en-GB" w:eastAsia="en-GB"/>
              </w:rPr>
              <w:t>DEFINITION</w:t>
            </w:r>
          </w:p>
        </w:tc>
        <w:tc>
          <w:tcPr>
            <w:tcW w:w="6804"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116D3C" w14:textId="77777777" w:rsidR="00F560F5" w:rsidRPr="00F560F5" w:rsidRDefault="00F560F5" w:rsidP="00F560F5">
            <w:pPr>
              <w:jc w:val="center"/>
              <w:rPr>
                <w:rFonts w:ascii="Calibri" w:hAnsi="Calibri"/>
                <w:b/>
                <w:bCs/>
                <w:color w:val="000000"/>
                <w:sz w:val="24"/>
                <w:lang w:val="en-GB" w:eastAsia="en-GB"/>
              </w:rPr>
            </w:pPr>
            <w:r w:rsidRPr="00F560F5">
              <w:rPr>
                <w:rFonts w:ascii="Calibri" w:hAnsi="Calibri"/>
                <w:b/>
                <w:bCs/>
                <w:color w:val="000000"/>
                <w:sz w:val="24"/>
                <w:lang w:val="en-GB" w:eastAsia="en-GB"/>
              </w:rPr>
              <w:t>CRITERIA FOR RANKING</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9855A9" w14:textId="77777777" w:rsidR="00F560F5" w:rsidRPr="00F560F5" w:rsidRDefault="00F560F5" w:rsidP="00F560F5">
            <w:pPr>
              <w:jc w:val="center"/>
              <w:rPr>
                <w:rFonts w:ascii="Calibri" w:hAnsi="Calibri"/>
                <w:b/>
                <w:bCs/>
                <w:color w:val="000000"/>
                <w:sz w:val="24"/>
                <w:lang w:val="en-GB" w:eastAsia="en-GB"/>
              </w:rPr>
            </w:pPr>
            <w:r w:rsidRPr="00F560F5">
              <w:rPr>
                <w:rFonts w:ascii="Calibri" w:hAnsi="Calibri"/>
                <w:b/>
                <w:bCs/>
                <w:color w:val="000000"/>
                <w:sz w:val="24"/>
                <w:lang w:val="en-GB" w:eastAsia="en-GB"/>
              </w:rPr>
              <w:t>DATA SOURCE</w:t>
            </w:r>
          </w:p>
        </w:tc>
        <w:tc>
          <w:tcPr>
            <w:tcW w:w="2694"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7C1B1D71" w14:textId="77777777" w:rsidR="00F560F5" w:rsidRPr="00F560F5" w:rsidRDefault="00F560F5" w:rsidP="00F560F5">
            <w:pPr>
              <w:jc w:val="center"/>
              <w:rPr>
                <w:rFonts w:ascii="Calibri" w:hAnsi="Calibri"/>
                <w:b/>
                <w:bCs/>
                <w:color w:val="000000"/>
                <w:sz w:val="24"/>
                <w:lang w:val="en-GB" w:eastAsia="en-GB"/>
              </w:rPr>
            </w:pPr>
            <w:r w:rsidRPr="00F560F5">
              <w:rPr>
                <w:rFonts w:ascii="Calibri" w:hAnsi="Calibri"/>
                <w:b/>
                <w:bCs/>
                <w:color w:val="000000"/>
                <w:sz w:val="24"/>
                <w:lang w:val="en-GB" w:eastAsia="en-GB"/>
              </w:rPr>
              <w:t>GLOBAL DATABASE</w:t>
            </w:r>
          </w:p>
        </w:tc>
      </w:tr>
      <w:tr w:rsidR="00F560F5" w:rsidRPr="00F560F5" w14:paraId="3F15CB1C" w14:textId="77777777" w:rsidTr="00241B5B">
        <w:trPr>
          <w:trHeight w:val="1200"/>
        </w:trPr>
        <w:tc>
          <w:tcPr>
            <w:tcW w:w="1560" w:type="dxa"/>
            <w:gridSpan w:val="2"/>
            <w:tcBorders>
              <w:top w:val="single" w:sz="4" w:space="0" w:color="auto"/>
              <w:left w:val="single" w:sz="8" w:space="0" w:color="auto"/>
              <w:bottom w:val="single" w:sz="4" w:space="0" w:color="auto"/>
              <w:right w:val="nil"/>
            </w:tcBorders>
            <w:shd w:val="clear" w:color="auto" w:fill="auto"/>
            <w:vAlign w:val="center"/>
            <w:hideMark/>
          </w:tcPr>
          <w:p w14:paraId="1D99A4C8"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Family planning for adolescents</w:t>
            </w:r>
          </w:p>
        </w:tc>
        <w:tc>
          <w:tcPr>
            <w:tcW w:w="297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A5350EB"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Laws or regulations allow adolescents (married or</w:t>
            </w:r>
            <w:r w:rsidRPr="00F560F5">
              <w:rPr>
                <w:rFonts w:ascii="Calibri" w:hAnsi="Calibri"/>
                <w:color w:val="000000"/>
                <w:sz w:val="20"/>
                <w:szCs w:val="20"/>
                <w:lang w:val="en-GB" w:eastAsia="en-GB"/>
              </w:rPr>
              <w:br/>
              <w:t>unmarried) to access contraception without parental or</w:t>
            </w:r>
            <w:r w:rsidRPr="00F560F5">
              <w:rPr>
                <w:rFonts w:ascii="Calibri" w:hAnsi="Calibri"/>
                <w:color w:val="000000"/>
                <w:sz w:val="20"/>
                <w:szCs w:val="20"/>
                <w:lang w:val="en-GB" w:eastAsia="en-GB"/>
              </w:rPr>
              <w:br/>
              <w:t>spousal consent.</w:t>
            </w:r>
          </w:p>
        </w:tc>
        <w:tc>
          <w:tcPr>
            <w:tcW w:w="6804" w:type="dxa"/>
            <w:gridSpan w:val="3"/>
            <w:tcBorders>
              <w:top w:val="single" w:sz="4" w:space="0" w:color="auto"/>
              <w:left w:val="nil"/>
              <w:bottom w:val="single" w:sz="4" w:space="0" w:color="auto"/>
              <w:right w:val="single" w:sz="4" w:space="0" w:color="auto"/>
            </w:tcBorders>
            <w:shd w:val="clear" w:color="auto" w:fill="auto"/>
            <w:vAlign w:val="center"/>
            <w:hideMark/>
          </w:tcPr>
          <w:p w14:paraId="59540D0E"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legislation is available that allows adolescents to access contraception without parental or spousal consent. Partial = legislation is available that allows either married adolescents to access contraception without spousal consent or allows unmarried adolescents to access contraception without parental consent. No = no legislation is available that allows adolescents to access contraception without parental or spousal consent.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885A915"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single" w:sz="4" w:space="0" w:color="auto"/>
              <w:left w:val="nil"/>
              <w:bottom w:val="single" w:sz="4" w:space="0" w:color="auto"/>
              <w:right w:val="single" w:sz="8" w:space="0" w:color="auto"/>
            </w:tcBorders>
            <w:shd w:val="clear" w:color="auto" w:fill="auto"/>
            <w:vAlign w:val="center"/>
            <w:hideMark/>
          </w:tcPr>
          <w:p w14:paraId="0AB439B0"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F560F5" w:rsidRPr="00F560F5" w14:paraId="6DC6C028"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421DD786"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Legal status of abortion</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0DE20E2B"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Legal grounds under which abortion is allowed.</w:t>
            </w:r>
          </w:p>
        </w:tc>
        <w:tc>
          <w:tcPr>
            <w:tcW w:w="6804" w:type="dxa"/>
            <w:gridSpan w:val="3"/>
            <w:tcBorders>
              <w:top w:val="nil"/>
              <w:left w:val="nil"/>
              <w:bottom w:val="single" w:sz="4" w:space="0" w:color="auto"/>
              <w:right w:val="single" w:sz="4" w:space="0" w:color="auto"/>
            </w:tcBorders>
            <w:shd w:val="clear" w:color="auto" w:fill="auto"/>
            <w:vAlign w:val="center"/>
            <w:hideMark/>
          </w:tcPr>
          <w:p w14:paraId="34463CF9"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Abortion allowed on the following grounds: 1 = to save a woman's life. 2 = to preserve physical health and above. 3 = to preserve mental health and above. 4 = for economic and social reason and the above. 5 = on request and above. R = in case of rape or incest. F= in case of foetal impairment. - = data are not available.</w:t>
            </w:r>
          </w:p>
        </w:tc>
        <w:tc>
          <w:tcPr>
            <w:tcW w:w="1417" w:type="dxa"/>
            <w:tcBorders>
              <w:top w:val="nil"/>
              <w:left w:val="nil"/>
              <w:bottom w:val="single" w:sz="4" w:space="0" w:color="auto"/>
              <w:right w:val="single" w:sz="4" w:space="0" w:color="auto"/>
            </w:tcBorders>
            <w:shd w:val="clear" w:color="auto" w:fill="auto"/>
            <w:vAlign w:val="center"/>
            <w:hideMark/>
          </w:tcPr>
          <w:p w14:paraId="059DDC86"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United Nations Population Division policy database</w:t>
            </w:r>
          </w:p>
        </w:tc>
        <w:tc>
          <w:tcPr>
            <w:tcW w:w="2694" w:type="dxa"/>
            <w:tcBorders>
              <w:top w:val="nil"/>
              <w:left w:val="nil"/>
              <w:bottom w:val="single" w:sz="4" w:space="0" w:color="auto"/>
              <w:right w:val="single" w:sz="8" w:space="0" w:color="auto"/>
            </w:tcBorders>
            <w:shd w:val="clear" w:color="auto" w:fill="auto"/>
            <w:vAlign w:val="center"/>
            <w:hideMark/>
          </w:tcPr>
          <w:p w14:paraId="1421BFC6"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United Nations Population Division policy database http://esa.un.org/poppolicy/about_database.aspx (Accessed January 2014</w:t>
            </w:r>
          </w:p>
        </w:tc>
      </w:tr>
      <w:tr w:rsidR="00F560F5" w:rsidRPr="00F560F5" w14:paraId="475F99BB"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7CC6A554"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Midwives authorized for specific tasks</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6BC18FCF"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Midwifery personnel are authorized to deliver basic emergency obstetric and newborn care.</w:t>
            </w:r>
          </w:p>
        </w:tc>
        <w:tc>
          <w:tcPr>
            <w:tcW w:w="6804" w:type="dxa"/>
            <w:gridSpan w:val="3"/>
            <w:tcBorders>
              <w:top w:val="nil"/>
              <w:left w:val="nil"/>
              <w:bottom w:val="single" w:sz="4" w:space="0" w:color="auto"/>
              <w:right w:val="single" w:sz="4" w:space="0" w:color="auto"/>
            </w:tcBorders>
            <w:shd w:val="clear" w:color="auto" w:fill="auto"/>
            <w:vAlign w:val="center"/>
            <w:hideMark/>
          </w:tcPr>
          <w:p w14:paraId="7BB6E19F"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Number of the seven lifesaving interventions tasks authorized: parental antibiotics, parenteral oxytocin, parental anticonvulsants, manual removal of placenta, removal of retained products of conception, assisted vaginal delivery, newborn resuscitation.</w:t>
            </w:r>
          </w:p>
        </w:tc>
        <w:tc>
          <w:tcPr>
            <w:tcW w:w="1417" w:type="dxa"/>
            <w:tcBorders>
              <w:top w:val="nil"/>
              <w:left w:val="nil"/>
              <w:bottom w:val="single" w:sz="4" w:space="0" w:color="auto"/>
              <w:right w:val="single" w:sz="4" w:space="0" w:color="auto"/>
            </w:tcBorders>
            <w:shd w:val="clear" w:color="auto" w:fill="auto"/>
            <w:vAlign w:val="center"/>
            <w:hideMark/>
          </w:tcPr>
          <w:p w14:paraId="31FA807B"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721FC1ED"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F560F5" w:rsidRPr="00F560F5" w14:paraId="01D60EFB" w14:textId="77777777" w:rsidTr="00241B5B">
        <w:trPr>
          <w:trHeight w:val="1500"/>
        </w:trPr>
        <w:tc>
          <w:tcPr>
            <w:tcW w:w="1560" w:type="dxa"/>
            <w:gridSpan w:val="2"/>
            <w:tcBorders>
              <w:top w:val="nil"/>
              <w:left w:val="single" w:sz="8" w:space="0" w:color="auto"/>
              <w:bottom w:val="single" w:sz="4" w:space="0" w:color="auto"/>
              <w:right w:val="nil"/>
            </w:tcBorders>
            <w:shd w:val="clear" w:color="auto" w:fill="auto"/>
            <w:vAlign w:val="center"/>
            <w:hideMark/>
          </w:tcPr>
          <w:p w14:paraId="399985DB"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Maternity protection (Convention 183)</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51B1041D"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Country has ratified International Labour Organization Convention 183 or has passed national legislation that is in compliance with the three key provisions of the convention (14 weeks of maternity leave, paid at 66% of previous earnings by social security or general revenue)</w:t>
            </w:r>
          </w:p>
        </w:tc>
        <w:tc>
          <w:tcPr>
            <w:tcW w:w="6804" w:type="dxa"/>
            <w:gridSpan w:val="3"/>
            <w:tcBorders>
              <w:top w:val="nil"/>
              <w:left w:val="nil"/>
              <w:bottom w:val="single" w:sz="4" w:space="0" w:color="auto"/>
              <w:right w:val="single" w:sz="4" w:space="0" w:color="auto"/>
            </w:tcBorders>
            <w:shd w:val="clear" w:color="auto" w:fill="auto"/>
            <w:vAlign w:val="center"/>
            <w:hideMark/>
          </w:tcPr>
          <w:p w14:paraId="0EF7B969"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Yes = International Labour Organization Convention 183 ratified (maternity leave of at least 14 weeks with cash benefits of previous earnings paid by social security or public funds). Partial = International Labour Organization Convention 183 not ratified but previous maternity convention ratified (maternity leave of at least 12 weeks with cash benefits of previous earnings paid by social security of public funds). No = no ratification of any maternal protection convention. </w:t>
            </w:r>
          </w:p>
        </w:tc>
        <w:tc>
          <w:tcPr>
            <w:tcW w:w="1417" w:type="dxa"/>
            <w:tcBorders>
              <w:top w:val="nil"/>
              <w:left w:val="nil"/>
              <w:bottom w:val="single" w:sz="4" w:space="0" w:color="auto"/>
              <w:right w:val="single" w:sz="4" w:space="0" w:color="auto"/>
            </w:tcBorders>
            <w:shd w:val="clear" w:color="auto" w:fill="auto"/>
            <w:vAlign w:val="center"/>
            <w:hideMark/>
          </w:tcPr>
          <w:p w14:paraId="5090A1B3"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International Labour Organization</w:t>
            </w:r>
          </w:p>
        </w:tc>
        <w:tc>
          <w:tcPr>
            <w:tcW w:w="2694" w:type="dxa"/>
            <w:tcBorders>
              <w:top w:val="nil"/>
              <w:left w:val="nil"/>
              <w:bottom w:val="single" w:sz="4" w:space="0" w:color="auto"/>
              <w:right w:val="single" w:sz="8" w:space="0" w:color="auto"/>
            </w:tcBorders>
            <w:shd w:val="clear" w:color="auto" w:fill="auto"/>
            <w:vAlign w:val="center"/>
            <w:hideMark/>
          </w:tcPr>
          <w:p w14:paraId="57981E7A"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International Labour Organization, NORMLEX Information System on International Labour Standards, at: https://www.ilo.org/dyn/normlex/en (Accessed March 2014)</w:t>
            </w:r>
          </w:p>
        </w:tc>
      </w:tr>
      <w:tr w:rsidR="00F560F5" w:rsidRPr="00F560F5" w14:paraId="64C8AED1" w14:textId="77777777" w:rsidTr="00241B5B">
        <w:trPr>
          <w:trHeight w:val="900"/>
        </w:trPr>
        <w:tc>
          <w:tcPr>
            <w:tcW w:w="1560" w:type="dxa"/>
            <w:gridSpan w:val="2"/>
            <w:tcBorders>
              <w:top w:val="nil"/>
              <w:left w:val="single" w:sz="8" w:space="0" w:color="auto"/>
              <w:right w:val="nil"/>
            </w:tcBorders>
            <w:shd w:val="clear" w:color="auto" w:fill="auto"/>
            <w:vAlign w:val="center"/>
            <w:hideMark/>
          </w:tcPr>
          <w:p w14:paraId="0C0972CD"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Maternal deaths notification</w:t>
            </w:r>
          </w:p>
        </w:tc>
        <w:tc>
          <w:tcPr>
            <w:tcW w:w="2977" w:type="dxa"/>
            <w:gridSpan w:val="3"/>
            <w:tcBorders>
              <w:top w:val="nil"/>
              <w:left w:val="single" w:sz="8" w:space="0" w:color="auto"/>
              <w:right w:val="single" w:sz="4" w:space="0" w:color="auto"/>
            </w:tcBorders>
            <w:shd w:val="clear" w:color="auto" w:fill="auto"/>
            <w:vAlign w:val="center"/>
            <w:hideMark/>
          </w:tcPr>
          <w:p w14:paraId="6185DE1E"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has been adopted requiring health professionals to notify any maternal death to a responsible national body.</w:t>
            </w:r>
          </w:p>
        </w:tc>
        <w:tc>
          <w:tcPr>
            <w:tcW w:w="6804" w:type="dxa"/>
            <w:gridSpan w:val="3"/>
            <w:tcBorders>
              <w:top w:val="nil"/>
              <w:left w:val="nil"/>
              <w:right w:val="single" w:sz="4" w:space="0" w:color="auto"/>
            </w:tcBorders>
            <w:shd w:val="clear" w:color="auto" w:fill="auto"/>
            <w:vAlign w:val="center"/>
            <w:hideMark/>
          </w:tcPr>
          <w:p w14:paraId="67A705D8"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adopted and implemented. Partial = national policy adopted but no systematic implementation. No = no national policy adopted.</w:t>
            </w:r>
          </w:p>
        </w:tc>
        <w:tc>
          <w:tcPr>
            <w:tcW w:w="1417" w:type="dxa"/>
            <w:tcBorders>
              <w:top w:val="nil"/>
              <w:left w:val="nil"/>
              <w:right w:val="single" w:sz="4" w:space="0" w:color="auto"/>
            </w:tcBorders>
            <w:shd w:val="clear" w:color="auto" w:fill="auto"/>
            <w:vAlign w:val="center"/>
            <w:hideMark/>
          </w:tcPr>
          <w:p w14:paraId="0D98220A"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right w:val="single" w:sz="8" w:space="0" w:color="auto"/>
            </w:tcBorders>
            <w:shd w:val="clear" w:color="auto" w:fill="auto"/>
            <w:vAlign w:val="center"/>
            <w:hideMark/>
          </w:tcPr>
          <w:p w14:paraId="205E82B2" w14:textId="77777777" w:rsidR="00F560F5" w:rsidRPr="00F560F5" w:rsidRDefault="00F560F5" w:rsidP="00F560F5">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AB33B7" w:rsidRPr="00F560F5" w14:paraId="122168F7" w14:textId="77777777" w:rsidTr="00241B5B">
        <w:trPr>
          <w:trHeight w:val="567"/>
        </w:trPr>
        <w:tc>
          <w:tcPr>
            <w:tcW w:w="1560" w:type="dxa"/>
            <w:gridSpan w:val="2"/>
            <w:tcBorders>
              <w:top w:val="nil"/>
              <w:left w:val="single" w:sz="8" w:space="0" w:color="auto"/>
              <w:bottom w:val="single" w:sz="4" w:space="0" w:color="auto"/>
              <w:right w:val="nil"/>
            </w:tcBorders>
            <w:shd w:val="clear" w:color="auto" w:fill="D9D9D9" w:themeFill="background1" w:themeFillShade="D9"/>
            <w:vAlign w:val="center"/>
          </w:tcPr>
          <w:p w14:paraId="1BBFE964" w14:textId="76F77D46" w:rsidR="00AB33B7" w:rsidRPr="00F560F5" w:rsidRDefault="00AB33B7" w:rsidP="00AB33B7">
            <w:pPr>
              <w:jc w:val="left"/>
              <w:rPr>
                <w:rFonts w:ascii="Calibri" w:hAnsi="Calibri"/>
                <w:color w:val="000000"/>
                <w:sz w:val="20"/>
                <w:szCs w:val="20"/>
                <w:lang w:val="en-GB" w:eastAsia="en-GB"/>
              </w:rPr>
            </w:pPr>
            <w:r w:rsidRPr="00F560F5">
              <w:rPr>
                <w:rFonts w:ascii="Calibri" w:hAnsi="Calibri"/>
                <w:b/>
                <w:bCs/>
                <w:color w:val="000000"/>
                <w:sz w:val="24"/>
                <w:lang w:val="en-GB" w:eastAsia="en-GB"/>
              </w:rPr>
              <w:lastRenderedPageBreak/>
              <w:t>INDICATOR</w:t>
            </w:r>
          </w:p>
        </w:tc>
        <w:tc>
          <w:tcPr>
            <w:tcW w:w="2977" w:type="dxa"/>
            <w:gridSpan w:val="3"/>
            <w:tcBorders>
              <w:top w:val="nil"/>
              <w:left w:val="single" w:sz="8" w:space="0" w:color="auto"/>
              <w:bottom w:val="single" w:sz="4" w:space="0" w:color="auto"/>
              <w:right w:val="single" w:sz="4" w:space="0" w:color="auto"/>
            </w:tcBorders>
            <w:shd w:val="clear" w:color="auto" w:fill="D9D9D9" w:themeFill="background1" w:themeFillShade="D9"/>
            <w:vAlign w:val="center"/>
          </w:tcPr>
          <w:p w14:paraId="2C69563B" w14:textId="0F8DD88C" w:rsidR="00AB33B7" w:rsidRPr="00F560F5" w:rsidRDefault="00AB33B7" w:rsidP="00AB33B7">
            <w:pPr>
              <w:jc w:val="left"/>
              <w:rPr>
                <w:rFonts w:ascii="Calibri" w:hAnsi="Calibri"/>
                <w:color w:val="000000"/>
                <w:sz w:val="20"/>
                <w:szCs w:val="20"/>
                <w:lang w:val="en-GB" w:eastAsia="en-GB"/>
              </w:rPr>
            </w:pPr>
            <w:r w:rsidRPr="00F560F5">
              <w:rPr>
                <w:rFonts w:ascii="Calibri" w:hAnsi="Calibri"/>
                <w:b/>
                <w:bCs/>
                <w:color w:val="000000"/>
                <w:sz w:val="24"/>
                <w:lang w:val="en-GB" w:eastAsia="en-GB"/>
              </w:rPr>
              <w:t>DEFINITION</w:t>
            </w:r>
          </w:p>
        </w:tc>
        <w:tc>
          <w:tcPr>
            <w:tcW w:w="6804" w:type="dxa"/>
            <w:gridSpan w:val="3"/>
            <w:tcBorders>
              <w:top w:val="nil"/>
              <w:left w:val="nil"/>
              <w:bottom w:val="single" w:sz="4" w:space="0" w:color="auto"/>
              <w:right w:val="single" w:sz="4" w:space="0" w:color="auto"/>
            </w:tcBorders>
            <w:shd w:val="clear" w:color="auto" w:fill="D9D9D9" w:themeFill="background1" w:themeFillShade="D9"/>
            <w:vAlign w:val="center"/>
          </w:tcPr>
          <w:p w14:paraId="601DD20D" w14:textId="4FB93EE9" w:rsidR="00AB33B7" w:rsidRPr="00F560F5" w:rsidRDefault="00AB33B7" w:rsidP="00AB33B7">
            <w:pPr>
              <w:jc w:val="left"/>
              <w:rPr>
                <w:rFonts w:ascii="Calibri" w:hAnsi="Calibri"/>
                <w:color w:val="000000"/>
                <w:sz w:val="20"/>
                <w:szCs w:val="20"/>
                <w:lang w:val="en-GB" w:eastAsia="en-GB"/>
              </w:rPr>
            </w:pPr>
            <w:r w:rsidRPr="00F560F5">
              <w:rPr>
                <w:rFonts w:ascii="Calibri" w:hAnsi="Calibri"/>
                <w:b/>
                <w:bCs/>
                <w:color w:val="000000"/>
                <w:sz w:val="24"/>
                <w:lang w:val="en-GB" w:eastAsia="en-GB"/>
              </w:rPr>
              <w:t>CRITERIA FOR RANKING</w:t>
            </w:r>
          </w:p>
        </w:tc>
        <w:tc>
          <w:tcPr>
            <w:tcW w:w="1417" w:type="dxa"/>
            <w:tcBorders>
              <w:top w:val="nil"/>
              <w:left w:val="nil"/>
              <w:bottom w:val="single" w:sz="4" w:space="0" w:color="auto"/>
              <w:right w:val="single" w:sz="4" w:space="0" w:color="auto"/>
            </w:tcBorders>
            <w:shd w:val="clear" w:color="auto" w:fill="D9D9D9" w:themeFill="background1" w:themeFillShade="D9"/>
            <w:vAlign w:val="center"/>
          </w:tcPr>
          <w:p w14:paraId="73101489" w14:textId="10AF5880" w:rsidR="00AB33B7" w:rsidRPr="00F560F5" w:rsidRDefault="00AB33B7" w:rsidP="00AB33B7">
            <w:pPr>
              <w:jc w:val="left"/>
              <w:rPr>
                <w:rFonts w:ascii="Calibri" w:hAnsi="Calibri"/>
                <w:color w:val="000000"/>
                <w:sz w:val="20"/>
                <w:szCs w:val="20"/>
                <w:lang w:val="en-GB" w:eastAsia="en-GB"/>
              </w:rPr>
            </w:pPr>
            <w:r w:rsidRPr="00F560F5">
              <w:rPr>
                <w:rFonts w:ascii="Calibri" w:hAnsi="Calibri"/>
                <w:b/>
                <w:bCs/>
                <w:color w:val="000000"/>
                <w:sz w:val="24"/>
                <w:lang w:val="en-GB" w:eastAsia="en-GB"/>
              </w:rPr>
              <w:t>DATA SOURCE</w:t>
            </w:r>
          </w:p>
        </w:tc>
        <w:tc>
          <w:tcPr>
            <w:tcW w:w="2694" w:type="dxa"/>
            <w:tcBorders>
              <w:top w:val="nil"/>
              <w:left w:val="nil"/>
              <w:bottom w:val="single" w:sz="4" w:space="0" w:color="auto"/>
              <w:right w:val="single" w:sz="8" w:space="0" w:color="auto"/>
            </w:tcBorders>
            <w:shd w:val="clear" w:color="auto" w:fill="D9D9D9" w:themeFill="background1" w:themeFillShade="D9"/>
            <w:vAlign w:val="center"/>
          </w:tcPr>
          <w:p w14:paraId="4AF0C77A" w14:textId="31E2D089" w:rsidR="00AB33B7" w:rsidRPr="00F560F5" w:rsidRDefault="00AB33B7" w:rsidP="00AB33B7">
            <w:pPr>
              <w:jc w:val="left"/>
              <w:rPr>
                <w:rFonts w:ascii="Calibri" w:hAnsi="Calibri"/>
                <w:color w:val="000000"/>
                <w:sz w:val="20"/>
                <w:szCs w:val="20"/>
                <w:lang w:val="en-GB" w:eastAsia="en-GB"/>
              </w:rPr>
            </w:pPr>
            <w:r w:rsidRPr="00F560F5">
              <w:rPr>
                <w:rFonts w:ascii="Calibri" w:hAnsi="Calibri"/>
                <w:b/>
                <w:bCs/>
                <w:color w:val="000000"/>
                <w:sz w:val="24"/>
                <w:lang w:val="en-GB" w:eastAsia="en-GB"/>
              </w:rPr>
              <w:t>GLOBAL DATABASE</w:t>
            </w:r>
          </w:p>
        </w:tc>
      </w:tr>
      <w:tr w:rsidR="00AB33B7" w:rsidRPr="00F560F5" w14:paraId="362B7CE7"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01E7850F"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Postnatal home visits in the first week after birth</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29E850F7"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recommending home visits to mother and newborn in the first week after childbirth by a trained provider have been adopted and implemented.</w:t>
            </w:r>
          </w:p>
        </w:tc>
        <w:tc>
          <w:tcPr>
            <w:tcW w:w="6804" w:type="dxa"/>
            <w:gridSpan w:val="3"/>
            <w:tcBorders>
              <w:top w:val="nil"/>
              <w:left w:val="nil"/>
              <w:bottom w:val="single" w:sz="4" w:space="0" w:color="auto"/>
              <w:right w:val="single" w:sz="4" w:space="0" w:color="auto"/>
            </w:tcBorders>
            <w:shd w:val="clear" w:color="auto" w:fill="auto"/>
            <w:vAlign w:val="center"/>
            <w:hideMark/>
          </w:tcPr>
          <w:p w14:paraId="5076D645"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or guidelines recommending postnatal home visits adopted and implemented. No = no national policy or guidelines on postnatal home visits adopted.</w:t>
            </w:r>
          </w:p>
        </w:tc>
        <w:tc>
          <w:tcPr>
            <w:tcW w:w="1417" w:type="dxa"/>
            <w:tcBorders>
              <w:top w:val="nil"/>
              <w:left w:val="nil"/>
              <w:bottom w:val="single" w:sz="4" w:space="0" w:color="auto"/>
              <w:right w:val="single" w:sz="4" w:space="0" w:color="auto"/>
            </w:tcBorders>
            <w:shd w:val="clear" w:color="auto" w:fill="auto"/>
            <w:vAlign w:val="center"/>
            <w:hideMark/>
          </w:tcPr>
          <w:p w14:paraId="7A06EAEE"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766FB2CE"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AB33B7" w:rsidRPr="00F560F5" w14:paraId="64E2341B"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3D636B55"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Kangaroo mother care for low birthweight newborns</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2A19654F"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recommends kangaroo mother care for low birthweight newborns.</w:t>
            </w:r>
          </w:p>
        </w:tc>
        <w:tc>
          <w:tcPr>
            <w:tcW w:w="6804" w:type="dxa"/>
            <w:gridSpan w:val="3"/>
            <w:tcBorders>
              <w:top w:val="nil"/>
              <w:left w:val="nil"/>
              <w:bottom w:val="single" w:sz="4" w:space="0" w:color="auto"/>
              <w:right w:val="single" w:sz="4" w:space="0" w:color="auto"/>
            </w:tcBorders>
            <w:shd w:val="clear" w:color="auto" w:fill="auto"/>
            <w:vAlign w:val="center"/>
            <w:hideMark/>
          </w:tcPr>
          <w:p w14:paraId="2B5061D7"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recommends kangaroo mother care for low birthweight newborns. No = national policy does not recommend kangaroo mother care for low birthweight newborns.</w:t>
            </w:r>
          </w:p>
        </w:tc>
        <w:tc>
          <w:tcPr>
            <w:tcW w:w="1417" w:type="dxa"/>
            <w:tcBorders>
              <w:top w:val="nil"/>
              <w:left w:val="nil"/>
              <w:bottom w:val="single" w:sz="4" w:space="0" w:color="auto"/>
              <w:right w:val="single" w:sz="4" w:space="0" w:color="auto"/>
            </w:tcBorders>
            <w:shd w:val="clear" w:color="auto" w:fill="auto"/>
            <w:vAlign w:val="center"/>
            <w:hideMark/>
          </w:tcPr>
          <w:p w14:paraId="45C63C4A"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6103ABC9"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AB33B7" w:rsidRPr="00F560F5" w14:paraId="1E6B80DA"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54F5D3D6"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Antenatal corticosteroids for preterm labour</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75CCA563"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recommends antenatal corticosteroids for preterm labour.</w:t>
            </w:r>
          </w:p>
        </w:tc>
        <w:tc>
          <w:tcPr>
            <w:tcW w:w="6804" w:type="dxa"/>
            <w:gridSpan w:val="3"/>
            <w:tcBorders>
              <w:top w:val="nil"/>
              <w:left w:val="nil"/>
              <w:bottom w:val="single" w:sz="4" w:space="0" w:color="auto"/>
              <w:right w:val="single" w:sz="4" w:space="0" w:color="auto"/>
            </w:tcBorders>
            <w:shd w:val="clear" w:color="auto" w:fill="auto"/>
            <w:vAlign w:val="center"/>
            <w:hideMark/>
          </w:tcPr>
          <w:p w14:paraId="46F1AF57"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recommends use of antenatal corticosteroids for preterm labour. No = national policy does not recommend use of antenatal corticosteroids for preterm labour.</w:t>
            </w:r>
          </w:p>
        </w:tc>
        <w:tc>
          <w:tcPr>
            <w:tcW w:w="1417" w:type="dxa"/>
            <w:tcBorders>
              <w:top w:val="nil"/>
              <w:left w:val="nil"/>
              <w:bottom w:val="single" w:sz="4" w:space="0" w:color="auto"/>
              <w:right w:val="single" w:sz="4" w:space="0" w:color="auto"/>
            </w:tcBorders>
            <w:shd w:val="clear" w:color="auto" w:fill="auto"/>
            <w:vAlign w:val="center"/>
            <w:hideMark/>
          </w:tcPr>
          <w:p w14:paraId="40E0777E"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7E550346"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AB33B7" w:rsidRPr="00F560F5" w14:paraId="2688B017" w14:textId="77777777" w:rsidTr="00241B5B">
        <w:trPr>
          <w:trHeight w:val="1200"/>
        </w:trPr>
        <w:tc>
          <w:tcPr>
            <w:tcW w:w="1560" w:type="dxa"/>
            <w:gridSpan w:val="2"/>
            <w:tcBorders>
              <w:top w:val="nil"/>
              <w:left w:val="single" w:sz="8" w:space="0" w:color="auto"/>
              <w:bottom w:val="single" w:sz="4" w:space="0" w:color="auto"/>
              <w:right w:val="nil"/>
            </w:tcBorders>
            <w:shd w:val="clear" w:color="auto" w:fill="auto"/>
            <w:vAlign w:val="center"/>
            <w:hideMark/>
          </w:tcPr>
          <w:p w14:paraId="1D3AFEBE"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International Code of Marketing of Breastmilk</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7B4B86CD"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National policy has been adopted on all provisions stipulated in International Code of Marketing of Breastmilk Substitutes. </w:t>
            </w:r>
          </w:p>
        </w:tc>
        <w:tc>
          <w:tcPr>
            <w:tcW w:w="6804" w:type="dxa"/>
            <w:gridSpan w:val="3"/>
            <w:tcBorders>
              <w:top w:val="nil"/>
              <w:left w:val="nil"/>
              <w:bottom w:val="single" w:sz="4" w:space="0" w:color="auto"/>
              <w:right w:val="single" w:sz="4" w:space="0" w:color="auto"/>
            </w:tcBorders>
            <w:shd w:val="clear" w:color="auto" w:fill="auto"/>
            <w:vAlign w:val="center"/>
            <w:hideMark/>
          </w:tcPr>
          <w:p w14:paraId="1B7F6721"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Yes = all provisions stipulated in International Code of Marketing of Breastmilk Substitutes adopted in legislation. Partial = voluntary agreements or some provisions stipulated in International Code of Marketing of Breastmilk Substitutes adopted in legislation. No = no legislation and no voluntary agreements adopted in relation to the International Code of Marketing of Breastmilk Substitutes. </w:t>
            </w:r>
          </w:p>
        </w:tc>
        <w:tc>
          <w:tcPr>
            <w:tcW w:w="1417" w:type="dxa"/>
            <w:tcBorders>
              <w:top w:val="nil"/>
              <w:left w:val="nil"/>
              <w:bottom w:val="single" w:sz="4" w:space="0" w:color="auto"/>
              <w:right w:val="single" w:sz="4" w:space="0" w:color="auto"/>
            </w:tcBorders>
            <w:shd w:val="clear" w:color="auto" w:fill="auto"/>
            <w:vAlign w:val="center"/>
            <w:hideMark/>
          </w:tcPr>
          <w:p w14:paraId="01A40BD3"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0D663EED"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 and United Nations Children's Fund special data compilation</w:t>
            </w:r>
          </w:p>
        </w:tc>
      </w:tr>
      <w:tr w:rsidR="00AB33B7" w:rsidRPr="00F560F5" w14:paraId="4AF4260A" w14:textId="77777777" w:rsidTr="00241B5B">
        <w:trPr>
          <w:trHeight w:val="900"/>
        </w:trPr>
        <w:tc>
          <w:tcPr>
            <w:tcW w:w="1560" w:type="dxa"/>
            <w:gridSpan w:val="2"/>
            <w:tcBorders>
              <w:top w:val="nil"/>
              <w:left w:val="single" w:sz="8" w:space="0" w:color="auto"/>
              <w:bottom w:val="single" w:sz="4" w:space="0" w:color="auto"/>
              <w:right w:val="nil"/>
            </w:tcBorders>
            <w:shd w:val="clear" w:color="auto" w:fill="auto"/>
            <w:vAlign w:val="center"/>
            <w:hideMark/>
          </w:tcPr>
          <w:p w14:paraId="64D824DA"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Community treatment of pneumonia with antibiotics</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530AB41F"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or guidelines authorizing case management of pneumonia in the community by a trained provider has been adopted and implemented</w:t>
            </w:r>
          </w:p>
        </w:tc>
        <w:tc>
          <w:tcPr>
            <w:tcW w:w="6804" w:type="dxa"/>
            <w:gridSpan w:val="3"/>
            <w:tcBorders>
              <w:top w:val="nil"/>
              <w:left w:val="nil"/>
              <w:bottom w:val="single" w:sz="4" w:space="0" w:color="auto"/>
              <w:right w:val="single" w:sz="4" w:space="0" w:color="auto"/>
            </w:tcBorders>
            <w:shd w:val="clear" w:color="auto" w:fill="auto"/>
            <w:vAlign w:val="center"/>
            <w:hideMark/>
          </w:tcPr>
          <w:p w14:paraId="5CACE13A"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or guidelines adopted on the identification and treatment of pneumonia by trained providers in the community. No = no national policy or guidelines on the identification and treatment of pneumonia by trained providers.</w:t>
            </w:r>
          </w:p>
        </w:tc>
        <w:tc>
          <w:tcPr>
            <w:tcW w:w="1417" w:type="dxa"/>
            <w:tcBorders>
              <w:top w:val="nil"/>
              <w:left w:val="nil"/>
              <w:bottom w:val="single" w:sz="4" w:space="0" w:color="auto"/>
              <w:right w:val="single" w:sz="4" w:space="0" w:color="auto"/>
            </w:tcBorders>
            <w:shd w:val="clear" w:color="auto" w:fill="auto"/>
            <w:vAlign w:val="center"/>
            <w:hideMark/>
          </w:tcPr>
          <w:p w14:paraId="6F495159"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6AC2B705"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AB33B7" w:rsidRPr="00F560F5" w14:paraId="7487B07C" w14:textId="77777777" w:rsidTr="00241B5B">
        <w:trPr>
          <w:trHeight w:val="915"/>
        </w:trPr>
        <w:tc>
          <w:tcPr>
            <w:tcW w:w="1560" w:type="dxa"/>
            <w:gridSpan w:val="2"/>
            <w:tcBorders>
              <w:top w:val="nil"/>
              <w:left w:val="single" w:sz="8" w:space="0" w:color="auto"/>
              <w:bottom w:val="single" w:sz="4" w:space="0" w:color="auto"/>
              <w:right w:val="nil"/>
            </w:tcBorders>
            <w:shd w:val="clear" w:color="auto" w:fill="auto"/>
            <w:vAlign w:val="center"/>
            <w:hideMark/>
          </w:tcPr>
          <w:p w14:paraId="136424B4"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Low-</w:t>
            </w:r>
            <w:proofErr w:type="spellStart"/>
            <w:r w:rsidRPr="00F560F5">
              <w:rPr>
                <w:rFonts w:ascii="Calibri" w:hAnsi="Calibri"/>
                <w:color w:val="000000"/>
                <w:sz w:val="20"/>
                <w:szCs w:val="20"/>
                <w:lang w:val="en-GB" w:eastAsia="en-GB"/>
              </w:rPr>
              <w:t>osmolarity</w:t>
            </w:r>
            <w:proofErr w:type="spellEnd"/>
            <w:r w:rsidRPr="00F560F5">
              <w:rPr>
                <w:rFonts w:ascii="Calibri" w:hAnsi="Calibri"/>
                <w:color w:val="000000"/>
                <w:sz w:val="20"/>
                <w:szCs w:val="20"/>
                <w:lang w:val="en-GB" w:eastAsia="en-GB"/>
              </w:rPr>
              <w:t xml:space="preserve"> oral rehydration salts and zinc for management of diarrhoea</w:t>
            </w:r>
          </w:p>
        </w:tc>
        <w:tc>
          <w:tcPr>
            <w:tcW w:w="2977" w:type="dxa"/>
            <w:gridSpan w:val="3"/>
            <w:tcBorders>
              <w:top w:val="nil"/>
              <w:left w:val="single" w:sz="8" w:space="0" w:color="auto"/>
              <w:bottom w:val="single" w:sz="4" w:space="0" w:color="auto"/>
              <w:right w:val="single" w:sz="4" w:space="0" w:color="auto"/>
            </w:tcBorders>
            <w:shd w:val="clear" w:color="auto" w:fill="auto"/>
            <w:vAlign w:val="center"/>
            <w:hideMark/>
          </w:tcPr>
          <w:p w14:paraId="03E0C36B"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policy on management of diarrhoea with low-</w:t>
            </w:r>
            <w:proofErr w:type="spellStart"/>
            <w:r w:rsidRPr="00F560F5">
              <w:rPr>
                <w:rFonts w:ascii="Calibri" w:hAnsi="Calibri"/>
                <w:color w:val="000000"/>
                <w:sz w:val="20"/>
                <w:szCs w:val="20"/>
                <w:lang w:val="en-GB" w:eastAsia="en-GB"/>
              </w:rPr>
              <w:t>osmolarity</w:t>
            </w:r>
            <w:proofErr w:type="spellEnd"/>
            <w:r w:rsidRPr="00F560F5">
              <w:rPr>
                <w:rFonts w:ascii="Calibri" w:hAnsi="Calibri"/>
                <w:color w:val="000000"/>
                <w:sz w:val="20"/>
                <w:szCs w:val="20"/>
                <w:lang w:val="en-GB" w:eastAsia="en-GB"/>
              </w:rPr>
              <w:t xml:space="preserve"> oral rehydration salts and zinc has been adopted and implemented.</w:t>
            </w:r>
          </w:p>
        </w:tc>
        <w:tc>
          <w:tcPr>
            <w:tcW w:w="6804" w:type="dxa"/>
            <w:gridSpan w:val="3"/>
            <w:tcBorders>
              <w:top w:val="nil"/>
              <w:left w:val="nil"/>
              <w:bottom w:val="single" w:sz="4" w:space="0" w:color="auto"/>
              <w:right w:val="single" w:sz="4" w:space="0" w:color="auto"/>
            </w:tcBorders>
            <w:shd w:val="clear" w:color="auto" w:fill="auto"/>
            <w:vAlign w:val="center"/>
            <w:hideMark/>
          </w:tcPr>
          <w:p w14:paraId="60B591EC"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national policy or guidelines adopted on use of low-</w:t>
            </w:r>
            <w:proofErr w:type="spellStart"/>
            <w:r w:rsidRPr="00F560F5">
              <w:rPr>
                <w:rFonts w:ascii="Calibri" w:hAnsi="Calibri"/>
                <w:color w:val="000000"/>
                <w:sz w:val="20"/>
                <w:szCs w:val="20"/>
                <w:lang w:val="en-GB" w:eastAsia="en-GB"/>
              </w:rPr>
              <w:t>osmolarity</w:t>
            </w:r>
            <w:proofErr w:type="spellEnd"/>
            <w:r w:rsidRPr="00F560F5">
              <w:rPr>
                <w:rFonts w:ascii="Calibri" w:hAnsi="Calibri"/>
                <w:color w:val="000000"/>
                <w:sz w:val="20"/>
                <w:szCs w:val="20"/>
                <w:lang w:val="en-GB" w:eastAsia="en-GB"/>
              </w:rPr>
              <w:t xml:space="preserve"> oral rehydration salts and zinc for management of diarrhoea. No = no national policy or guidelines adopted on the use of low-</w:t>
            </w:r>
            <w:proofErr w:type="spellStart"/>
            <w:r w:rsidRPr="00F560F5">
              <w:rPr>
                <w:rFonts w:ascii="Calibri" w:hAnsi="Calibri"/>
                <w:color w:val="000000"/>
                <w:sz w:val="20"/>
                <w:szCs w:val="20"/>
                <w:lang w:val="en-GB" w:eastAsia="en-GB"/>
              </w:rPr>
              <w:t>osmolarity</w:t>
            </w:r>
            <w:proofErr w:type="spellEnd"/>
            <w:r w:rsidRPr="00F560F5">
              <w:rPr>
                <w:rFonts w:ascii="Calibri" w:hAnsi="Calibri"/>
                <w:color w:val="000000"/>
                <w:sz w:val="20"/>
                <w:szCs w:val="20"/>
                <w:lang w:val="en-GB" w:eastAsia="en-GB"/>
              </w:rPr>
              <w:t xml:space="preserve"> oral rehydration salts and zinc for managements of diarrhoea.</w:t>
            </w:r>
          </w:p>
        </w:tc>
        <w:tc>
          <w:tcPr>
            <w:tcW w:w="1417" w:type="dxa"/>
            <w:tcBorders>
              <w:top w:val="nil"/>
              <w:left w:val="nil"/>
              <w:bottom w:val="single" w:sz="4" w:space="0" w:color="auto"/>
              <w:right w:val="single" w:sz="4" w:space="0" w:color="auto"/>
            </w:tcBorders>
            <w:shd w:val="clear" w:color="auto" w:fill="auto"/>
            <w:vAlign w:val="center"/>
            <w:hideMark/>
          </w:tcPr>
          <w:p w14:paraId="30ABF176"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2694" w:type="dxa"/>
            <w:tcBorders>
              <w:top w:val="nil"/>
              <w:left w:val="nil"/>
              <w:bottom w:val="single" w:sz="4" w:space="0" w:color="auto"/>
              <w:right w:val="single" w:sz="8" w:space="0" w:color="auto"/>
            </w:tcBorders>
            <w:shd w:val="clear" w:color="auto" w:fill="auto"/>
            <w:vAlign w:val="center"/>
            <w:hideMark/>
          </w:tcPr>
          <w:p w14:paraId="4F5B16D4" w14:textId="77777777" w:rsidR="00AB33B7" w:rsidRPr="00F560F5" w:rsidRDefault="00AB33B7" w:rsidP="00AB33B7">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F560F5" w:rsidRPr="00F560F5" w14:paraId="4AAEE2E1" w14:textId="77777777" w:rsidTr="00241B5B">
        <w:trPr>
          <w:gridBefore w:val="1"/>
          <w:wBefore w:w="294" w:type="dxa"/>
          <w:trHeight w:val="570"/>
        </w:trPr>
        <w:tc>
          <w:tcPr>
            <w:tcW w:w="15163" w:type="dxa"/>
            <w:gridSpan w:val="9"/>
            <w:tcBorders>
              <w:top w:val="single" w:sz="8" w:space="0" w:color="auto"/>
              <w:left w:val="single" w:sz="8" w:space="0" w:color="auto"/>
              <w:bottom w:val="single" w:sz="4" w:space="0" w:color="auto"/>
              <w:right w:val="single" w:sz="8" w:space="0" w:color="auto"/>
            </w:tcBorders>
            <w:shd w:val="clear" w:color="auto" w:fill="000000" w:themeFill="text1"/>
            <w:noWrap/>
            <w:vAlign w:val="center"/>
            <w:hideMark/>
          </w:tcPr>
          <w:p w14:paraId="4C46942A" w14:textId="705523FE" w:rsidR="00F560F5" w:rsidRPr="00F560F5" w:rsidRDefault="00F560F5" w:rsidP="00E65AD9">
            <w:pPr>
              <w:jc w:val="left"/>
              <w:rPr>
                <w:rFonts w:ascii="Calibri" w:hAnsi="Calibri"/>
                <w:color w:val="FFFFFF" w:themeColor="background1"/>
                <w:sz w:val="32"/>
                <w:szCs w:val="32"/>
                <w:lang w:val="en-GB" w:eastAsia="en-GB"/>
              </w:rPr>
            </w:pPr>
            <w:r w:rsidRPr="00AB33B7">
              <w:rPr>
                <w:rFonts w:ascii="Calibri" w:hAnsi="Calibri"/>
                <w:b/>
                <w:bCs/>
                <w:i/>
                <w:iCs/>
                <w:color w:val="FFFFFF" w:themeColor="background1"/>
                <w:sz w:val="32"/>
                <w:szCs w:val="32"/>
                <w:lang w:val="en-GB" w:eastAsia="en-GB"/>
              </w:rPr>
              <w:lastRenderedPageBreak/>
              <w:t>Countdown to 2015 Health Systems Indicators</w:t>
            </w:r>
          </w:p>
        </w:tc>
      </w:tr>
      <w:tr w:rsidR="00F560F5" w:rsidRPr="00F560F5" w14:paraId="268D8182" w14:textId="77777777" w:rsidTr="00241B5B">
        <w:trPr>
          <w:gridBefore w:val="1"/>
          <w:wBefore w:w="294" w:type="dxa"/>
          <w:trHeight w:val="467"/>
        </w:trPr>
        <w:tc>
          <w:tcPr>
            <w:tcW w:w="1691" w:type="dxa"/>
            <w:gridSpan w:val="2"/>
            <w:tcBorders>
              <w:top w:val="nil"/>
              <w:left w:val="single" w:sz="8" w:space="0" w:color="auto"/>
              <w:bottom w:val="single" w:sz="4" w:space="0" w:color="auto"/>
              <w:right w:val="nil"/>
            </w:tcBorders>
            <w:shd w:val="clear" w:color="auto" w:fill="D9D9D9" w:themeFill="background1" w:themeFillShade="D9"/>
            <w:vAlign w:val="center"/>
          </w:tcPr>
          <w:p w14:paraId="7D6CA9C6" w14:textId="2A57005B" w:rsidR="00F560F5" w:rsidRPr="00F560F5" w:rsidRDefault="00F560F5" w:rsidP="00F560F5">
            <w:pPr>
              <w:jc w:val="left"/>
              <w:rPr>
                <w:rFonts w:ascii="Calibri" w:hAnsi="Calibri"/>
                <w:color w:val="000000"/>
                <w:szCs w:val="22"/>
                <w:lang w:val="en-GB" w:eastAsia="en-GB"/>
              </w:rPr>
            </w:pPr>
            <w:r w:rsidRPr="00F560F5">
              <w:rPr>
                <w:rFonts w:ascii="Calibri" w:hAnsi="Calibri"/>
                <w:b/>
                <w:bCs/>
                <w:color w:val="000000"/>
                <w:sz w:val="24"/>
                <w:lang w:val="en-GB" w:eastAsia="en-GB"/>
              </w:rPr>
              <w:t>INDICATOR</w:t>
            </w:r>
          </w:p>
        </w:tc>
        <w:tc>
          <w:tcPr>
            <w:tcW w:w="1985"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4CB9FD33" w14:textId="66B56E6F" w:rsidR="00F560F5" w:rsidRPr="00F560F5" w:rsidRDefault="00F560F5" w:rsidP="00F560F5">
            <w:pPr>
              <w:jc w:val="left"/>
              <w:rPr>
                <w:rFonts w:ascii="Calibri" w:hAnsi="Calibri"/>
                <w:color w:val="000000"/>
                <w:szCs w:val="22"/>
                <w:lang w:val="en-GB" w:eastAsia="en-GB"/>
              </w:rPr>
            </w:pPr>
            <w:r w:rsidRPr="00F560F5">
              <w:rPr>
                <w:rFonts w:ascii="Calibri" w:hAnsi="Calibri"/>
                <w:b/>
                <w:bCs/>
                <w:color w:val="000000"/>
                <w:sz w:val="24"/>
                <w:lang w:val="en-GB" w:eastAsia="en-GB"/>
              </w:rPr>
              <w:t>DEFINITION</w:t>
            </w:r>
          </w:p>
        </w:tc>
        <w:tc>
          <w:tcPr>
            <w:tcW w:w="4111" w:type="dxa"/>
            <w:gridSpan w:val="2"/>
            <w:tcBorders>
              <w:top w:val="nil"/>
              <w:left w:val="nil"/>
              <w:bottom w:val="single" w:sz="4" w:space="0" w:color="auto"/>
              <w:right w:val="single" w:sz="4" w:space="0" w:color="auto"/>
            </w:tcBorders>
            <w:shd w:val="clear" w:color="auto" w:fill="D9D9D9" w:themeFill="background1" w:themeFillShade="D9"/>
            <w:vAlign w:val="center"/>
          </w:tcPr>
          <w:p w14:paraId="16337980" w14:textId="595A8E2F" w:rsidR="00F560F5" w:rsidRPr="00F560F5" w:rsidRDefault="00F560F5" w:rsidP="00F560F5">
            <w:pPr>
              <w:jc w:val="left"/>
              <w:rPr>
                <w:rFonts w:ascii="Calibri" w:hAnsi="Calibri"/>
                <w:color w:val="000000"/>
                <w:szCs w:val="22"/>
                <w:lang w:val="en-GB" w:eastAsia="en-GB"/>
              </w:rPr>
            </w:pPr>
            <w:r w:rsidRPr="00F560F5">
              <w:rPr>
                <w:rFonts w:ascii="Calibri" w:hAnsi="Calibri"/>
                <w:b/>
                <w:bCs/>
                <w:color w:val="000000"/>
                <w:sz w:val="24"/>
                <w:lang w:val="en-GB" w:eastAsia="en-GB"/>
              </w:rPr>
              <w:t>CRITERIA FOR RANKING</w:t>
            </w:r>
          </w:p>
        </w:tc>
        <w:tc>
          <w:tcPr>
            <w:tcW w:w="2551" w:type="dxa"/>
            <w:tcBorders>
              <w:top w:val="nil"/>
              <w:left w:val="nil"/>
              <w:bottom w:val="single" w:sz="4" w:space="0" w:color="auto"/>
              <w:right w:val="single" w:sz="4" w:space="0" w:color="auto"/>
            </w:tcBorders>
            <w:shd w:val="clear" w:color="auto" w:fill="D9D9D9" w:themeFill="background1" w:themeFillShade="D9"/>
            <w:vAlign w:val="center"/>
          </w:tcPr>
          <w:p w14:paraId="4FC8F386" w14:textId="020D9691" w:rsidR="00F560F5" w:rsidRPr="00F560F5" w:rsidRDefault="00F560F5" w:rsidP="00F560F5">
            <w:pPr>
              <w:jc w:val="left"/>
              <w:rPr>
                <w:rFonts w:ascii="Calibri" w:hAnsi="Calibri"/>
                <w:color w:val="000000"/>
                <w:szCs w:val="22"/>
                <w:lang w:val="en-GB" w:eastAsia="en-GB"/>
              </w:rPr>
            </w:pPr>
            <w:r w:rsidRPr="00F560F5">
              <w:rPr>
                <w:rFonts w:ascii="Calibri" w:hAnsi="Calibri"/>
                <w:b/>
                <w:bCs/>
                <w:color w:val="000000"/>
                <w:sz w:val="24"/>
                <w:lang w:val="en-GB" w:eastAsia="en-GB"/>
              </w:rPr>
              <w:t>DATA SOURCE</w:t>
            </w:r>
          </w:p>
        </w:tc>
        <w:tc>
          <w:tcPr>
            <w:tcW w:w="4825" w:type="dxa"/>
            <w:gridSpan w:val="3"/>
            <w:tcBorders>
              <w:top w:val="nil"/>
              <w:left w:val="nil"/>
              <w:bottom w:val="single" w:sz="4" w:space="0" w:color="auto"/>
              <w:right w:val="single" w:sz="8" w:space="0" w:color="auto"/>
            </w:tcBorders>
            <w:shd w:val="clear" w:color="auto" w:fill="D9D9D9" w:themeFill="background1" w:themeFillShade="D9"/>
            <w:vAlign w:val="center"/>
          </w:tcPr>
          <w:p w14:paraId="6B333537" w14:textId="5E55E4F5" w:rsidR="00F560F5" w:rsidRPr="00F560F5" w:rsidRDefault="00F560F5" w:rsidP="00F560F5">
            <w:pPr>
              <w:jc w:val="left"/>
              <w:rPr>
                <w:rFonts w:ascii="Calibri" w:hAnsi="Calibri"/>
                <w:color w:val="000000"/>
                <w:szCs w:val="22"/>
                <w:lang w:val="en-GB" w:eastAsia="en-GB"/>
              </w:rPr>
            </w:pPr>
            <w:r w:rsidRPr="00F560F5">
              <w:rPr>
                <w:rFonts w:ascii="Calibri" w:hAnsi="Calibri"/>
                <w:b/>
                <w:bCs/>
                <w:color w:val="000000"/>
                <w:sz w:val="24"/>
                <w:lang w:val="en-GB" w:eastAsia="en-GB"/>
              </w:rPr>
              <w:t>GLOBAL DATABASE</w:t>
            </w:r>
          </w:p>
        </w:tc>
      </w:tr>
      <w:tr w:rsidR="00F560F5" w:rsidRPr="00F560F5" w14:paraId="328ECEDE" w14:textId="77777777" w:rsidTr="00241B5B">
        <w:trPr>
          <w:gridBefore w:val="1"/>
          <w:wBefore w:w="294" w:type="dxa"/>
          <w:trHeight w:val="1903"/>
        </w:trPr>
        <w:tc>
          <w:tcPr>
            <w:tcW w:w="1691" w:type="dxa"/>
            <w:gridSpan w:val="2"/>
            <w:tcBorders>
              <w:top w:val="nil"/>
              <w:left w:val="single" w:sz="8" w:space="0" w:color="auto"/>
              <w:bottom w:val="single" w:sz="4" w:space="0" w:color="auto"/>
              <w:right w:val="nil"/>
            </w:tcBorders>
            <w:shd w:val="clear" w:color="auto" w:fill="auto"/>
            <w:vAlign w:val="center"/>
            <w:hideMark/>
          </w:tcPr>
          <w:p w14:paraId="3242A07D"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Costed national implementation plan for maternal, newborn and child health</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4113B194"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plan for scaling up maternal, newborn and child health interventions is available and costed.</w:t>
            </w:r>
          </w:p>
        </w:tc>
        <w:tc>
          <w:tcPr>
            <w:tcW w:w="4111" w:type="dxa"/>
            <w:gridSpan w:val="2"/>
            <w:tcBorders>
              <w:top w:val="nil"/>
              <w:left w:val="nil"/>
              <w:bottom w:val="single" w:sz="4" w:space="0" w:color="auto"/>
              <w:right w:val="single" w:sz="4" w:space="0" w:color="auto"/>
            </w:tcBorders>
            <w:shd w:val="clear" w:color="auto" w:fill="auto"/>
            <w:vAlign w:val="center"/>
            <w:hideMark/>
          </w:tcPr>
          <w:p w14:paraId="2B905043"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Yes = costed plan or plans to scale up maternal, newborn and child health interventions available at the national level. Partial = costed plan available for either maternal and newborn health or child health. No = no costed implementation plan for maternal, newborn and child health available.</w:t>
            </w:r>
          </w:p>
        </w:tc>
        <w:tc>
          <w:tcPr>
            <w:tcW w:w="2551" w:type="dxa"/>
            <w:tcBorders>
              <w:top w:val="nil"/>
              <w:left w:val="nil"/>
              <w:bottom w:val="single" w:sz="4" w:space="0" w:color="auto"/>
              <w:right w:val="single" w:sz="4" w:space="0" w:color="auto"/>
            </w:tcBorders>
            <w:shd w:val="clear" w:color="auto" w:fill="auto"/>
            <w:vAlign w:val="center"/>
            <w:hideMark/>
          </w:tcPr>
          <w:p w14:paraId="5A63D77B"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4825" w:type="dxa"/>
            <w:gridSpan w:val="3"/>
            <w:tcBorders>
              <w:top w:val="nil"/>
              <w:left w:val="nil"/>
              <w:bottom w:val="single" w:sz="4" w:space="0" w:color="auto"/>
              <w:right w:val="single" w:sz="8" w:space="0" w:color="auto"/>
            </w:tcBorders>
            <w:shd w:val="clear" w:color="auto" w:fill="auto"/>
            <w:vAlign w:val="center"/>
            <w:hideMark/>
          </w:tcPr>
          <w:p w14:paraId="434E6BEA"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F560F5" w:rsidRPr="00F560F5" w14:paraId="1FF058CA" w14:textId="77777777" w:rsidTr="00241B5B">
        <w:trPr>
          <w:gridBefore w:val="1"/>
          <w:wBefore w:w="294" w:type="dxa"/>
          <w:trHeight w:val="4705"/>
        </w:trPr>
        <w:tc>
          <w:tcPr>
            <w:tcW w:w="1691" w:type="dxa"/>
            <w:gridSpan w:val="2"/>
            <w:tcBorders>
              <w:top w:val="nil"/>
              <w:left w:val="single" w:sz="8" w:space="0" w:color="auto"/>
              <w:bottom w:val="single" w:sz="4" w:space="0" w:color="auto"/>
              <w:right w:val="nil"/>
            </w:tcBorders>
            <w:shd w:val="clear" w:color="auto" w:fill="auto"/>
            <w:vAlign w:val="center"/>
            <w:hideMark/>
          </w:tcPr>
          <w:p w14:paraId="2BA2F2D7"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Reproductive lifesaving commodities in essential medicine list</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254AF3EE" w14:textId="1CB3BD78" w:rsidR="00F560F5" w:rsidRPr="00F560F5" w:rsidRDefault="009B677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Emergency contraceptives, implants and female condoms are in the essential medicine list.</w:t>
            </w:r>
          </w:p>
        </w:tc>
        <w:tc>
          <w:tcPr>
            <w:tcW w:w="4111" w:type="dxa"/>
            <w:gridSpan w:val="2"/>
            <w:tcBorders>
              <w:top w:val="nil"/>
              <w:left w:val="nil"/>
              <w:bottom w:val="single" w:sz="4" w:space="0" w:color="auto"/>
              <w:right w:val="single" w:sz="4" w:space="0" w:color="auto"/>
            </w:tcBorders>
            <w:shd w:val="clear" w:color="auto" w:fill="auto"/>
            <w:vAlign w:val="center"/>
            <w:hideMark/>
          </w:tcPr>
          <w:p w14:paraId="477CB26C" w14:textId="01777408"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Number of the three listed commodities that are included in the essential medicine list.</w:t>
            </w:r>
            <w:r w:rsidRPr="00F560F5">
              <w:rPr>
                <w:rFonts w:ascii="Calibri" w:hAnsi="Calibri"/>
                <w:color w:val="000000"/>
                <w:sz w:val="20"/>
                <w:szCs w:val="20"/>
                <w:lang w:val="en-GB" w:eastAsia="en-GB"/>
              </w:rPr>
              <w:br/>
              <w:t xml:space="preserve">(*) indicates that information is incomplete for the given country due to lack of data on the three commodities and, that EML </w:t>
            </w:r>
            <w:r w:rsidR="00BE007E" w:rsidRPr="00F560F5">
              <w:rPr>
                <w:rFonts w:ascii="Calibri" w:hAnsi="Calibri"/>
                <w:color w:val="000000"/>
                <w:sz w:val="20"/>
                <w:szCs w:val="20"/>
                <w:lang w:val="en-GB" w:eastAsia="en-GB"/>
              </w:rPr>
              <w:t>includes</w:t>
            </w:r>
            <w:r w:rsidRPr="00F560F5">
              <w:rPr>
                <w:rFonts w:ascii="Calibri" w:hAnsi="Calibri"/>
                <w:color w:val="000000"/>
                <w:sz w:val="20"/>
                <w:szCs w:val="20"/>
                <w:lang w:val="en-GB" w:eastAsia="en-GB"/>
              </w:rPr>
              <w:t xml:space="preserve"> as basic minimum the number of commodities indicated.</w:t>
            </w:r>
          </w:p>
        </w:tc>
        <w:tc>
          <w:tcPr>
            <w:tcW w:w="2551" w:type="dxa"/>
            <w:tcBorders>
              <w:top w:val="nil"/>
              <w:left w:val="nil"/>
              <w:bottom w:val="single" w:sz="4" w:space="0" w:color="auto"/>
              <w:right w:val="single" w:sz="4" w:space="0" w:color="auto"/>
            </w:tcBorders>
            <w:shd w:val="clear" w:color="auto" w:fill="auto"/>
            <w:vAlign w:val="center"/>
            <w:hideMark/>
          </w:tcPr>
          <w:p w14:paraId="15D5C595"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USAID Deliver Project</w:t>
            </w:r>
            <w:r w:rsidRPr="00F560F5">
              <w:rPr>
                <w:rFonts w:ascii="Calibri" w:hAnsi="Calibri"/>
                <w:color w:val="000000"/>
                <w:sz w:val="20"/>
                <w:szCs w:val="20"/>
                <w:lang w:val="en-GB" w:eastAsia="en-GB"/>
              </w:rPr>
              <w:br/>
            </w:r>
            <w:r w:rsidRPr="00F560F5">
              <w:rPr>
                <w:rFonts w:ascii="Calibri" w:hAnsi="Calibri"/>
                <w:color w:val="000000"/>
                <w:sz w:val="20"/>
                <w:szCs w:val="20"/>
                <w:lang w:val="en-GB" w:eastAsia="en-GB"/>
              </w:rPr>
              <w:br/>
              <w:t xml:space="preserve">World Health Organization </w:t>
            </w:r>
            <w:r w:rsidRPr="00F560F5">
              <w:rPr>
                <w:rFonts w:ascii="Calibri" w:hAnsi="Calibri"/>
                <w:color w:val="000000"/>
                <w:sz w:val="20"/>
                <w:szCs w:val="20"/>
                <w:lang w:val="en-GB" w:eastAsia="en-GB"/>
              </w:rPr>
              <w:br/>
            </w:r>
            <w:r w:rsidRPr="00F560F5">
              <w:rPr>
                <w:rFonts w:ascii="Calibri" w:hAnsi="Calibri"/>
                <w:color w:val="000000"/>
                <w:sz w:val="20"/>
                <w:szCs w:val="20"/>
                <w:lang w:val="en-GB" w:eastAsia="en-GB"/>
              </w:rPr>
              <w:br/>
              <w:t>International Consortium for Emergency Contraception</w:t>
            </w:r>
          </w:p>
        </w:tc>
        <w:tc>
          <w:tcPr>
            <w:tcW w:w="4825" w:type="dxa"/>
            <w:gridSpan w:val="3"/>
            <w:tcBorders>
              <w:top w:val="nil"/>
              <w:left w:val="nil"/>
              <w:bottom w:val="single" w:sz="4" w:space="0" w:color="auto"/>
              <w:right w:val="single" w:sz="8" w:space="0" w:color="auto"/>
            </w:tcBorders>
            <w:shd w:val="clear" w:color="auto" w:fill="auto"/>
            <w:vAlign w:val="center"/>
            <w:hideMark/>
          </w:tcPr>
          <w:p w14:paraId="4509B1A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Special data collection from:</w:t>
            </w:r>
            <w:r w:rsidRPr="00F560F5">
              <w:rPr>
                <w:rFonts w:ascii="Calibri" w:hAnsi="Calibri"/>
                <w:color w:val="000000"/>
                <w:sz w:val="20"/>
                <w:szCs w:val="20"/>
                <w:lang w:val="en-GB" w:eastAsia="en-GB"/>
              </w:rPr>
              <w:br/>
              <w:t xml:space="preserve">Emergency Contraception in National Essential Medicines Lists http://www.cecinfo.org/custom-content/uploads/2014/04/ICEC_EC-in-EMLs_Apr-2014.pdf </w:t>
            </w:r>
            <w:r w:rsidRPr="00F560F5">
              <w:rPr>
                <w:rFonts w:ascii="Calibri" w:hAnsi="Calibri"/>
                <w:color w:val="000000"/>
                <w:sz w:val="20"/>
                <w:szCs w:val="20"/>
                <w:lang w:val="en-GB" w:eastAsia="en-GB"/>
              </w:rPr>
              <w:br/>
              <w:t>World Health Organization. “National Medicines List/Formulary/Standard Treatment Guidelines.” Web site:</w:t>
            </w:r>
            <w:r w:rsidRPr="00F560F5">
              <w:rPr>
                <w:rFonts w:ascii="Calibri" w:hAnsi="Calibri"/>
                <w:color w:val="000000"/>
                <w:sz w:val="20"/>
                <w:szCs w:val="20"/>
                <w:lang w:val="en-GB" w:eastAsia="en-GB"/>
              </w:rPr>
              <w:br/>
              <w:t>www.who.int/selection_medicines/country_lists/en/index.html (accessed January 2015)</w:t>
            </w:r>
            <w:r w:rsidRPr="00F560F5">
              <w:rPr>
                <w:rFonts w:ascii="Calibri" w:hAnsi="Calibri"/>
                <w:color w:val="000000"/>
                <w:sz w:val="20"/>
                <w:szCs w:val="20"/>
                <w:lang w:val="en-GB" w:eastAsia="en-GB"/>
              </w:rPr>
              <w:br/>
              <w:t>Emergency contraceptives and implants information: U.S. Agency for International Development Deliver Project, http://deliver.jsi.com/dhome/whatwedo/commsecurity/csmeasuring/csindicators/csindicatordashboards (Accessed March 2014). Female condoms information: World Health Organization EML database www.who.int/medicines/publications/essentialmedicines (Accessed 1 July 2015)</w:t>
            </w:r>
          </w:p>
        </w:tc>
      </w:tr>
      <w:tr w:rsidR="00F560F5" w:rsidRPr="00F560F5" w14:paraId="08C52371" w14:textId="77777777" w:rsidTr="00241B5B">
        <w:trPr>
          <w:gridBefore w:val="1"/>
          <w:wBefore w:w="294" w:type="dxa"/>
          <w:trHeight w:val="1414"/>
        </w:trPr>
        <w:tc>
          <w:tcPr>
            <w:tcW w:w="1691" w:type="dxa"/>
            <w:gridSpan w:val="2"/>
            <w:tcBorders>
              <w:top w:val="nil"/>
              <w:left w:val="single" w:sz="8" w:space="0" w:color="auto"/>
              <w:bottom w:val="single" w:sz="4" w:space="0" w:color="auto"/>
              <w:right w:val="nil"/>
            </w:tcBorders>
            <w:shd w:val="clear" w:color="auto" w:fill="auto"/>
            <w:vAlign w:val="center"/>
            <w:hideMark/>
          </w:tcPr>
          <w:p w14:paraId="628AF50E"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Maternal lifesaving commodities in essential medicine list</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07E7F25B" w14:textId="5392638C" w:rsidR="00F560F5" w:rsidRPr="00F560F5" w:rsidRDefault="009B677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Oxytocin, misoprostol and magnesium </w:t>
            </w:r>
            <w:proofErr w:type="spellStart"/>
            <w:r w:rsidRPr="00F560F5">
              <w:rPr>
                <w:rFonts w:ascii="Calibri" w:hAnsi="Calibri"/>
                <w:color w:val="000000"/>
                <w:sz w:val="20"/>
                <w:szCs w:val="20"/>
                <w:lang w:val="en-GB" w:eastAsia="en-GB"/>
              </w:rPr>
              <w:t>sulfate</w:t>
            </w:r>
            <w:proofErr w:type="spellEnd"/>
            <w:r w:rsidRPr="00F560F5">
              <w:rPr>
                <w:rFonts w:ascii="Calibri" w:hAnsi="Calibri"/>
                <w:color w:val="000000"/>
                <w:sz w:val="20"/>
                <w:szCs w:val="20"/>
                <w:lang w:val="en-GB" w:eastAsia="en-GB"/>
              </w:rPr>
              <w:t xml:space="preserve"> are in the essential medicine list.</w:t>
            </w:r>
          </w:p>
        </w:tc>
        <w:tc>
          <w:tcPr>
            <w:tcW w:w="4111" w:type="dxa"/>
            <w:gridSpan w:val="2"/>
            <w:tcBorders>
              <w:top w:val="nil"/>
              <w:left w:val="nil"/>
              <w:bottom w:val="single" w:sz="4" w:space="0" w:color="auto"/>
              <w:right w:val="single" w:sz="4" w:space="0" w:color="auto"/>
            </w:tcBorders>
            <w:shd w:val="clear" w:color="auto" w:fill="auto"/>
            <w:vAlign w:val="center"/>
            <w:hideMark/>
          </w:tcPr>
          <w:p w14:paraId="68493F7C"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Number of the three listed commodities that are included in the essential medicine list.</w:t>
            </w:r>
          </w:p>
        </w:tc>
        <w:tc>
          <w:tcPr>
            <w:tcW w:w="2551" w:type="dxa"/>
            <w:tcBorders>
              <w:top w:val="nil"/>
              <w:left w:val="nil"/>
              <w:bottom w:val="single" w:sz="4" w:space="0" w:color="auto"/>
              <w:right w:val="single" w:sz="4" w:space="0" w:color="auto"/>
            </w:tcBorders>
            <w:shd w:val="clear" w:color="auto" w:fill="auto"/>
            <w:vAlign w:val="center"/>
            <w:hideMark/>
          </w:tcPr>
          <w:p w14:paraId="5D155B40"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4825" w:type="dxa"/>
            <w:gridSpan w:val="3"/>
            <w:tcBorders>
              <w:top w:val="nil"/>
              <w:left w:val="nil"/>
              <w:bottom w:val="single" w:sz="4" w:space="0" w:color="auto"/>
              <w:right w:val="single" w:sz="8" w:space="0" w:color="auto"/>
            </w:tcBorders>
            <w:shd w:val="clear" w:color="auto" w:fill="auto"/>
            <w:vAlign w:val="center"/>
            <w:hideMark/>
          </w:tcPr>
          <w:p w14:paraId="175A92F9"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EC4616" w:rsidRPr="00F560F5" w14:paraId="4E05084E" w14:textId="77777777" w:rsidTr="00241B5B">
        <w:trPr>
          <w:gridBefore w:val="1"/>
          <w:wBefore w:w="294" w:type="dxa"/>
          <w:trHeight w:val="415"/>
        </w:trPr>
        <w:tc>
          <w:tcPr>
            <w:tcW w:w="1691" w:type="dxa"/>
            <w:gridSpan w:val="2"/>
            <w:tcBorders>
              <w:top w:val="nil"/>
              <w:left w:val="single" w:sz="8" w:space="0" w:color="auto"/>
              <w:bottom w:val="single" w:sz="4" w:space="0" w:color="auto"/>
              <w:right w:val="nil"/>
            </w:tcBorders>
            <w:shd w:val="clear" w:color="auto" w:fill="D9D9D9" w:themeFill="background1" w:themeFillShade="D9"/>
            <w:vAlign w:val="center"/>
          </w:tcPr>
          <w:p w14:paraId="5EFC8C04" w14:textId="2A9CC68A" w:rsidR="00EC4616" w:rsidRPr="00F560F5" w:rsidRDefault="00EC4616" w:rsidP="00EC4616">
            <w:pPr>
              <w:jc w:val="left"/>
              <w:rPr>
                <w:rFonts w:ascii="Calibri" w:hAnsi="Calibri"/>
                <w:color w:val="000000"/>
                <w:sz w:val="20"/>
                <w:szCs w:val="20"/>
                <w:lang w:val="en-GB" w:eastAsia="en-GB"/>
              </w:rPr>
            </w:pPr>
            <w:r w:rsidRPr="00F560F5">
              <w:rPr>
                <w:rFonts w:ascii="Calibri" w:hAnsi="Calibri"/>
                <w:b/>
                <w:bCs/>
                <w:color w:val="000000"/>
                <w:sz w:val="24"/>
                <w:lang w:val="en-GB" w:eastAsia="en-GB"/>
              </w:rPr>
              <w:lastRenderedPageBreak/>
              <w:t>INDICATOR</w:t>
            </w:r>
          </w:p>
        </w:tc>
        <w:tc>
          <w:tcPr>
            <w:tcW w:w="1985" w:type="dxa"/>
            <w:tcBorders>
              <w:top w:val="nil"/>
              <w:left w:val="single" w:sz="8" w:space="0" w:color="auto"/>
              <w:bottom w:val="single" w:sz="4" w:space="0" w:color="auto"/>
              <w:right w:val="single" w:sz="4" w:space="0" w:color="auto"/>
            </w:tcBorders>
            <w:shd w:val="clear" w:color="auto" w:fill="D9D9D9" w:themeFill="background1" w:themeFillShade="D9"/>
            <w:vAlign w:val="center"/>
          </w:tcPr>
          <w:p w14:paraId="19946519" w14:textId="5B796B68" w:rsidR="00EC4616" w:rsidRPr="00F560F5" w:rsidRDefault="00EC4616" w:rsidP="00EC4616">
            <w:pPr>
              <w:jc w:val="left"/>
              <w:rPr>
                <w:rFonts w:ascii="Calibri" w:hAnsi="Calibri"/>
                <w:color w:val="000000"/>
                <w:sz w:val="20"/>
                <w:szCs w:val="20"/>
                <w:lang w:val="en-GB" w:eastAsia="en-GB"/>
              </w:rPr>
            </w:pPr>
            <w:r w:rsidRPr="00F560F5">
              <w:rPr>
                <w:rFonts w:ascii="Calibri" w:hAnsi="Calibri"/>
                <w:b/>
                <w:bCs/>
                <w:color w:val="000000"/>
                <w:sz w:val="24"/>
                <w:lang w:val="en-GB" w:eastAsia="en-GB"/>
              </w:rPr>
              <w:t>DEFINITION</w:t>
            </w:r>
          </w:p>
        </w:tc>
        <w:tc>
          <w:tcPr>
            <w:tcW w:w="4111" w:type="dxa"/>
            <w:gridSpan w:val="2"/>
            <w:tcBorders>
              <w:top w:val="nil"/>
              <w:left w:val="nil"/>
              <w:bottom w:val="single" w:sz="4" w:space="0" w:color="auto"/>
              <w:right w:val="single" w:sz="4" w:space="0" w:color="auto"/>
            </w:tcBorders>
            <w:shd w:val="clear" w:color="auto" w:fill="D9D9D9" w:themeFill="background1" w:themeFillShade="D9"/>
            <w:vAlign w:val="center"/>
          </w:tcPr>
          <w:p w14:paraId="6CF73C48" w14:textId="5C1A555D" w:rsidR="00EC4616" w:rsidRPr="00F560F5" w:rsidRDefault="00EC4616" w:rsidP="00EC4616">
            <w:pPr>
              <w:jc w:val="left"/>
              <w:rPr>
                <w:rFonts w:ascii="Calibri" w:hAnsi="Calibri"/>
                <w:color w:val="000000"/>
                <w:sz w:val="20"/>
                <w:szCs w:val="20"/>
                <w:lang w:val="en-GB" w:eastAsia="en-GB"/>
              </w:rPr>
            </w:pPr>
            <w:r w:rsidRPr="00F560F5">
              <w:rPr>
                <w:rFonts w:ascii="Calibri" w:hAnsi="Calibri"/>
                <w:b/>
                <w:bCs/>
                <w:color w:val="000000"/>
                <w:sz w:val="24"/>
                <w:lang w:val="en-GB" w:eastAsia="en-GB"/>
              </w:rPr>
              <w:t>CRITERIA FOR RANKING</w:t>
            </w:r>
          </w:p>
        </w:tc>
        <w:tc>
          <w:tcPr>
            <w:tcW w:w="2551" w:type="dxa"/>
            <w:tcBorders>
              <w:top w:val="nil"/>
              <w:left w:val="nil"/>
              <w:bottom w:val="single" w:sz="4" w:space="0" w:color="auto"/>
              <w:right w:val="single" w:sz="4" w:space="0" w:color="auto"/>
            </w:tcBorders>
            <w:shd w:val="clear" w:color="auto" w:fill="D9D9D9" w:themeFill="background1" w:themeFillShade="D9"/>
            <w:vAlign w:val="center"/>
          </w:tcPr>
          <w:p w14:paraId="63D08BF1" w14:textId="7949AFCB" w:rsidR="00EC4616" w:rsidRPr="00F560F5" w:rsidRDefault="00EC4616" w:rsidP="00EC4616">
            <w:pPr>
              <w:jc w:val="left"/>
              <w:rPr>
                <w:rFonts w:ascii="Calibri" w:hAnsi="Calibri"/>
                <w:color w:val="000000"/>
                <w:sz w:val="20"/>
                <w:szCs w:val="20"/>
                <w:lang w:val="en-GB" w:eastAsia="en-GB"/>
              </w:rPr>
            </w:pPr>
            <w:r w:rsidRPr="00F560F5">
              <w:rPr>
                <w:rFonts w:ascii="Calibri" w:hAnsi="Calibri"/>
                <w:b/>
                <w:bCs/>
                <w:color w:val="000000"/>
                <w:sz w:val="24"/>
                <w:lang w:val="en-GB" w:eastAsia="en-GB"/>
              </w:rPr>
              <w:t>DATA SOURCE</w:t>
            </w:r>
          </w:p>
        </w:tc>
        <w:tc>
          <w:tcPr>
            <w:tcW w:w="4825" w:type="dxa"/>
            <w:gridSpan w:val="3"/>
            <w:tcBorders>
              <w:top w:val="nil"/>
              <w:left w:val="nil"/>
              <w:bottom w:val="single" w:sz="4" w:space="0" w:color="auto"/>
              <w:right w:val="single" w:sz="8" w:space="0" w:color="auto"/>
            </w:tcBorders>
            <w:shd w:val="clear" w:color="auto" w:fill="D9D9D9" w:themeFill="background1" w:themeFillShade="D9"/>
            <w:vAlign w:val="center"/>
          </w:tcPr>
          <w:p w14:paraId="52958B12" w14:textId="1AE9E4E0" w:rsidR="00EC4616" w:rsidRPr="00F560F5" w:rsidRDefault="00EC4616" w:rsidP="00EC4616">
            <w:pPr>
              <w:jc w:val="left"/>
              <w:rPr>
                <w:rFonts w:ascii="Calibri" w:hAnsi="Calibri"/>
                <w:color w:val="000000"/>
                <w:sz w:val="20"/>
                <w:szCs w:val="20"/>
                <w:lang w:val="en-GB" w:eastAsia="en-GB"/>
              </w:rPr>
            </w:pPr>
            <w:r w:rsidRPr="00F560F5">
              <w:rPr>
                <w:rFonts w:ascii="Calibri" w:hAnsi="Calibri"/>
                <w:b/>
                <w:bCs/>
                <w:color w:val="000000"/>
                <w:sz w:val="24"/>
                <w:lang w:val="en-GB" w:eastAsia="en-GB"/>
              </w:rPr>
              <w:t>GLOBAL DATABASE</w:t>
            </w:r>
          </w:p>
        </w:tc>
      </w:tr>
      <w:tr w:rsidR="00F560F5" w:rsidRPr="00F560F5" w14:paraId="4FD200EA" w14:textId="77777777" w:rsidTr="00241B5B">
        <w:trPr>
          <w:gridBefore w:val="1"/>
          <w:wBefore w:w="294" w:type="dxa"/>
          <w:trHeight w:val="1092"/>
        </w:trPr>
        <w:tc>
          <w:tcPr>
            <w:tcW w:w="1691" w:type="dxa"/>
            <w:gridSpan w:val="2"/>
            <w:tcBorders>
              <w:top w:val="nil"/>
              <w:left w:val="single" w:sz="8" w:space="0" w:color="auto"/>
              <w:bottom w:val="single" w:sz="4" w:space="0" w:color="auto"/>
              <w:right w:val="nil"/>
            </w:tcBorders>
            <w:shd w:val="clear" w:color="auto" w:fill="auto"/>
            <w:vAlign w:val="center"/>
            <w:hideMark/>
          </w:tcPr>
          <w:p w14:paraId="0DED5662"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Newborn lifesaving commodities in essential medicine list</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6517A725" w14:textId="49DD9B09" w:rsidR="00F560F5" w:rsidRPr="00F560F5" w:rsidRDefault="009B677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Injectable antibiotics, antenatal corticosteroids, chlorhexidine and resuscitation equipment are in the essential medicine list.</w:t>
            </w:r>
          </w:p>
        </w:tc>
        <w:tc>
          <w:tcPr>
            <w:tcW w:w="4111" w:type="dxa"/>
            <w:gridSpan w:val="2"/>
            <w:tcBorders>
              <w:top w:val="nil"/>
              <w:left w:val="nil"/>
              <w:bottom w:val="single" w:sz="4" w:space="0" w:color="auto"/>
              <w:right w:val="single" w:sz="4" w:space="0" w:color="auto"/>
            </w:tcBorders>
            <w:shd w:val="clear" w:color="auto" w:fill="auto"/>
            <w:vAlign w:val="center"/>
            <w:hideMark/>
          </w:tcPr>
          <w:p w14:paraId="57742376"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Number of the four listed commodities that are included in the essential medicine list.</w:t>
            </w:r>
          </w:p>
        </w:tc>
        <w:tc>
          <w:tcPr>
            <w:tcW w:w="2551" w:type="dxa"/>
            <w:tcBorders>
              <w:top w:val="nil"/>
              <w:left w:val="nil"/>
              <w:bottom w:val="single" w:sz="4" w:space="0" w:color="auto"/>
              <w:right w:val="single" w:sz="4" w:space="0" w:color="auto"/>
            </w:tcBorders>
            <w:shd w:val="clear" w:color="000000" w:fill="FFFFFF"/>
            <w:vAlign w:val="center"/>
            <w:hideMark/>
          </w:tcPr>
          <w:p w14:paraId="1D814AB9"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 and the Chlorhexidine Working Group</w:t>
            </w:r>
          </w:p>
        </w:tc>
        <w:tc>
          <w:tcPr>
            <w:tcW w:w="4825" w:type="dxa"/>
            <w:gridSpan w:val="3"/>
            <w:tcBorders>
              <w:top w:val="nil"/>
              <w:left w:val="nil"/>
              <w:bottom w:val="single" w:sz="4" w:space="0" w:color="auto"/>
              <w:right w:val="single" w:sz="8" w:space="0" w:color="auto"/>
            </w:tcBorders>
            <w:shd w:val="clear" w:color="000000" w:fill="FFFFFF"/>
            <w:vAlign w:val="center"/>
            <w:hideMark/>
          </w:tcPr>
          <w:p w14:paraId="041C616B"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Special data collection from: </w:t>
            </w:r>
            <w:r w:rsidRPr="00F560F5">
              <w:rPr>
                <w:rFonts w:ascii="Calibri" w:hAnsi="Calibri"/>
                <w:color w:val="000000"/>
                <w:sz w:val="20"/>
                <w:szCs w:val="20"/>
                <w:lang w:val="en-GB" w:eastAsia="en-GB"/>
              </w:rPr>
              <w:br/>
              <w:t xml:space="preserve">Global Maternal Newborn Child and Adolescent Health Policy Indicator Survey 2012 and 2014 by the World Health Organization Department of Maternal Child Adolescent Health </w:t>
            </w:r>
            <w:r w:rsidRPr="00F560F5">
              <w:rPr>
                <w:rFonts w:ascii="Calibri" w:hAnsi="Calibri"/>
                <w:color w:val="000000"/>
                <w:sz w:val="20"/>
                <w:szCs w:val="20"/>
                <w:lang w:val="en-GB" w:eastAsia="en-GB"/>
              </w:rPr>
              <w:br/>
              <w:t xml:space="preserve">and </w:t>
            </w:r>
            <w:r w:rsidRPr="00F560F5">
              <w:rPr>
                <w:rFonts w:ascii="Calibri" w:hAnsi="Calibri"/>
                <w:color w:val="000000"/>
                <w:sz w:val="20"/>
                <w:szCs w:val="20"/>
                <w:lang w:val="en-GB" w:eastAsia="en-GB"/>
              </w:rPr>
              <w:br/>
              <w:t>The Chlorhexidine Working Group</w:t>
            </w:r>
          </w:p>
        </w:tc>
      </w:tr>
      <w:tr w:rsidR="00F560F5" w:rsidRPr="00F560F5" w14:paraId="1859818A" w14:textId="77777777" w:rsidTr="00241B5B">
        <w:trPr>
          <w:gridBefore w:val="1"/>
          <w:wBefore w:w="294" w:type="dxa"/>
          <w:trHeight w:val="900"/>
        </w:trPr>
        <w:tc>
          <w:tcPr>
            <w:tcW w:w="1691" w:type="dxa"/>
            <w:gridSpan w:val="2"/>
            <w:tcBorders>
              <w:top w:val="nil"/>
              <w:left w:val="single" w:sz="8" w:space="0" w:color="auto"/>
              <w:bottom w:val="single" w:sz="4" w:space="0" w:color="auto"/>
              <w:right w:val="nil"/>
            </w:tcBorders>
            <w:shd w:val="clear" w:color="auto" w:fill="auto"/>
            <w:vAlign w:val="center"/>
            <w:hideMark/>
          </w:tcPr>
          <w:p w14:paraId="4679EFF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Child lifesaving commodities in essential medicine list</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4EF6CFB6" w14:textId="08844B2A" w:rsidR="00F560F5" w:rsidRPr="00F560F5" w:rsidRDefault="009B677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Amoxicillin, oral rehydration salts and zinc are in the essential medicine list.</w:t>
            </w:r>
          </w:p>
        </w:tc>
        <w:tc>
          <w:tcPr>
            <w:tcW w:w="4111" w:type="dxa"/>
            <w:gridSpan w:val="2"/>
            <w:tcBorders>
              <w:top w:val="nil"/>
              <w:left w:val="nil"/>
              <w:bottom w:val="single" w:sz="4" w:space="0" w:color="auto"/>
              <w:right w:val="single" w:sz="4" w:space="0" w:color="auto"/>
            </w:tcBorders>
            <w:shd w:val="clear" w:color="auto" w:fill="auto"/>
            <w:vAlign w:val="center"/>
            <w:hideMark/>
          </w:tcPr>
          <w:p w14:paraId="6D8B46D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Number of the three listed commodities that are included in the essential medicine list.</w:t>
            </w:r>
          </w:p>
        </w:tc>
        <w:tc>
          <w:tcPr>
            <w:tcW w:w="2551" w:type="dxa"/>
            <w:tcBorders>
              <w:top w:val="nil"/>
              <w:left w:val="nil"/>
              <w:bottom w:val="single" w:sz="4" w:space="0" w:color="auto"/>
              <w:right w:val="single" w:sz="4" w:space="0" w:color="auto"/>
            </w:tcBorders>
            <w:shd w:val="clear" w:color="auto" w:fill="auto"/>
            <w:vAlign w:val="center"/>
            <w:hideMark/>
          </w:tcPr>
          <w:p w14:paraId="1328A7A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4825" w:type="dxa"/>
            <w:gridSpan w:val="3"/>
            <w:tcBorders>
              <w:top w:val="nil"/>
              <w:left w:val="nil"/>
              <w:bottom w:val="single" w:sz="4" w:space="0" w:color="auto"/>
              <w:right w:val="single" w:sz="8" w:space="0" w:color="auto"/>
            </w:tcBorders>
            <w:shd w:val="clear" w:color="auto" w:fill="auto"/>
            <w:vAlign w:val="center"/>
            <w:hideMark/>
          </w:tcPr>
          <w:p w14:paraId="19B38DF4"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Global Maternal Newborn Child and Adolescent Health Policy Indicator </w:t>
            </w:r>
            <w:proofErr w:type="gramStart"/>
            <w:r w:rsidRPr="00F560F5">
              <w:rPr>
                <w:rFonts w:ascii="Calibri" w:hAnsi="Calibri"/>
                <w:color w:val="000000"/>
                <w:sz w:val="20"/>
                <w:szCs w:val="20"/>
                <w:lang w:val="en-GB" w:eastAsia="en-GB"/>
              </w:rPr>
              <w:t>Survey  by</w:t>
            </w:r>
            <w:proofErr w:type="gramEnd"/>
            <w:r w:rsidRPr="00F560F5">
              <w:rPr>
                <w:rFonts w:ascii="Calibri" w:hAnsi="Calibri"/>
                <w:color w:val="000000"/>
                <w:sz w:val="20"/>
                <w:szCs w:val="20"/>
                <w:lang w:val="en-GB" w:eastAsia="en-GB"/>
              </w:rPr>
              <w:t xml:space="preserve"> the World Health Organization Department of Maternal Child Adolescent Health</w:t>
            </w:r>
          </w:p>
        </w:tc>
      </w:tr>
      <w:tr w:rsidR="00F560F5" w:rsidRPr="00F560F5" w14:paraId="0896E94B" w14:textId="77777777" w:rsidTr="00241B5B">
        <w:trPr>
          <w:gridBefore w:val="1"/>
          <w:wBefore w:w="294" w:type="dxa"/>
          <w:trHeight w:val="600"/>
        </w:trPr>
        <w:tc>
          <w:tcPr>
            <w:tcW w:w="1691" w:type="dxa"/>
            <w:gridSpan w:val="2"/>
            <w:tcBorders>
              <w:top w:val="nil"/>
              <w:left w:val="single" w:sz="8" w:space="0" w:color="auto"/>
              <w:bottom w:val="single" w:sz="4" w:space="0" w:color="auto"/>
              <w:right w:val="nil"/>
            </w:tcBorders>
            <w:shd w:val="clear" w:color="auto" w:fill="auto"/>
            <w:vAlign w:val="center"/>
            <w:hideMark/>
          </w:tcPr>
          <w:p w14:paraId="3CCB51F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Density of health workers</w:t>
            </w:r>
          </w:p>
        </w:tc>
        <w:tc>
          <w:tcPr>
            <w:tcW w:w="1985" w:type="dxa"/>
            <w:tcBorders>
              <w:top w:val="nil"/>
              <w:left w:val="single" w:sz="8" w:space="0" w:color="auto"/>
              <w:bottom w:val="single" w:sz="4" w:space="0" w:color="auto"/>
              <w:right w:val="single" w:sz="4" w:space="0" w:color="auto"/>
            </w:tcBorders>
            <w:shd w:val="clear" w:color="auto" w:fill="auto"/>
            <w:vAlign w:val="center"/>
            <w:hideMark/>
          </w:tcPr>
          <w:p w14:paraId="5F1356FA"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 xml:space="preserve">Proportion of physicians, nurses and midwives who are available per 10,000 </w:t>
            </w:r>
            <w:proofErr w:type="gramStart"/>
            <w:r w:rsidRPr="00F560F5">
              <w:rPr>
                <w:rFonts w:ascii="Calibri" w:hAnsi="Calibri"/>
                <w:color w:val="000000"/>
                <w:sz w:val="20"/>
                <w:szCs w:val="20"/>
                <w:lang w:val="en-GB" w:eastAsia="en-GB"/>
              </w:rPr>
              <w:t>population</w:t>
            </w:r>
            <w:proofErr w:type="gramEnd"/>
            <w:r w:rsidRPr="00F560F5">
              <w:rPr>
                <w:rFonts w:ascii="Calibri" w:hAnsi="Calibri"/>
                <w:color w:val="000000"/>
                <w:sz w:val="20"/>
                <w:szCs w:val="20"/>
                <w:lang w:val="en-GB" w:eastAsia="en-GB"/>
              </w:rPr>
              <w:t>.</w:t>
            </w:r>
          </w:p>
        </w:tc>
        <w:tc>
          <w:tcPr>
            <w:tcW w:w="4111" w:type="dxa"/>
            <w:gridSpan w:val="2"/>
            <w:tcBorders>
              <w:top w:val="nil"/>
              <w:left w:val="nil"/>
              <w:bottom w:val="single" w:sz="4" w:space="0" w:color="auto"/>
              <w:right w:val="single" w:sz="4" w:space="0" w:color="auto"/>
            </w:tcBorders>
            <w:shd w:val="clear" w:color="auto" w:fill="auto"/>
            <w:vAlign w:val="center"/>
            <w:hideMark/>
          </w:tcPr>
          <w:p w14:paraId="03FC9927"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Percentage</w:t>
            </w:r>
          </w:p>
        </w:tc>
        <w:tc>
          <w:tcPr>
            <w:tcW w:w="2551" w:type="dxa"/>
            <w:tcBorders>
              <w:top w:val="nil"/>
              <w:left w:val="nil"/>
              <w:bottom w:val="single" w:sz="4" w:space="0" w:color="auto"/>
              <w:right w:val="single" w:sz="4" w:space="0" w:color="auto"/>
            </w:tcBorders>
            <w:shd w:val="clear" w:color="auto" w:fill="auto"/>
            <w:vAlign w:val="center"/>
            <w:hideMark/>
          </w:tcPr>
          <w:p w14:paraId="0C8C28F7"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World Health Organization</w:t>
            </w:r>
          </w:p>
        </w:tc>
        <w:tc>
          <w:tcPr>
            <w:tcW w:w="4825" w:type="dxa"/>
            <w:gridSpan w:val="3"/>
            <w:tcBorders>
              <w:top w:val="nil"/>
              <w:left w:val="nil"/>
              <w:bottom w:val="single" w:sz="4" w:space="0" w:color="auto"/>
              <w:right w:val="single" w:sz="8" w:space="0" w:color="auto"/>
            </w:tcBorders>
            <w:shd w:val="clear" w:color="auto" w:fill="auto"/>
            <w:vAlign w:val="center"/>
            <w:hideMark/>
          </w:tcPr>
          <w:p w14:paraId="780C3D41"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Global Health Observatory</w:t>
            </w:r>
          </w:p>
        </w:tc>
      </w:tr>
      <w:tr w:rsidR="00F560F5" w:rsidRPr="00F560F5" w14:paraId="60A191A4" w14:textId="77777777" w:rsidTr="00241B5B">
        <w:trPr>
          <w:gridBefore w:val="1"/>
          <w:wBefore w:w="294" w:type="dxa"/>
          <w:trHeight w:val="1838"/>
        </w:trPr>
        <w:tc>
          <w:tcPr>
            <w:tcW w:w="1691" w:type="dxa"/>
            <w:gridSpan w:val="2"/>
            <w:tcBorders>
              <w:top w:val="nil"/>
              <w:left w:val="single" w:sz="8" w:space="0" w:color="auto"/>
              <w:bottom w:val="single" w:sz="8" w:space="0" w:color="auto"/>
              <w:right w:val="nil"/>
            </w:tcBorders>
            <w:shd w:val="clear" w:color="auto" w:fill="auto"/>
            <w:vAlign w:val="center"/>
            <w:hideMark/>
          </w:tcPr>
          <w:p w14:paraId="20808D55"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National availability of emergency obstetric care services</w:t>
            </w:r>
          </w:p>
        </w:tc>
        <w:tc>
          <w:tcPr>
            <w:tcW w:w="1985" w:type="dxa"/>
            <w:tcBorders>
              <w:top w:val="nil"/>
              <w:left w:val="single" w:sz="8" w:space="0" w:color="auto"/>
              <w:bottom w:val="single" w:sz="8" w:space="0" w:color="auto"/>
              <w:right w:val="single" w:sz="4" w:space="0" w:color="auto"/>
            </w:tcBorders>
            <w:shd w:val="clear" w:color="auto" w:fill="auto"/>
            <w:vAlign w:val="center"/>
            <w:hideMark/>
          </w:tcPr>
          <w:p w14:paraId="7EBABA5C"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At least five emergency obstetric care facilities per 500,000 people, including one comprehensive and four basic emergency obstetric care facilities. (The breakdown of comprehensive and basic by population and geographic area is available in country assessment reports but not included in the Countdown.</w:t>
            </w:r>
          </w:p>
        </w:tc>
        <w:tc>
          <w:tcPr>
            <w:tcW w:w="4111" w:type="dxa"/>
            <w:gridSpan w:val="2"/>
            <w:tcBorders>
              <w:top w:val="nil"/>
              <w:left w:val="nil"/>
              <w:bottom w:val="single" w:sz="8" w:space="0" w:color="auto"/>
              <w:right w:val="single" w:sz="4" w:space="0" w:color="auto"/>
            </w:tcBorders>
            <w:shd w:val="clear" w:color="auto" w:fill="auto"/>
            <w:vAlign w:val="center"/>
            <w:hideMark/>
          </w:tcPr>
          <w:p w14:paraId="5C8C5C5F"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Availability is expressed as a percentage of the minimum acceptable number of emergency obstetric care facilities. The minimum acceptable number of emergency obstetric care facilities (comprehensive and basic) is calculated by dividing the number of functioning emergency obstetric care facilities by the recommended number and multiplying by 100. To qualify as a fully functioning basic or comprehensive emergency obstetric care facility, a facility must provide a standard set of signal functions.</w:t>
            </w:r>
          </w:p>
        </w:tc>
        <w:tc>
          <w:tcPr>
            <w:tcW w:w="2551" w:type="dxa"/>
            <w:tcBorders>
              <w:top w:val="nil"/>
              <w:left w:val="nil"/>
              <w:bottom w:val="single" w:sz="8" w:space="0" w:color="auto"/>
              <w:right w:val="single" w:sz="4" w:space="0" w:color="auto"/>
            </w:tcBorders>
            <w:shd w:val="clear" w:color="auto" w:fill="auto"/>
            <w:vAlign w:val="center"/>
            <w:hideMark/>
          </w:tcPr>
          <w:p w14:paraId="0FC09995"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Averting Maternal Death and Disability, United Nations Children’s Fund, United Nations Population Fund</w:t>
            </w:r>
          </w:p>
        </w:tc>
        <w:tc>
          <w:tcPr>
            <w:tcW w:w="4825" w:type="dxa"/>
            <w:gridSpan w:val="3"/>
            <w:tcBorders>
              <w:top w:val="nil"/>
              <w:left w:val="nil"/>
              <w:bottom w:val="single" w:sz="8" w:space="0" w:color="auto"/>
              <w:right w:val="single" w:sz="8" w:space="0" w:color="auto"/>
            </w:tcBorders>
            <w:shd w:val="clear" w:color="auto" w:fill="auto"/>
            <w:vAlign w:val="center"/>
            <w:hideMark/>
          </w:tcPr>
          <w:p w14:paraId="6AD0A046" w14:textId="77777777" w:rsidR="00F560F5" w:rsidRPr="00F560F5" w:rsidRDefault="00F560F5" w:rsidP="00E65AD9">
            <w:pPr>
              <w:jc w:val="left"/>
              <w:rPr>
                <w:rFonts w:ascii="Calibri" w:hAnsi="Calibri"/>
                <w:color w:val="000000"/>
                <w:sz w:val="20"/>
                <w:szCs w:val="20"/>
                <w:lang w:val="en-GB" w:eastAsia="en-GB"/>
              </w:rPr>
            </w:pPr>
            <w:r w:rsidRPr="00F560F5">
              <w:rPr>
                <w:rFonts w:ascii="Calibri" w:hAnsi="Calibri"/>
                <w:color w:val="000000"/>
                <w:sz w:val="20"/>
                <w:szCs w:val="20"/>
                <w:lang w:val="en-GB" w:eastAsia="en-GB"/>
              </w:rPr>
              <w:t>Averting Maternal Death and Disability, United Nations Children's Fund, United Nations Population Fund special data compilation</w:t>
            </w:r>
          </w:p>
        </w:tc>
      </w:tr>
    </w:tbl>
    <w:p w14:paraId="304E70B5" w14:textId="77777777" w:rsidR="00F560F5" w:rsidRDefault="00F560F5" w:rsidP="00C3432C">
      <w:pPr>
        <w:pStyle w:val="ListParagraph"/>
        <w:ind w:left="0"/>
        <w:rPr>
          <w:b/>
          <w:u w:val="single"/>
        </w:rPr>
      </w:pPr>
    </w:p>
    <w:sectPr w:rsidR="00F560F5" w:rsidSect="00F560F5">
      <w:pgSz w:w="16838" w:h="11906"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5BA01" w14:textId="77777777" w:rsidR="00CD2C07" w:rsidRDefault="00CD2C07" w:rsidP="00F03274">
      <w:r>
        <w:separator/>
      </w:r>
    </w:p>
  </w:endnote>
  <w:endnote w:type="continuationSeparator" w:id="0">
    <w:p w14:paraId="0C8D1052" w14:textId="77777777" w:rsidR="00CD2C07" w:rsidRDefault="00CD2C07" w:rsidP="00F0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w:charset w:val="00"/>
    <w:family w:val="auto"/>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Berlin Sans FB">
    <w:panose1 w:val="020E06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9263" w14:textId="77777777" w:rsidR="00E65AD9" w:rsidRPr="00443A06" w:rsidRDefault="00E65AD9" w:rsidP="00E65AD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824124"/>
      <w:docPartObj>
        <w:docPartGallery w:val="Page Numbers (Bottom of Page)"/>
        <w:docPartUnique/>
      </w:docPartObj>
    </w:sdtPr>
    <w:sdtEndPr>
      <w:rPr>
        <w:noProof/>
      </w:rPr>
    </w:sdtEndPr>
    <w:sdtContent>
      <w:p w14:paraId="42932ADF" w14:textId="36369260" w:rsidR="00E65AD9" w:rsidRPr="009A51AC" w:rsidRDefault="00E65AD9" w:rsidP="003A2B45">
        <w:pPr>
          <w:contextualSpacing/>
          <w:rPr>
            <w:rFonts w:ascii="Calibri Light" w:hAnsi="Calibri Light"/>
            <w:b/>
            <w:sz w:val="24"/>
            <w:szCs w:val="28"/>
          </w:rPr>
        </w:pPr>
        <w:r w:rsidRPr="009A51AC">
          <w:rPr>
            <w:rFonts w:cs="Calibri"/>
            <w:sz w:val="16"/>
            <w:szCs w:val="16"/>
          </w:rPr>
          <w:t xml:space="preserve">Web annex -  Countdown to 2015 Country Case Studies: Systematic tools to address the “black box” of health systems and policy assessment </w:t>
        </w:r>
        <w:r>
          <w:rPr>
            <w:rFonts w:cs="Calibri"/>
            <w:sz w:val="16"/>
            <w:szCs w:val="16"/>
          </w:rPr>
          <w:t xml:space="preserve">    </w:t>
        </w:r>
        <w:r>
          <w:fldChar w:fldCharType="begin"/>
        </w:r>
        <w:r>
          <w:instrText xml:space="preserve"> PAGE   \* MERGEFORMAT </w:instrText>
        </w:r>
        <w:r>
          <w:fldChar w:fldCharType="separate"/>
        </w:r>
        <w:r w:rsidR="00DF7512">
          <w:rPr>
            <w:noProof/>
          </w:rPr>
          <w:t>19</w:t>
        </w:r>
        <w:r>
          <w:rPr>
            <w:noProof/>
          </w:rPr>
          <w:fldChar w:fldCharType="end"/>
        </w:r>
      </w:p>
    </w:sdtContent>
  </w:sdt>
  <w:p w14:paraId="17EB4F8C" w14:textId="77777777" w:rsidR="00E65AD9" w:rsidRDefault="00E65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47A94" w14:textId="77777777" w:rsidR="00CD2C07" w:rsidRDefault="00CD2C07" w:rsidP="00F03274">
      <w:r>
        <w:separator/>
      </w:r>
    </w:p>
  </w:footnote>
  <w:footnote w:type="continuationSeparator" w:id="0">
    <w:p w14:paraId="035C72A1" w14:textId="77777777" w:rsidR="00CD2C07" w:rsidRDefault="00CD2C07" w:rsidP="00F03274">
      <w:r>
        <w:continuationSeparator/>
      </w:r>
    </w:p>
  </w:footnote>
  <w:footnote w:id="1">
    <w:p w14:paraId="472EB017" w14:textId="77777777" w:rsidR="00E65AD9" w:rsidRPr="008C010C" w:rsidRDefault="00E65AD9" w:rsidP="00BF0B98">
      <w:pPr>
        <w:pStyle w:val="FootnoteText"/>
        <w:rPr>
          <w:lang w:val="en-GB"/>
        </w:rPr>
      </w:pPr>
      <w:r>
        <w:rPr>
          <w:rStyle w:val="FootnoteReference"/>
        </w:rPr>
        <w:footnoteRef/>
      </w:r>
      <w:r>
        <w:t xml:space="preserve"> Responses to </w:t>
      </w:r>
      <w:r w:rsidRPr="008C010C">
        <w:t xml:space="preserve">“Community treatment of pneumonia with antibiotics,” </w:t>
      </w:r>
      <w:r>
        <w:t xml:space="preserve">policy has a “not applicable” option in addition to Yes and No options.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48021" w14:textId="403A1408" w:rsidR="00E65AD9" w:rsidRDefault="00E65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B7E80" w14:textId="0F1F4CC7" w:rsidR="00E65AD9" w:rsidRDefault="00E65A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50426" w14:textId="58C2B22B" w:rsidR="00E65AD9" w:rsidRDefault="00E65A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2F959" w14:textId="78F509A1" w:rsidR="00E65AD9" w:rsidRDefault="00E65A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CCD00" w14:textId="6B7F6C95" w:rsidR="00E65AD9" w:rsidRDefault="00E65A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F02FD" w14:textId="3ED127EA" w:rsidR="00E65AD9" w:rsidRDefault="00E65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664A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7A7A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3D8AA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C046B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40CF6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5ECF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3A45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6068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B8C180"/>
    <w:lvl w:ilvl="0">
      <w:start w:val="1"/>
      <w:numFmt w:val="decimal"/>
      <w:pStyle w:val="ListNumber"/>
      <w:lvlText w:val="%1."/>
      <w:lvlJc w:val="left"/>
      <w:pPr>
        <w:tabs>
          <w:tab w:val="num" w:pos="360"/>
        </w:tabs>
        <w:ind w:left="360" w:hanging="360"/>
      </w:pPr>
    </w:lvl>
  </w:abstractNum>
  <w:abstractNum w:abstractNumId="9" w15:restartNumberingAfterBreak="0">
    <w:nsid w:val="0484764C"/>
    <w:multiLevelType w:val="hybridMultilevel"/>
    <w:tmpl w:val="3D182D5E"/>
    <w:lvl w:ilvl="0" w:tplc="E4A2C3C0">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78646CF"/>
    <w:multiLevelType w:val="hybridMultilevel"/>
    <w:tmpl w:val="6AEC54D4"/>
    <w:lvl w:ilvl="0" w:tplc="0409000F">
      <w:start w:val="1"/>
      <w:numFmt w:val="decimal"/>
      <w:lvlText w:val="%1."/>
      <w:lvlJc w:val="left"/>
      <w:pPr>
        <w:ind w:left="1080" w:hanging="360"/>
      </w:pPr>
      <w:rPr>
        <w:rFonts w:hint="default"/>
        <w:spacing w:val="-6"/>
        <w:position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70626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17EB51B9"/>
    <w:multiLevelType w:val="hybridMultilevel"/>
    <w:tmpl w:val="E452B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2F2813"/>
    <w:multiLevelType w:val="hybridMultilevel"/>
    <w:tmpl w:val="103C1CF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025302"/>
    <w:multiLevelType w:val="hybridMultilevel"/>
    <w:tmpl w:val="839436AC"/>
    <w:lvl w:ilvl="0" w:tplc="08090005">
      <w:start w:val="1"/>
      <w:numFmt w:val="bullet"/>
      <w:lvlText w:val=""/>
      <w:lvlJc w:val="left"/>
      <w:pPr>
        <w:ind w:left="360" w:hanging="360"/>
      </w:pPr>
      <w:rPr>
        <w:rFonts w:ascii="Wingdings" w:hAnsi="Wingdings" w:hint="default"/>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535BC3"/>
    <w:multiLevelType w:val="hybridMultilevel"/>
    <w:tmpl w:val="06DC94BC"/>
    <w:lvl w:ilvl="0" w:tplc="E4924D88">
      <w:start w:val="1"/>
      <w:numFmt w:val="bullet"/>
      <w:lvlText w:val="­"/>
      <w:lvlJc w:val="left"/>
      <w:pPr>
        <w:ind w:left="720" w:hanging="360"/>
      </w:pPr>
      <w:rPr>
        <w:rFonts w:ascii="Courier New" w:hAnsi="Courier New" w:hint="default"/>
        <w:spacing w:val="-6"/>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45C1B"/>
    <w:multiLevelType w:val="hybridMultilevel"/>
    <w:tmpl w:val="D4848C08"/>
    <w:lvl w:ilvl="0" w:tplc="7D30F882">
      <w:start w:val="3"/>
      <w:numFmt w:val="lowerRoman"/>
      <w:lvlText w:val="%1."/>
      <w:lvlJc w:val="right"/>
      <w:pPr>
        <w:ind w:left="360" w:hanging="360"/>
      </w:pPr>
      <w:rPr>
        <w:rFonts w:hint="default"/>
        <w:b/>
        <w:bCs/>
        <w:i w:val="0"/>
        <w:iCs w:val="0"/>
      </w:rPr>
    </w:lvl>
    <w:lvl w:ilvl="1" w:tplc="4C80209C">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B3FA2BD8">
      <w:start w:val="1"/>
      <w:numFmt w:val="upperRoman"/>
      <w:lvlText w:val="%5."/>
      <w:lvlJc w:val="left"/>
      <w:pPr>
        <w:ind w:left="3600" w:hanging="720"/>
      </w:pPr>
      <w:rPr>
        <w:rFonts w:hint="default"/>
        <w:b/>
        <w:sz w:val="24"/>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FA2782"/>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47111ED"/>
    <w:multiLevelType w:val="hybridMultilevel"/>
    <w:tmpl w:val="1ACEC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72A28"/>
    <w:multiLevelType w:val="hybridMultilevel"/>
    <w:tmpl w:val="32C05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F60C4F"/>
    <w:multiLevelType w:val="hybridMultilevel"/>
    <w:tmpl w:val="AC92D024"/>
    <w:lvl w:ilvl="0" w:tplc="08090017">
      <w:start w:val="1"/>
      <w:numFmt w:val="bullet"/>
      <w:pStyle w:val="SmallArrow"/>
      <w:lvlText w:val=""/>
      <w:lvlJc w:val="left"/>
      <w:pPr>
        <w:tabs>
          <w:tab w:val="num" w:pos="720"/>
        </w:tabs>
        <w:ind w:left="720" w:hanging="360"/>
      </w:pPr>
      <w:rPr>
        <w:rFonts w:ascii="Wingdings" w:hAnsi="Wingdings" w:hint="default"/>
      </w:rPr>
    </w:lvl>
    <w:lvl w:ilvl="1" w:tplc="08090019">
      <w:start w:val="1"/>
      <w:numFmt w:val="bullet"/>
      <w:lvlText w:val="o"/>
      <w:lvlJc w:val="left"/>
      <w:pPr>
        <w:tabs>
          <w:tab w:val="num" w:pos="1440"/>
        </w:tabs>
        <w:ind w:left="1440" w:hanging="360"/>
      </w:pPr>
      <w:rPr>
        <w:rFonts w:ascii="Courier New" w:hAnsi="Courier New" w:hint="default"/>
      </w:rPr>
    </w:lvl>
    <w:lvl w:ilvl="2" w:tplc="0809001B">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913434"/>
    <w:multiLevelType w:val="hybridMultilevel"/>
    <w:tmpl w:val="3DFA1F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D47E21"/>
    <w:multiLevelType w:val="hybridMultilevel"/>
    <w:tmpl w:val="F2BA568C"/>
    <w:lvl w:ilvl="0" w:tplc="4C80209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95D0C"/>
    <w:multiLevelType w:val="hybridMultilevel"/>
    <w:tmpl w:val="9A506EB8"/>
    <w:lvl w:ilvl="0" w:tplc="E4924D88">
      <w:start w:val="1"/>
      <w:numFmt w:val="bullet"/>
      <w:lvlText w:val="­"/>
      <w:lvlJc w:val="left"/>
      <w:pPr>
        <w:ind w:left="720" w:hanging="360"/>
      </w:pPr>
      <w:rPr>
        <w:rFonts w:ascii="Courier New" w:hAnsi="Courier New" w:hint="default"/>
        <w:spacing w:val="-6"/>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D84254"/>
    <w:multiLevelType w:val="hybridMultilevel"/>
    <w:tmpl w:val="C220BB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464C8"/>
    <w:multiLevelType w:val="hybridMultilevel"/>
    <w:tmpl w:val="0C3008C0"/>
    <w:lvl w:ilvl="0" w:tplc="A1244E40">
      <w:start w:val="1"/>
      <w:numFmt w:val="upperLetter"/>
      <w:lvlText w:val="%1."/>
      <w:lvlJc w:val="left"/>
      <w:pPr>
        <w:ind w:left="360" w:hanging="360"/>
      </w:pPr>
      <w:rPr>
        <w:rFonts w:hint="default"/>
      </w:rPr>
    </w:lvl>
    <w:lvl w:ilvl="1" w:tplc="09DEEC82"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A62DF3"/>
    <w:multiLevelType w:val="multilevel"/>
    <w:tmpl w:val="7A187B74"/>
    <w:lvl w:ilvl="0">
      <w:start w:val="1"/>
      <w:numFmt w:val="decimal"/>
      <w:pStyle w:val="BodyTextNumbered"/>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3146C1C"/>
    <w:multiLevelType w:val="hybridMultilevel"/>
    <w:tmpl w:val="982A1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54327C9"/>
    <w:multiLevelType w:val="hybridMultilevel"/>
    <w:tmpl w:val="0488330A"/>
    <w:lvl w:ilvl="0" w:tplc="996EB2CC">
      <w:start w:val="1"/>
      <w:numFmt w:val="none"/>
      <w:lvlText w:val="i."/>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15319B"/>
    <w:multiLevelType w:val="hybridMultilevel"/>
    <w:tmpl w:val="762281A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907DAD"/>
    <w:multiLevelType w:val="hybridMultilevel"/>
    <w:tmpl w:val="2A9E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0156F2"/>
    <w:multiLevelType w:val="hybridMultilevel"/>
    <w:tmpl w:val="85489462"/>
    <w:lvl w:ilvl="0" w:tplc="7C3C82A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D2937CF"/>
    <w:multiLevelType w:val="hybridMultilevel"/>
    <w:tmpl w:val="BFA01380"/>
    <w:lvl w:ilvl="0" w:tplc="64AEE8F6">
      <w:start w:val="2"/>
      <w:numFmt w:val="lowerRoman"/>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D990B2E"/>
    <w:multiLevelType w:val="hybridMultilevel"/>
    <w:tmpl w:val="5AC84402"/>
    <w:lvl w:ilvl="0" w:tplc="09DEEC82">
      <w:start w:val="1"/>
      <w:numFmt w:val="lowerLetter"/>
      <w:pStyle w:val="Smallletters"/>
      <w:lvlText w:val="%1)"/>
      <w:lvlJc w:val="left"/>
      <w:pPr>
        <w:tabs>
          <w:tab w:val="num" w:pos="1440"/>
        </w:tabs>
        <w:ind w:left="14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15:restartNumberingAfterBreak="0">
    <w:nsid w:val="648F127A"/>
    <w:multiLevelType w:val="hybridMultilevel"/>
    <w:tmpl w:val="F980635E"/>
    <w:lvl w:ilvl="0" w:tplc="E4924D88">
      <w:start w:val="1"/>
      <w:numFmt w:val="bullet"/>
      <w:lvlText w:val="­"/>
      <w:lvlJc w:val="left"/>
      <w:pPr>
        <w:ind w:left="720" w:hanging="360"/>
      </w:pPr>
      <w:rPr>
        <w:rFonts w:ascii="Courier New" w:hAnsi="Courier New" w:hint="default"/>
        <w:spacing w:val="-6"/>
        <w:position w:val="0"/>
      </w:rPr>
    </w:lvl>
    <w:lvl w:ilvl="1" w:tplc="04090005">
      <w:start w:val="1"/>
      <w:numFmt w:val="bullet"/>
      <w:lvlText w:val=""/>
      <w:lvlJc w:val="left"/>
      <w:pPr>
        <w:ind w:left="1440" w:hanging="360"/>
      </w:pPr>
      <w:rPr>
        <w:rFonts w:ascii="Wingdings" w:hAnsi="Wingdings" w:hint="default"/>
      </w:rPr>
    </w:lvl>
    <w:lvl w:ilvl="2" w:tplc="8020BF6C">
      <w:start w:val="1"/>
      <w:numFmt w:val="bullet"/>
      <w:lvlText w:val="-"/>
      <w:lvlJc w:val="left"/>
      <w:pPr>
        <w:ind w:left="2160" w:hanging="360"/>
      </w:pPr>
      <w:rPr>
        <w:rFonts w:ascii="Arial" w:hAnsi="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A81D5E"/>
    <w:multiLevelType w:val="hybridMultilevel"/>
    <w:tmpl w:val="A5B49246"/>
    <w:lvl w:ilvl="0" w:tplc="04090001">
      <w:start w:val="1"/>
      <w:numFmt w:val="bullet"/>
      <w:lvlText w:val=""/>
      <w:lvlJc w:val="left"/>
      <w:pPr>
        <w:ind w:left="360" w:hanging="360"/>
      </w:pPr>
      <w:rPr>
        <w:rFonts w:ascii="Symbol" w:hAnsi="Symbol" w:hint="default"/>
        <w:spacing w:val="-6"/>
        <w:position w:val="0"/>
      </w:rPr>
    </w:lvl>
    <w:lvl w:ilvl="1" w:tplc="04090001">
      <w:start w:val="1"/>
      <w:numFmt w:val="bullet"/>
      <w:lvlText w:val=""/>
      <w:lvlJc w:val="left"/>
      <w:pPr>
        <w:ind w:left="1080" w:hanging="360"/>
      </w:pPr>
      <w:rPr>
        <w:rFonts w:ascii="Symbol" w:hAnsi="Symbol" w:hint="default"/>
        <w:spacing w:val="-6"/>
        <w:position w:val="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B60378"/>
    <w:multiLevelType w:val="multilevel"/>
    <w:tmpl w:val="DEB45BE6"/>
    <w:lvl w:ilvl="0">
      <w:start w:val="1"/>
      <w:numFmt w:val="decimal"/>
      <w:pStyle w:val="Caption"/>
      <w:lvlText w:val="Table  %1 - "/>
      <w:lvlJc w:val="left"/>
      <w:pPr>
        <w:tabs>
          <w:tab w:val="num" w:pos="1106"/>
        </w:tabs>
        <w:ind w:left="1106" w:hanging="113"/>
      </w:pPr>
      <w:rPr>
        <w:rFonts w:ascii="Arial Narrow" w:hAnsi="Arial Narrow" w:hint="default"/>
        <w:color w:val="333333"/>
        <w:sz w:val="22"/>
        <w:szCs w:val="22"/>
      </w:rPr>
    </w:lvl>
    <w:lvl w:ilvl="1">
      <w:start w:val="1"/>
      <w:numFmt w:val="decimalZero"/>
      <w:isLgl/>
      <w:lvlText w:val="Section %1.%2"/>
      <w:lvlJc w:val="left"/>
      <w:pPr>
        <w:tabs>
          <w:tab w:val="num" w:pos="1590"/>
        </w:tabs>
        <w:ind w:left="510" w:firstLine="0"/>
      </w:pPr>
      <w:rPr>
        <w:rFonts w:hint="default"/>
      </w:rPr>
    </w:lvl>
    <w:lvl w:ilvl="2">
      <w:start w:val="1"/>
      <w:numFmt w:val="lowerLetter"/>
      <w:lvlText w:val="(%3)"/>
      <w:lvlJc w:val="left"/>
      <w:pPr>
        <w:tabs>
          <w:tab w:val="num" w:pos="1230"/>
        </w:tabs>
        <w:ind w:left="1230" w:hanging="432"/>
      </w:pPr>
      <w:rPr>
        <w:rFonts w:hint="default"/>
      </w:rPr>
    </w:lvl>
    <w:lvl w:ilvl="3">
      <w:start w:val="1"/>
      <w:numFmt w:val="lowerRoman"/>
      <w:lvlText w:val="(%4)"/>
      <w:lvlJc w:val="right"/>
      <w:pPr>
        <w:tabs>
          <w:tab w:val="num" w:pos="1374"/>
        </w:tabs>
        <w:ind w:left="1374" w:hanging="144"/>
      </w:pPr>
      <w:rPr>
        <w:rFonts w:hint="default"/>
      </w:rPr>
    </w:lvl>
    <w:lvl w:ilvl="4">
      <w:start w:val="1"/>
      <w:numFmt w:val="decimal"/>
      <w:lvlText w:val="%5)"/>
      <w:lvlJc w:val="left"/>
      <w:pPr>
        <w:tabs>
          <w:tab w:val="num" w:pos="1518"/>
        </w:tabs>
        <w:ind w:left="1518" w:hanging="432"/>
      </w:pPr>
      <w:rPr>
        <w:rFonts w:hint="default"/>
      </w:rPr>
    </w:lvl>
    <w:lvl w:ilvl="5">
      <w:start w:val="1"/>
      <w:numFmt w:val="lowerLetter"/>
      <w:lvlText w:val="%6)"/>
      <w:lvlJc w:val="left"/>
      <w:pPr>
        <w:tabs>
          <w:tab w:val="num" w:pos="1662"/>
        </w:tabs>
        <w:ind w:left="1662" w:hanging="432"/>
      </w:pPr>
      <w:rPr>
        <w:rFonts w:hint="default"/>
      </w:rPr>
    </w:lvl>
    <w:lvl w:ilvl="6">
      <w:start w:val="1"/>
      <w:numFmt w:val="lowerRoman"/>
      <w:lvlText w:val="%7)"/>
      <w:lvlJc w:val="right"/>
      <w:pPr>
        <w:tabs>
          <w:tab w:val="num" w:pos="1806"/>
        </w:tabs>
        <w:ind w:left="1806" w:hanging="288"/>
      </w:pPr>
      <w:rPr>
        <w:rFonts w:hint="default"/>
      </w:rPr>
    </w:lvl>
    <w:lvl w:ilvl="7">
      <w:start w:val="1"/>
      <w:numFmt w:val="lowerLetter"/>
      <w:lvlText w:val="%8."/>
      <w:lvlJc w:val="left"/>
      <w:pPr>
        <w:tabs>
          <w:tab w:val="num" w:pos="1950"/>
        </w:tabs>
        <w:ind w:left="1950" w:hanging="432"/>
      </w:pPr>
      <w:rPr>
        <w:rFonts w:hint="default"/>
      </w:rPr>
    </w:lvl>
    <w:lvl w:ilvl="8">
      <w:start w:val="1"/>
      <w:numFmt w:val="lowerRoman"/>
      <w:lvlText w:val="%9."/>
      <w:lvlJc w:val="right"/>
      <w:pPr>
        <w:tabs>
          <w:tab w:val="num" w:pos="2094"/>
        </w:tabs>
        <w:ind w:left="2094" w:hanging="144"/>
      </w:pPr>
      <w:rPr>
        <w:rFonts w:hint="default"/>
      </w:rPr>
    </w:lvl>
  </w:abstractNum>
  <w:abstractNum w:abstractNumId="37" w15:restartNumberingAfterBreak="0">
    <w:nsid w:val="6D3F556C"/>
    <w:multiLevelType w:val="hybridMultilevel"/>
    <w:tmpl w:val="E7706A9A"/>
    <w:lvl w:ilvl="0" w:tplc="76F2C39A">
      <w:start w:val="1"/>
      <w:numFmt w:val="decimal"/>
      <w:pStyle w:val="Highnumbered"/>
      <w:lvlText w:val="%1."/>
      <w:lvlJc w:val="left"/>
      <w:pPr>
        <w:tabs>
          <w:tab w:val="num" w:pos="360"/>
        </w:tabs>
        <w:ind w:left="360" w:hanging="360"/>
      </w:pPr>
    </w:lvl>
    <w:lvl w:ilvl="1" w:tplc="08090003">
      <w:start w:val="1"/>
      <w:numFmt w:val="bullet"/>
      <w:lvlText w:val=""/>
      <w:lvlJc w:val="left"/>
      <w:pPr>
        <w:tabs>
          <w:tab w:val="num" w:pos="1097"/>
        </w:tabs>
        <w:ind w:left="1097" w:hanging="377"/>
      </w:pPr>
      <w:rPr>
        <w:rFonts w:ascii="Symbol" w:hAnsi="Symbol" w:hint="default"/>
        <w:color w:val="auto"/>
      </w:rPr>
    </w:lvl>
    <w:lvl w:ilvl="2" w:tplc="08090005">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38" w15:restartNumberingAfterBreak="0">
    <w:nsid w:val="6FC528A8"/>
    <w:multiLevelType w:val="hybridMultilevel"/>
    <w:tmpl w:val="53A8C6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734CE6"/>
    <w:multiLevelType w:val="hybridMultilevel"/>
    <w:tmpl w:val="AB5EBDD0"/>
    <w:lvl w:ilvl="0" w:tplc="2BD05074">
      <w:start w:val="1"/>
      <w:numFmt w:val="lowerRoman"/>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19F4103"/>
    <w:multiLevelType w:val="hybridMultilevel"/>
    <w:tmpl w:val="DFCAD41C"/>
    <w:lvl w:ilvl="0" w:tplc="04090001">
      <w:start w:val="1"/>
      <w:numFmt w:val="bullet"/>
      <w:lvlText w:val=""/>
      <w:lvlJc w:val="left"/>
      <w:pPr>
        <w:ind w:left="360" w:hanging="360"/>
      </w:pPr>
      <w:rPr>
        <w:rFonts w:ascii="Symbol" w:hAnsi="Symbol" w:hint="default"/>
        <w:spacing w:val="-6"/>
        <w:position w:val="0"/>
      </w:rPr>
    </w:lvl>
    <w:lvl w:ilvl="1" w:tplc="E4924D88">
      <w:start w:val="1"/>
      <w:numFmt w:val="bullet"/>
      <w:lvlText w:val="­"/>
      <w:lvlJc w:val="left"/>
      <w:pPr>
        <w:ind w:left="1080" w:hanging="360"/>
      </w:pPr>
      <w:rPr>
        <w:rFonts w:ascii="Courier New" w:hAnsi="Courier New" w:hint="default"/>
        <w:spacing w:val="-6"/>
        <w:position w:val="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522AE2"/>
    <w:multiLevelType w:val="hybridMultilevel"/>
    <w:tmpl w:val="1C3EE390"/>
    <w:lvl w:ilvl="0" w:tplc="0409000F">
      <w:start w:val="1"/>
      <w:numFmt w:val="decimal"/>
      <w:pStyle w:val="TableTitle"/>
      <w:lvlText w:val="%1."/>
      <w:lvlJc w:val="left"/>
      <w:pPr>
        <w:tabs>
          <w:tab w:val="num" w:pos="1077"/>
        </w:tabs>
        <w:ind w:left="1077" w:firstLine="3"/>
      </w:pPr>
      <w:rPr>
        <w:rFonts w:ascii="Verdana" w:hAnsi="Verdana" w:hint="default"/>
        <w:sz w:val="20"/>
        <w:szCs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7C64C39"/>
    <w:multiLevelType w:val="hybridMultilevel"/>
    <w:tmpl w:val="B9AA1EA6"/>
    <w:lvl w:ilvl="0" w:tplc="C6D0942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DB3A2E"/>
    <w:multiLevelType w:val="multilevel"/>
    <w:tmpl w:val="08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7EA420D5"/>
    <w:multiLevelType w:val="hybridMultilevel"/>
    <w:tmpl w:val="609E0AEA"/>
    <w:lvl w:ilvl="0" w:tplc="EB223642">
      <w:start w:val="2"/>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33"/>
  </w:num>
  <w:num w:numId="3">
    <w:abstractNumId w:val="20"/>
  </w:num>
  <w:num w:numId="4">
    <w:abstractNumId w:val="37"/>
  </w:num>
  <w:num w:numId="5">
    <w:abstractNumId w:val="41"/>
  </w:num>
  <w:num w:numId="6">
    <w:abstractNumId w:val="11"/>
  </w:num>
  <w:num w:numId="7">
    <w:abstractNumId w:val="17"/>
  </w:num>
  <w:num w:numId="8">
    <w:abstractNumId w:val="43"/>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6"/>
  </w:num>
  <w:num w:numId="19">
    <w:abstractNumId w:val="26"/>
    <w:lvlOverride w:ilvl="0">
      <w:startOverride w:val="1"/>
    </w:lvlOverride>
  </w:num>
  <w:num w:numId="20">
    <w:abstractNumId w:val="31"/>
  </w:num>
  <w:num w:numId="21">
    <w:abstractNumId w:val="40"/>
  </w:num>
  <w:num w:numId="22">
    <w:abstractNumId w:val="39"/>
  </w:num>
  <w:num w:numId="23">
    <w:abstractNumId w:val="28"/>
  </w:num>
  <w:num w:numId="24">
    <w:abstractNumId w:val="32"/>
  </w:num>
  <w:num w:numId="25">
    <w:abstractNumId w:val="42"/>
  </w:num>
  <w:num w:numId="26">
    <w:abstractNumId w:val="16"/>
  </w:num>
  <w:num w:numId="27">
    <w:abstractNumId w:val="27"/>
  </w:num>
  <w:num w:numId="28">
    <w:abstractNumId w:val="21"/>
  </w:num>
  <w:num w:numId="29">
    <w:abstractNumId w:val="22"/>
  </w:num>
  <w:num w:numId="30">
    <w:abstractNumId w:val="15"/>
  </w:num>
  <w:num w:numId="31">
    <w:abstractNumId w:val="10"/>
  </w:num>
  <w:num w:numId="32">
    <w:abstractNumId w:val="35"/>
  </w:num>
  <w:num w:numId="33">
    <w:abstractNumId w:val="38"/>
  </w:num>
  <w:num w:numId="34">
    <w:abstractNumId w:val="12"/>
  </w:num>
  <w:num w:numId="35">
    <w:abstractNumId w:val="19"/>
  </w:num>
  <w:num w:numId="36">
    <w:abstractNumId w:val="18"/>
  </w:num>
  <w:num w:numId="37">
    <w:abstractNumId w:val="44"/>
  </w:num>
  <w:num w:numId="38">
    <w:abstractNumId w:val="23"/>
  </w:num>
  <w:num w:numId="39">
    <w:abstractNumId w:val="34"/>
  </w:num>
  <w:num w:numId="40">
    <w:abstractNumId w:val="15"/>
  </w:num>
  <w:num w:numId="41">
    <w:abstractNumId w:val="24"/>
  </w:num>
  <w:num w:numId="42">
    <w:abstractNumId w:val="9"/>
  </w:num>
  <w:num w:numId="43">
    <w:abstractNumId w:val="30"/>
  </w:num>
  <w:num w:numId="44">
    <w:abstractNumId w:val="14"/>
  </w:num>
  <w:num w:numId="45">
    <w:abstractNumId w:val="13"/>
  </w:num>
  <w:num w:numId="46">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Pregnancy Childbir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2A21D8"/>
    <w:rsid w:val="0000028A"/>
    <w:rsid w:val="000008CB"/>
    <w:rsid w:val="000034DF"/>
    <w:rsid w:val="00003666"/>
    <w:rsid w:val="00003824"/>
    <w:rsid w:val="0000792C"/>
    <w:rsid w:val="00007BB2"/>
    <w:rsid w:val="00016C28"/>
    <w:rsid w:val="000203B4"/>
    <w:rsid w:val="0002240C"/>
    <w:rsid w:val="00023826"/>
    <w:rsid w:val="00023EED"/>
    <w:rsid w:val="000242B1"/>
    <w:rsid w:val="0002683B"/>
    <w:rsid w:val="00027783"/>
    <w:rsid w:val="000309B9"/>
    <w:rsid w:val="00030CF3"/>
    <w:rsid w:val="000314F2"/>
    <w:rsid w:val="00031D1C"/>
    <w:rsid w:val="0003247E"/>
    <w:rsid w:val="00034965"/>
    <w:rsid w:val="000354F3"/>
    <w:rsid w:val="000356A4"/>
    <w:rsid w:val="00035C66"/>
    <w:rsid w:val="000363EE"/>
    <w:rsid w:val="00036D91"/>
    <w:rsid w:val="0003734A"/>
    <w:rsid w:val="00037522"/>
    <w:rsid w:val="00037754"/>
    <w:rsid w:val="00037CD6"/>
    <w:rsid w:val="00044DBD"/>
    <w:rsid w:val="000470CC"/>
    <w:rsid w:val="00047433"/>
    <w:rsid w:val="000534F6"/>
    <w:rsid w:val="00053A6B"/>
    <w:rsid w:val="00054A34"/>
    <w:rsid w:val="00057CE7"/>
    <w:rsid w:val="0006312C"/>
    <w:rsid w:val="00063561"/>
    <w:rsid w:val="00064914"/>
    <w:rsid w:val="000655EF"/>
    <w:rsid w:val="00065633"/>
    <w:rsid w:val="000659B0"/>
    <w:rsid w:val="00066D2E"/>
    <w:rsid w:val="00070582"/>
    <w:rsid w:val="000707CF"/>
    <w:rsid w:val="0007247E"/>
    <w:rsid w:val="000726FF"/>
    <w:rsid w:val="0007627A"/>
    <w:rsid w:val="000764FC"/>
    <w:rsid w:val="00080075"/>
    <w:rsid w:val="00083A02"/>
    <w:rsid w:val="0008624E"/>
    <w:rsid w:val="00086CC7"/>
    <w:rsid w:val="00086DAB"/>
    <w:rsid w:val="00090172"/>
    <w:rsid w:val="000916CA"/>
    <w:rsid w:val="00092E07"/>
    <w:rsid w:val="000941FD"/>
    <w:rsid w:val="000947A2"/>
    <w:rsid w:val="00094C1D"/>
    <w:rsid w:val="000962DE"/>
    <w:rsid w:val="0009779C"/>
    <w:rsid w:val="000A074D"/>
    <w:rsid w:val="000A0D55"/>
    <w:rsid w:val="000A1BF3"/>
    <w:rsid w:val="000A3A63"/>
    <w:rsid w:val="000A56C4"/>
    <w:rsid w:val="000A5831"/>
    <w:rsid w:val="000A73DC"/>
    <w:rsid w:val="000B01AC"/>
    <w:rsid w:val="000B0476"/>
    <w:rsid w:val="000B06CF"/>
    <w:rsid w:val="000B0A3C"/>
    <w:rsid w:val="000B111E"/>
    <w:rsid w:val="000B22BC"/>
    <w:rsid w:val="000B3E92"/>
    <w:rsid w:val="000B42B6"/>
    <w:rsid w:val="000B4DEF"/>
    <w:rsid w:val="000C18E9"/>
    <w:rsid w:val="000C29D2"/>
    <w:rsid w:val="000C437E"/>
    <w:rsid w:val="000C60D7"/>
    <w:rsid w:val="000D2D2C"/>
    <w:rsid w:val="000D3665"/>
    <w:rsid w:val="000D42DC"/>
    <w:rsid w:val="000D492E"/>
    <w:rsid w:val="000D5184"/>
    <w:rsid w:val="000D609B"/>
    <w:rsid w:val="000D6EFE"/>
    <w:rsid w:val="000D73F7"/>
    <w:rsid w:val="000E023C"/>
    <w:rsid w:val="000E757B"/>
    <w:rsid w:val="000F0D23"/>
    <w:rsid w:val="000F34DE"/>
    <w:rsid w:val="000F3C79"/>
    <w:rsid w:val="000F3DAC"/>
    <w:rsid w:val="000F64E2"/>
    <w:rsid w:val="000F69EA"/>
    <w:rsid w:val="00100376"/>
    <w:rsid w:val="001003AE"/>
    <w:rsid w:val="00103169"/>
    <w:rsid w:val="00107071"/>
    <w:rsid w:val="00107078"/>
    <w:rsid w:val="00111FC2"/>
    <w:rsid w:val="0011488B"/>
    <w:rsid w:val="001208F3"/>
    <w:rsid w:val="001239B5"/>
    <w:rsid w:val="00131B30"/>
    <w:rsid w:val="00133070"/>
    <w:rsid w:val="00136079"/>
    <w:rsid w:val="001370A2"/>
    <w:rsid w:val="00137549"/>
    <w:rsid w:val="00142F5F"/>
    <w:rsid w:val="00143FAE"/>
    <w:rsid w:val="0014583B"/>
    <w:rsid w:val="001468D7"/>
    <w:rsid w:val="00146A5A"/>
    <w:rsid w:val="00147531"/>
    <w:rsid w:val="00147E74"/>
    <w:rsid w:val="00152D1F"/>
    <w:rsid w:val="001540F7"/>
    <w:rsid w:val="00162F6D"/>
    <w:rsid w:val="0016381B"/>
    <w:rsid w:val="0016383B"/>
    <w:rsid w:val="0016615F"/>
    <w:rsid w:val="00167276"/>
    <w:rsid w:val="001679B5"/>
    <w:rsid w:val="00170E2F"/>
    <w:rsid w:val="001714BE"/>
    <w:rsid w:val="00171C30"/>
    <w:rsid w:val="00173091"/>
    <w:rsid w:val="001759F4"/>
    <w:rsid w:val="001778D6"/>
    <w:rsid w:val="00181A50"/>
    <w:rsid w:val="00181B94"/>
    <w:rsid w:val="00181D90"/>
    <w:rsid w:val="0018484D"/>
    <w:rsid w:val="00185C92"/>
    <w:rsid w:val="00186552"/>
    <w:rsid w:val="001871E9"/>
    <w:rsid w:val="001872AB"/>
    <w:rsid w:val="00187831"/>
    <w:rsid w:val="00187F65"/>
    <w:rsid w:val="00191F3E"/>
    <w:rsid w:val="001931B3"/>
    <w:rsid w:val="0019477F"/>
    <w:rsid w:val="00194D5F"/>
    <w:rsid w:val="00196209"/>
    <w:rsid w:val="001A002D"/>
    <w:rsid w:val="001A12D3"/>
    <w:rsid w:val="001A276A"/>
    <w:rsid w:val="001A2DD0"/>
    <w:rsid w:val="001A50DF"/>
    <w:rsid w:val="001A6B1B"/>
    <w:rsid w:val="001A7C10"/>
    <w:rsid w:val="001B1658"/>
    <w:rsid w:val="001B1CC7"/>
    <w:rsid w:val="001B554A"/>
    <w:rsid w:val="001B6F56"/>
    <w:rsid w:val="001C4195"/>
    <w:rsid w:val="001C54BE"/>
    <w:rsid w:val="001D0BE6"/>
    <w:rsid w:val="001D105E"/>
    <w:rsid w:val="001D1135"/>
    <w:rsid w:val="001D1140"/>
    <w:rsid w:val="001D1C27"/>
    <w:rsid w:val="001D37A5"/>
    <w:rsid w:val="001D3A4F"/>
    <w:rsid w:val="001D5645"/>
    <w:rsid w:val="001D7001"/>
    <w:rsid w:val="001E38E4"/>
    <w:rsid w:val="001E5509"/>
    <w:rsid w:val="001E5F67"/>
    <w:rsid w:val="001E7DBB"/>
    <w:rsid w:val="00200174"/>
    <w:rsid w:val="00200190"/>
    <w:rsid w:val="0020274C"/>
    <w:rsid w:val="002033B6"/>
    <w:rsid w:val="002056D5"/>
    <w:rsid w:val="00205E7D"/>
    <w:rsid w:val="00207508"/>
    <w:rsid w:val="00207ABD"/>
    <w:rsid w:val="00210449"/>
    <w:rsid w:val="002123EB"/>
    <w:rsid w:val="00213031"/>
    <w:rsid w:val="0021374A"/>
    <w:rsid w:val="00213D53"/>
    <w:rsid w:val="00216A5A"/>
    <w:rsid w:val="0022102C"/>
    <w:rsid w:val="00221BA7"/>
    <w:rsid w:val="0022211C"/>
    <w:rsid w:val="00224D4C"/>
    <w:rsid w:val="00224FDD"/>
    <w:rsid w:val="00225747"/>
    <w:rsid w:val="00225ABD"/>
    <w:rsid w:val="00227537"/>
    <w:rsid w:val="00231B13"/>
    <w:rsid w:val="002320B9"/>
    <w:rsid w:val="00237DAC"/>
    <w:rsid w:val="00241B5B"/>
    <w:rsid w:val="00244C97"/>
    <w:rsid w:val="0025157A"/>
    <w:rsid w:val="0025445D"/>
    <w:rsid w:val="00256987"/>
    <w:rsid w:val="002577DF"/>
    <w:rsid w:val="00257B14"/>
    <w:rsid w:val="00257B8E"/>
    <w:rsid w:val="00260808"/>
    <w:rsid w:val="00260ABD"/>
    <w:rsid w:val="00261A45"/>
    <w:rsid w:val="00262967"/>
    <w:rsid w:val="00266254"/>
    <w:rsid w:val="002700E9"/>
    <w:rsid w:val="00272131"/>
    <w:rsid w:val="00273892"/>
    <w:rsid w:val="00276381"/>
    <w:rsid w:val="002808C5"/>
    <w:rsid w:val="002824C5"/>
    <w:rsid w:val="002836F0"/>
    <w:rsid w:val="00286E2B"/>
    <w:rsid w:val="0028757C"/>
    <w:rsid w:val="00287B53"/>
    <w:rsid w:val="002901AE"/>
    <w:rsid w:val="00290E43"/>
    <w:rsid w:val="00292AF0"/>
    <w:rsid w:val="0029495B"/>
    <w:rsid w:val="00294E68"/>
    <w:rsid w:val="00296C56"/>
    <w:rsid w:val="002A02FE"/>
    <w:rsid w:val="002A1A84"/>
    <w:rsid w:val="002A21D8"/>
    <w:rsid w:val="002A246A"/>
    <w:rsid w:val="002A336D"/>
    <w:rsid w:val="002A42AD"/>
    <w:rsid w:val="002A4BE6"/>
    <w:rsid w:val="002A6B68"/>
    <w:rsid w:val="002A7C14"/>
    <w:rsid w:val="002C031C"/>
    <w:rsid w:val="002C0D86"/>
    <w:rsid w:val="002C4CC1"/>
    <w:rsid w:val="002C4F26"/>
    <w:rsid w:val="002C50C0"/>
    <w:rsid w:val="002C721A"/>
    <w:rsid w:val="002D0EAF"/>
    <w:rsid w:val="002D40BB"/>
    <w:rsid w:val="002D7186"/>
    <w:rsid w:val="002E1D02"/>
    <w:rsid w:val="002E237D"/>
    <w:rsid w:val="002E2D86"/>
    <w:rsid w:val="002E3517"/>
    <w:rsid w:val="002E35A2"/>
    <w:rsid w:val="002E3F53"/>
    <w:rsid w:val="002E3FCB"/>
    <w:rsid w:val="002E6A9B"/>
    <w:rsid w:val="002F023D"/>
    <w:rsid w:val="002F0AA9"/>
    <w:rsid w:val="002F2CAD"/>
    <w:rsid w:val="002F3EBF"/>
    <w:rsid w:val="002F4E96"/>
    <w:rsid w:val="002F4F8E"/>
    <w:rsid w:val="0031190C"/>
    <w:rsid w:val="00312017"/>
    <w:rsid w:val="00312814"/>
    <w:rsid w:val="00313076"/>
    <w:rsid w:val="0031495C"/>
    <w:rsid w:val="003158C2"/>
    <w:rsid w:val="00315AE5"/>
    <w:rsid w:val="00315E12"/>
    <w:rsid w:val="00317570"/>
    <w:rsid w:val="00317CDC"/>
    <w:rsid w:val="00320602"/>
    <w:rsid w:val="00320EA4"/>
    <w:rsid w:val="00321239"/>
    <w:rsid w:val="00321998"/>
    <w:rsid w:val="00323B2F"/>
    <w:rsid w:val="003274A4"/>
    <w:rsid w:val="0033287F"/>
    <w:rsid w:val="00332B0B"/>
    <w:rsid w:val="00332EE8"/>
    <w:rsid w:val="00334564"/>
    <w:rsid w:val="00336AC9"/>
    <w:rsid w:val="00336B34"/>
    <w:rsid w:val="003401A4"/>
    <w:rsid w:val="00345AEA"/>
    <w:rsid w:val="0034727B"/>
    <w:rsid w:val="003472A5"/>
    <w:rsid w:val="0034765A"/>
    <w:rsid w:val="00347D06"/>
    <w:rsid w:val="00354B6F"/>
    <w:rsid w:val="00355210"/>
    <w:rsid w:val="00356096"/>
    <w:rsid w:val="00356541"/>
    <w:rsid w:val="00356E0B"/>
    <w:rsid w:val="00357489"/>
    <w:rsid w:val="00360AF0"/>
    <w:rsid w:val="003621E1"/>
    <w:rsid w:val="00362BFC"/>
    <w:rsid w:val="00363982"/>
    <w:rsid w:val="00363DC6"/>
    <w:rsid w:val="00366930"/>
    <w:rsid w:val="003709EC"/>
    <w:rsid w:val="00370D0F"/>
    <w:rsid w:val="00370DAC"/>
    <w:rsid w:val="00372CC4"/>
    <w:rsid w:val="0037543B"/>
    <w:rsid w:val="00375F1D"/>
    <w:rsid w:val="00376DC6"/>
    <w:rsid w:val="00380B8F"/>
    <w:rsid w:val="00381CD3"/>
    <w:rsid w:val="00383F8D"/>
    <w:rsid w:val="003844D2"/>
    <w:rsid w:val="003844F6"/>
    <w:rsid w:val="00391B3F"/>
    <w:rsid w:val="00393FEA"/>
    <w:rsid w:val="003947A5"/>
    <w:rsid w:val="003954E4"/>
    <w:rsid w:val="00395DF7"/>
    <w:rsid w:val="003A11EF"/>
    <w:rsid w:val="003A242E"/>
    <w:rsid w:val="003A2B45"/>
    <w:rsid w:val="003A2FCA"/>
    <w:rsid w:val="003A6080"/>
    <w:rsid w:val="003A655B"/>
    <w:rsid w:val="003A7BE6"/>
    <w:rsid w:val="003B0826"/>
    <w:rsid w:val="003B14FF"/>
    <w:rsid w:val="003B23DE"/>
    <w:rsid w:val="003B27CC"/>
    <w:rsid w:val="003B3367"/>
    <w:rsid w:val="003B4663"/>
    <w:rsid w:val="003B568C"/>
    <w:rsid w:val="003B7238"/>
    <w:rsid w:val="003C1902"/>
    <w:rsid w:val="003C2905"/>
    <w:rsid w:val="003C355F"/>
    <w:rsid w:val="003C39AE"/>
    <w:rsid w:val="003C4595"/>
    <w:rsid w:val="003D13AC"/>
    <w:rsid w:val="003D13B5"/>
    <w:rsid w:val="003D31CA"/>
    <w:rsid w:val="003D4144"/>
    <w:rsid w:val="003D5D2A"/>
    <w:rsid w:val="003D7AF0"/>
    <w:rsid w:val="003E18A4"/>
    <w:rsid w:val="003E24E9"/>
    <w:rsid w:val="003E6C2E"/>
    <w:rsid w:val="003F3315"/>
    <w:rsid w:val="003F44A3"/>
    <w:rsid w:val="003F543E"/>
    <w:rsid w:val="003F6D4F"/>
    <w:rsid w:val="004023E8"/>
    <w:rsid w:val="00404E3C"/>
    <w:rsid w:val="0040529D"/>
    <w:rsid w:val="00406E0B"/>
    <w:rsid w:val="00411C29"/>
    <w:rsid w:val="00415953"/>
    <w:rsid w:val="004166AB"/>
    <w:rsid w:val="0041695F"/>
    <w:rsid w:val="00417E28"/>
    <w:rsid w:val="00421223"/>
    <w:rsid w:val="004214B9"/>
    <w:rsid w:val="0042427E"/>
    <w:rsid w:val="004312B6"/>
    <w:rsid w:val="00432A58"/>
    <w:rsid w:val="00435B21"/>
    <w:rsid w:val="00435F69"/>
    <w:rsid w:val="00436E99"/>
    <w:rsid w:val="00437C1C"/>
    <w:rsid w:val="00440BC5"/>
    <w:rsid w:val="0044153B"/>
    <w:rsid w:val="00446365"/>
    <w:rsid w:val="00446E3B"/>
    <w:rsid w:val="00450ADA"/>
    <w:rsid w:val="004518D8"/>
    <w:rsid w:val="00452F3D"/>
    <w:rsid w:val="00454032"/>
    <w:rsid w:val="0046086B"/>
    <w:rsid w:val="00461E60"/>
    <w:rsid w:val="0046397E"/>
    <w:rsid w:val="00464694"/>
    <w:rsid w:val="00470190"/>
    <w:rsid w:val="00470765"/>
    <w:rsid w:val="00471AC1"/>
    <w:rsid w:val="00472A06"/>
    <w:rsid w:val="00474F4A"/>
    <w:rsid w:val="004822FA"/>
    <w:rsid w:val="00483806"/>
    <w:rsid w:val="004842F0"/>
    <w:rsid w:val="00486461"/>
    <w:rsid w:val="00486BF3"/>
    <w:rsid w:val="00486C2F"/>
    <w:rsid w:val="00487256"/>
    <w:rsid w:val="004873CD"/>
    <w:rsid w:val="00492AAE"/>
    <w:rsid w:val="00493B45"/>
    <w:rsid w:val="00494849"/>
    <w:rsid w:val="00494A52"/>
    <w:rsid w:val="00494E78"/>
    <w:rsid w:val="004957BD"/>
    <w:rsid w:val="0049601E"/>
    <w:rsid w:val="004977DA"/>
    <w:rsid w:val="004A0D8E"/>
    <w:rsid w:val="004A0F90"/>
    <w:rsid w:val="004A1B39"/>
    <w:rsid w:val="004A3229"/>
    <w:rsid w:val="004A3252"/>
    <w:rsid w:val="004A417D"/>
    <w:rsid w:val="004A47A0"/>
    <w:rsid w:val="004A4A3B"/>
    <w:rsid w:val="004A5A0F"/>
    <w:rsid w:val="004B232C"/>
    <w:rsid w:val="004B457D"/>
    <w:rsid w:val="004B535E"/>
    <w:rsid w:val="004C221D"/>
    <w:rsid w:val="004C2308"/>
    <w:rsid w:val="004C28D1"/>
    <w:rsid w:val="004C2EA7"/>
    <w:rsid w:val="004C2FB5"/>
    <w:rsid w:val="004C69CD"/>
    <w:rsid w:val="004D266D"/>
    <w:rsid w:val="004D2DFC"/>
    <w:rsid w:val="004D3837"/>
    <w:rsid w:val="004D3D80"/>
    <w:rsid w:val="004D4247"/>
    <w:rsid w:val="004D4414"/>
    <w:rsid w:val="004D50D9"/>
    <w:rsid w:val="004D55CB"/>
    <w:rsid w:val="004D7B1A"/>
    <w:rsid w:val="004E5E07"/>
    <w:rsid w:val="004E761B"/>
    <w:rsid w:val="004F1056"/>
    <w:rsid w:val="004F368D"/>
    <w:rsid w:val="004F398B"/>
    <w:rsid w:val="004F4DF9"/>
    <w:rsid w:val="004F729B"/>
    <w:rsid w:val="005005FD"/>
    <w:rsid w:val="00500C3E"/>
    <w:rsid w:val="00502D1D"/>
    <w:rsid w:val="0050301F"/>
    <w:rsid w:val="005071C9"/>
    <w:rsid w:val="00507283"/>
    <w:rsid w:val="0051003F"/>
    <w:rsid w:val="00511272"/>
    <w:rsid w:val="005128B5"/>
    <w:rsid w:val="00515034"/>
    <w:rsid w:val="00520C15"/>
    <w:rsid w:val="0052257E"/>
    <w:rsid w:val="00523460"/>
    <w:rsid w:val="00523AF6"/>
    <w:rsid w:val="00525952"/>
    <w:rsid w:val="00532299"/>
    <w:rsid w:val="00532EA4"/>
    <w:rsid w:val="005331D5"/>
    <w:rsid w:val="0053495D"/>
    <w:rsid w:val="00537771"/>
    <w:rsid w:val="005408D0"/>
    <w:rsid w:val="00543D84"/>
    <w:rsid w:val="005466B9"/>
    <w:rsid w:val="00552BF8"/>
    <w:rsid w:val="00552F94"/>
    <w:rsid w:val="00553DFA"/>
    <w:rsid w:val="0055504A"/>
    <w:rsid w:val="0055562A"/>
    <w:rsid w:val="00556F3A"/>
    <w:rsid w:val="005655FB"/>
    <w:rsid w:val="00566647"/>
    <w:rsid w:val="005671FE"/>
    <w:rsid w:val="00567549"/>
    <w:rsid w:val="00567968"/>
    <w:rsid w:val="00570FC7"/>
    <w:rsid w:val="0057267A"/>
    <w:rsid w:val="005738FA"/>
    <w:rsid w:val="005752C7"/>
    <w:rsid w:val="005803F5"/>
    <w:rsid w:val="0058070C"/>
    <w:rsid w:val="00581D1F"/>
    <w:rsid w:val="00585042"/>
    <w:rsid w:val="005872A3"/>
    <w:rsid w:val="00587562"/>
    <w:rsid w:val="00590C22"/>
    <w:rsid w:val="00591E1B"/>
    <w:rsid w:val="00593280"/>
    <w:rsid w:val="005A2F98"/>
    <w:rsid w:val="005A3D86"/>
    <w:rsid w:val="005B09DE"/>
    <w:rsid w:val="005B1887"/>
    <w:rsid w:val="005B2A87"/>
    <w:rsid w:val="005B3B86"/>
    <w:rsid w:val="005B5576"/>
    <w:rsid w:val="005B6E1F"/>
    <w:rsid w:val="005C10DA"/>
    <w:rsid w:val="005C2261"/>
    <w:rsid w:val="005C39B2"/>
    <w:rsid w:val="005C584F"/>
    <w:rsid w:val="005D0582"/>
    <w:rsid w:val="005D0C0F"/>
    <w:rsid w:val="005D10CB"/>
    <w:rsid w:val="005D2ED2"/>
    <w:rsid w:val="005D352D"/>
    <w:rsid w:val="005D648B"/>
    <w:rsid w:val="005E05EC"/>
    <w:rsid w:val="005E0771"/>
    <w:rsid w:val="005E10D3"/>
    <w:rsid w:val="005E359A"/>
    <w:rsid w:val="005E361D"/>
    <w:rsid w:val="005E3AAD"/>
    <w:rsid w:val="005E4AAD"/>
    <w:rsid w:val="005E6960"/>
    <w:rsid w:val="005E756E"/>
    <w:rsid w:val="005F1A04"/>
    <w:rsid w:val="005F2B0F"/>
    <w:rsid w:val="005F361F"/>
    <w:rsid w:val="00600888"/>
    <w:rsid w:val="0060161E"/>
    <w:rsid w:val="006020D5"/>
    <w:rsid w:val="006047E2"/>
    <w:rsid w:val="0060507B"/>
    <w:rsid w:val="00607570"/>
    <w:rsid w:val="00612232"/>
    <w:rsid w:val="00614722"/>
    <w:rsid w:val="00616B5B"/>
    <w:rsid w:val="0062186C"/>
    <w:rsid w:val="00624A54"/>
    <w:rsid w:val="00625C17"/>
    <w:rsid w:val="0063002B"/>
    <w:rsid w:val="00630847"/>
    <w:rsid w:val="00634FB7"/>
    <w:rsid w:val="00635707"/>
    <w:rsid w:val="0063601A"/>
    <w:rsid w:val="006376EF"/>
    <w:rsid w:val="006416AB"/>
    <w:rsid w:val="0064185E"/>
    <w:rsid w:val="00641A2A"/>
    <w:rsid w:val="00642023"/>
    <w:rsid w:val="00644930"/>
    <w:rsid w:val="00644E0B"/>
    <w:rsid w:val="00645232"/>
    <w:rsid w:val="00646657"/>
    <w:rsid w:val="00650EE9"/>
    <w:rsid w:val="00650F00"/>
    <w:rsid w:val="00650F68"/>
    <w:rsid w:val="00651356"/>
    <w:rsid w:val="00652B33"/>
    <w:rsid w:val="0065306D"/>
    <w:rsid w:val="00655034"/>
    <w:rsid w:val="00656004"/>
    <w:rsid w:val="006571A7"/>
    <w:rsid w:val="00660235"/>
    <w:rsid w:val="00661899"/>
    <w:rsid w:val="00661C8E"/>
    <w:rsid w:val="00663765"/>
    <w:rsid w:val="006638CF"/>
    <w:rsid w:val="00665EFA"/>
    <w:rsid w:val="006670A0"/>
    <w:rsid w:val="00670174"/>
    <w:rsid w:val="00670748"/>
    <w:rsid w:val="006738EF"/>
    <w:rsid w:val="00675274"/>
    <w:rsid w:val="00676E89"/>
    <w:rsid w:val="00680D8C"/>
    <w:rsid w:val="0068120E"/>
    <w:rsid w:val="00681FC8"/>
    <w:rsid w:val="00683D52"/>
    <w:rsid w:val="00683DAB"/>
    <w:rsid w:val="00683E48"/>
    <w:rsid w:val="00683EB9"/>
    <w:rsid w:val="00686A1B"/>
    <w:rsid w:val="00686F5C"/>
    <w:rsid w:val="006903EF"/>
    <w:rsid w:val="0069279C"/>
    <w:rsid w:val="00695520"/>
    <w:rsid w:val="006976A1"/>
    <w:rsid w:val="006A02CF"/>
    <w:rsid w:val="006A1A35"/>
    <w:rsid w:val="006A296D"/>
    <w:rsid w:val="006A52C5"/>
    <w:rsid w:val="006B011A"/>
    <w:rsid w:val="006B15FD"/>
    <w:rsid w:val="006B2465"/>
    <w:rsid w:val="006B2A29"/>
    <w:rsid w:val="006B3812"/>
    <w:rsid w:val="006B3B5E"/>
    <w:rsid w:val="006B50EF"/>
    <w:rsid w:val="006B575A"/>
    <w:rsid w:val="006B7FB7"/>
    <w:rsid w:val="006C34C4"/>
    <w:rsid w:val="006C7686"/>
    <w:rsid w:val="006D2D07"/>
    <w:rsid w:val="006D35D4"/>
    <w:rsid w:val="006D3E96"/>
    <w:rsid w:val="006D5DC9"/>
    <w:rsid w:val="006E11BE"/>
    <w:rsid w:val="006E3FD2"/>
    <w:rsid w:val="006E58CC"/>
    <w:rsid w:val="006E6087"/>
    <w:rsid w:val="006E78DD"/>
    <w:rsid w:val="006F074D"/>
    <w:rsid w:val="006F385C"/>
    <w:rsid w:val="006F45AC"/>
    <w:rsid w:val="006F525A"/>
    <w:rsid w:val="00700939"/>
    <w:rsid w:val="00701118"/>
    <w:rsid w:val="0070369A"/>
    <w:rsid w:val="007041FF"/>
    <w:rsid w:val="0070496C"/>
    <w:rsid w:val="00705315"/>
    <w:rsid w:val="00705CD1"/>
    <w:rsid w:val="00707DF8"/>
    <w:rsid w:val="00712602"/>
    <w:rsid w:val="00713DA5"/>
    <w:rsid w:val="007154FF"/>
    <w:rsid w:val="00716A76"/>
    <w:rsid w:val="00717A40"/>
    <w:rsid w:val="00720C2A"/>
    <w:rsid w:val="007234B3"/>
    <w:rsid w:val="00724665"/>
    <w:rsid w:val="007251EB"/>
    <w:rsid w:val="007257DA"/>
    <w:rsid w:val="00726350"/>
    <w:rsid w:val="007270AF"/>
    <w:rsid w:val="00727BFC"/>
    <w:rsid w:val="0073091B"/>
    <w:rsid w:val="00732F21"/>
    <w:rsid w:val="007345DE"/>
    <w:rsid w:val="00737835"/>
    <w:rsid w:val="0074050B"/>
    <w:rsid w:val="0074077A"/>
    <w:rsid w:val="00750669"/>
    <w:rsid w:val="00750A71"/>
    <w:rsid w:val="007515C8"/>
    <w:rsid w:val="00751F84"/>
    <w:rsid w:val="00753314"/>
    <w:rsid w:val="00755B66"/>
    <w:rsid w:val="007566A4"/>
    <w:rsid w:val="00760052"/>
    <w:rsid w:val="007612BA"/>
    <w:rsid w:val="00761B32"/>
    <w:rsid w:val="00761BAA"/>
    <w:rsid w:val="00765461"/>
    <w:rsid w:val="007668D9"/>
    <w:rsid w:val="007705F2"/>
    <w:rsid w:val="00771022"/>
    <w:rsid w:val="0077266B"/>
    <w:rsid w:val="00772BE8"/>
    <w:rsid w:val="00773882"/>
    <w:rsid w:val="00776478"/>
    <w:rsid w:val="00777649"/>
    <w:rsid w:val="00777CCC"/>
    <w:rsid w:val="007809C6"/>
    <w:rsid w:val="007819E8"/>
    <w:rsid w:val="00782912"/>
    <w:rsid w:val="00782BFB"/>
    <w:rsid w:val="00783D49"/>
    <w:rsid w:val="00784AF0"/>
    <w:rsid w:val="007852B5"/>
    <w:rsid w:val="00785E4E"/>
    <w:rsid w:val="00787F23"/>
    <w:rsid w:val="00790246"/>
    <w:rsid w:val="00790F23"/>
    <w:rsid w:val="00793D60"/>
    <w:rsid w:val="007948F0"/>
    <w:rsid w:val="007952F3"/>
    <w:rsid w:val="00795590"/>
    <w:rsid w:val="007956DF"/>
    <w:rsid w:val="007976D4"/>
    <w:rsid w:val="007A0CD7"/>
    <w:rsid w:val="007A3322"/>
    <w:rsid w:val="007A444C"/>
    <w:rsid w:val="007A4544"/>
    <w:rsid w:val="007A60E9"/>
    <w:rsid w:val="007B02D0"/>
    <w:rsid w:val="007B0309"/>
    <w:rsid w:val="007B2539"/>
    <w:rsid w:val="007B3663"/>
    <w:rsid w:val="007B5EDB"/>
    <w:rsid w:val="007C0AEF"/>
    <w:rsid w:val="007C179A"/>
    <w:rsid w:val="007D05F5"/>
    <w:rsid w:val="007D385D"/>
    <w:rsid w:val="007D4941"/>
    <w:rsid w:val="007D4B9E"/>
    <w:rsid w:val="007D4DBB"/>
    <w:rsid w:val="007E085B"/>
    <w:rsid w:val="007E32E2"/>
    <w:rsid w:val="007E3B57"/>
    <w:rsid w:val="007F2C20"/>
    <w:rsid w:val="007F39DA"/>
    <w:rsid w:val="007F5347"/>
    <w:rsid w:val="008009D5"/>
    <w:rsid w:val="00802CEC"/>
    <w:rsid w:val="008034AF"/>
    <w:rsid w:val="008040A6"/>
    <w:rsid w:val="00804FA4"/>
    <w:rsid w:val="0080582F"/>
    <w:rsid w:val="00807D66"/>
    <w:rsid w:val="008119F9"/>
    <w:rsid w:val="0081232A"/>
    <w:rsid w:val="00820901"/>
    <w:rsid w:val="008225FD"/>
    <w:rsid w:val="008232B3"/>
    <w:rsid w:val="0082534C"/>
    <w:rsid w:val="0083407F"/>
    <w:rsid w:val="00834189"/>
    <w:rsid w:val="00835A50"/>
    <w:rsid w:val="00836BB3"/>
    <w:rsid w:val="00841873"/>
    <w:rsid w:val="00841CE4"/>
    <w:rsid w:val="008434D3"/>
    <w:rsid w:val="00843994"/>
    <w:rsid w:val="0084476D"/>
    <w:rsid w:val="0084545D"/>
    <w:rsid w:val="0085148B"/>
    <w:rsid w:val="0085281C"/>
    <w:rsid w:val="0085348B"/>
    <w:rsid w:val="00855DFD"/>
    <w:rsid w:val="008571D2"/>
    <w:rsid w:val="00857940"/>
    <w:rsid w:val="00857AA0"/>
    <w:rsid w:val="00857EB8"/>
    <w:rsid w:val="00862068"/>
    <w:rsid w:val="008634CC"/>
    <w:rsid w:val="00864051"/>
    <w:rsid w:val="00870157"/>
    <w:rsid w:val="00870977"/>
    <w:rsid w:val="008739E7"/>
    <w:rsid w:val="00876D42"/>
    <w:rsid w:val="0087743E"/>
    <w:rsid w:val="00877726"/>
    <w:rsid w:val="00877A25"/>
    <w:rsid w:val="008807B5"/>
    <w:rsid w:val="00882DED"/>
    <w:rsid w:val="00883BC0"/>
    <w:rsid w:val="00885264"/>
    <w:rsid w:val="008853F3"/>
    <w:rsid w:val="008854CC"/>
    <w:rsid w:val="008859EE"/>
    <w:rsid w:val="008860C4"/>
    <w:rsid w:val="008962D2"/>
    <w:rsid w:val="00896F2F"/>
    <w:rsid w:val="00897637"/>
    <w:rsid w:val="008A06E7"/>
    <w:rsid w:val="008A2A04"/>
    <w:rsid w:val="008A345C"/>
    <w:rsid w:val="008A40EB"/>
    <w:rsid w:val="008A59CA"/>
    <w:rsid w:val="008A5B11"/>
    <w:rsid w:val="008A5CFA"/>
    <w:rsid w:val="008B0359"/>
    <w:rsid w:val="008B0987"/>
    <w:rsid w:val="008B1C5C"/>
    <w:rsid w:val="008B2F34"/>
    <w:rsid w:val="008B3D06"/>
    <w:rsid w:val="008B42CD"/>
    <w:rsid w:val="008B4E29"/>
    <w:rsid w:val="008B5969"/>
    <w:rsid w:val="008B7755"/>
    <w:rsid w:val="008C0BA3"/>
    <w:rsid w:val="008C1009"/>
    <w:rsid w:val="008C4176"/>
    <w:rsid w:val="008D03B4"/>
    <w:rsid w:val="008D15FB"/>
    <w:rsid w:val="008D3294"/>
    <w:rsid w:val="008D33CB"/>
    <w:rsid w:val="008D3CC9"/>
    <w:rsid w:val="008E293D"/>
    <w:rsid w:val="008E2A46"/>
    <w:rsid w:val="008E46B3"/>
    <w:rsid w:val="008F3409"/>
    <w:rsid w:val="008F4A45"/>
    <w:rsid w:val="008F536D"/>
    <w:rsid w:val="008F648E"/>
    <w:rsid w:val="008F6CEC"/>
    <w:rsid w:val="008F75CB"/>
    <w:rsid w:val="008F7B4B"/>
    <w:rsid w:val="00906834"/>
    <w:rsid w:val="00906C9C"/>
    <w:rsid w:val="00910C52"/>
    <w:rsid w:val="00912DDD"/>
    <w:rsid w:val="00913866"/>
    <w:rsid w:val="00913FB3"/>
    <w:rsid w:val="009161A6"/>
    <w:rsid w:val="00917DBB"/>
    <w:rsid w:val="00920230"/>
    <w:rsid w:val="009204F2"/>
    <w:rsid w:val="00922476"/>
    <w:rsid w:val="00922F67"/>
    <w:rsid w:val="0093128D"/>
    <w:rsid w:val="00932C41"/>
    <w:rsid w:val="00934E0C"/>
    <w:rsid w:val="00934F67"/>
    <w:rsid w:val="00936BCA"/>
    <w:rsid w:val="00936FEE"/>
    <w:rsid w:val="00940006"/>
    <w:rsid w:val="0094226F"/>
    <w:rsid w:val="00942A70"/>
    <w:rsid w:val="00942AB0"/>
    <w:rsid w:val="009437A8"/>
    <w:rsid w:val="00943B08"/>
    <w:rsid w:val="00943F97"/>
    <w:rsid w:val="0094400C"/>
    <w:rsid w:val="009452A0"/>
    <w:rsid w:val="0094549A"/>
    <w:rsid w:val="00945964"/>
    <w:rsid w:val="00946386"/>
    <w:rsid w:val="0095174F"/>
    <w:rsid w:val="00951773"/>
    <w:rsid w:val="00952118"/>
    <w:rsid w:val="0095302F"/>
    <w:rsid w:val="00953A28"/>
    <w:rsid w:val="00955498"/>
    <w:rsid w:val="009565D1"/>
    <w:rsid w:val="00956AC8"/>
    <w:rsid w:val="00960140"/>
    <w:rsid w:val="00963D7A"/>
    <w:rsid w:val="00965D65"/>
    <w:rsid w:val="00971333"/>
    <w:rsid w:val="00973F35"/>
    <w:rsid w:val="00974A1C"/>
    <w:rsid w:val="00974AD6"/>
    <w:rsid w:val="00980050"/>
    <w:rsid w:val="00980F8F"/>
    <w:rsid w:val="0098386F"/>
    <w:rsid w:val="00986335"/>
    <w:rsid w:val="009876F9"/>
    <w:rsid w:val="00996DAE"/>
    <w:rsid w:val="00997279"/>
    <w:rsid w:val="0099751D"/>
    <w:rsid w:val="009A0DC3"/>
    <w:rsid w:val="009A2B14"/>
    <w:rsid w:val="009A3E69"/>
    <w:rsid w:val="009A3F49"/>
    <w:rsid w:val="009A4261"/>
    <w:rsid w:val="009A46B9"/>
    <w:rsid w:val="009A51AC"/>
    <w:rsid w:val="009A52EC"/>
    <w:rsid w:val="009B301D"/>
    <w:rsid w:val="009B4B74"/>
    <w:rsid w:val="009B5476"/>
    <w:rsid w:val="009B58C1"/>
    <w:rsid w:val="009B6775"/>
    <w:rsid w:val="009B6CBC"/>
    <w:rsid w:val="009C1578"/>
    <w:rsid w:val="009C4A99"/>
    <w:rsid w:val="009C5326"/>
    <w:rsid w:val="009C5EC4"/>
    <w:rsid w:val="009C6713"/>
    <w:rsid w:val="009C68D9"/>
    <w:rsid w:val="009C7B09"/>
    <w:rsid w:val="009D0804"/>
    <w:rsid w:val="009D3DC1"/>
    <w:rsid w:val="009D44A4"/>
    <w:rsid w:val="009D67E4"/>
    <w:rsid w:val="009E0D86"/>
    <w:rsid w:val="009E1596"/>
    <w:rsid w:val="009E5246"/>
    <w:rsid w:val="009E544C"/>
    <w:rsid w:val="009E67D6"/>
    <w:rsid w:val="009E767E"/>
    <w:rsid w:val="009E799F"/>
    <w:rsid w:val="009E7BCD"/>
    <w:rsid w:val="009F1A5F"/>
    <w:rsid w:val="009F2311"/>
    <w:rsid w:val="009F46F2"/>
    <w:rsid w:val="009F4D74"/>
    <w:rsid w:val="00A005F7"/>
    <w:rsid w:val="00A00B22"/>
    <w:rsid w:val="00A05CC0"/>
    <w:rsid w:val="00A05D45"/>
    <w:rsid w:val="00A0766F"/>
    <w:rsid w:val="00A077F9"/>
    <w:rsid w:val="00A113F6"/>
    <w:rsid w:val="00A11C02"/>
    <w:rsid w:val="00A12154"/>
    <w:rsid w:val="00A13ABE"/>
    <w:rsid w:val="00A1479E"/>
    <w:rsid w:val="00A16882"/>
    <w:rsid w:val="00A17671"/>
    <w:rsid w:val="00A177BB"/>
    <w:rsid w:val="00A17ADD"/>
    <w:rsid w:val="00A20934"/>
    <w:rsid w:val="00A2135C"/>
    <w:rsid w:val="00A231C7"/>
    <w:rsid w:val="00A23238"/>
    <w:rsid w:val="00A23AED"/>
    <w:rsid w:val="00A262C5"/>
    <w:rsid w:val="00A32B39"/>
    <w:rsid w:val="00A33B06"/>
    <w:rsid w:val="00A34B48"/>
    <w:rsid w:val="00A359F6"/>
    <w:rsid w:val="00A36B35"/>
    <w:rsid w:val="00A409BC"/>
    <w:rsid w:val="00A42A59"/>
    <w:rsid w:val="00A43176"/>
    <w:rsid w:val="00A43399"/>
    <w:rsid w:val="00A450A3"/>
    <w:rsid w:val="00A4559B"/>
    <w:rsid w:val="00A45C57"/>
    <w:rsid w:val="00A46011"/>
    <w:rsid w:val="00A47B6A"/>
    <w:rsid w:val="00A47B70"/>
    <w:rsid w:val="00A5055E"/>
    <w:rsid w:val="00A5576F"/>
    <w:rsid w:val="00A557A1"/>
    <w:rsid w:val="00A57A29"/>
    <w:rsid w:val="00A60A6D"/>
    <w:rsid w:val="00A610A5"/>
    <w:rsid w:val="00A62DF8"/>
    <w:rsid w:val="00A65657"/>
    <w:rsid w:val="00A67FEA"/>
    <w:rsid w:val="00A70E6C"/>
    <w:rsid w:val="00A71D96"/>
    <w:rsid w:val="00A745F9"/>
    <w:rsid w:val="00A756C3"/>
    <w:rsid w:val="00A770E5"/>
    <w:rsid w:val="00A77432"/>
    <w:rsid w:val="00A8012C"/>
    <w:rsid w:val="00A80AA5"/>
    <w:rsid w:val="00A819EE"/>
    <w:rsid w:val="00A828D9"/>
    <w:rsid w:val="00A83437"/>
    <w:rsid w:val="00A8405A"/>
    <w:rsid w:val="00A85567"/>
    <w:rsid w:val="00A85953"/>
    <w:rsid w:val="00A85B03"/>
    <w:rsid w:val="00A85ED9"/>
    <w:rsid w:val="00A86C39"/>
    <w:rsid w:val="00A86DD9"/>
    <w:rsid w:val="00A95E29"/>
    <w:rsid w:val="00A972F8"/>
    <w:rsid w:val="00AA1891"/>
    <w:rsid w:val="00AA2834"/>
    <w:rsid w:val="00AA4C74"/>
    <w:rsid w:val="00AA4F2E"/>
    <w:rsid w:val="00AA7497"/>
    <w:rsid w:val="00AB0988"/>
    <w:rsid w:val="00AB148F"/>
    <w:rsid w:val="00AB1D4A"/>
    <w:rsid w:val="00AB22A8"/>
    <w:rsid w:val="00AB33B7"/>
    <w:rsid w:val="00AB3976"/>
    <w:rsid w:val="00AB7BFD"/>
    <w:rsid w:val="00AC0BDC"/>
    <w:rsid w:val="00AC128D"/>
    <w:rsid w:val="00AC15C5"/>
    <w:rsid w:val="00AC217E"/>
    <w:rsid w:val="00AC5926"/>
    <w:rsid w:val="00AC5E33"/>
    <w:rsid w:val="00AD0319"/>
    <w:rsid w:val="00AD03BC"/>
    <w:rsid w:val="00AD3410"/>
    <w:rsid w:val="00AD4116"/>
    <w:rsid w:val="00AD4BE5"/>
    <w:rsid w:val="00AD755B"/>
    <w:rsid w:val="00AD7678"/>
    <w:rsid w:val="00AD7891"/>
    <w:rsid w:val="00AE3251"/>
    <w:rsid w:val="00AE50E4"/>
    <w:rsid w:val="00AF1D04"/>
    <w:rsid w:val="00AF1DF1"/>
    <w:rsid w:val="00AF2AC7"/>
    <w:rsid w:val="00AF33FB"/>
    <w:rsid w:val="00AF745F"/>
    <w:rsid w:val="00B00A02"/>
    <w:rsid w:val="00B03269"/>
    <w:rsid w:val="00B05067"/>
    <w:rsid w:val="00B057DD"/>
    <w:rsid w:val="00B07017"/>
    <w:rsid w:val="00B07E3A"/>
    <w:rsid w:val="00B11DD4"/>
    <w:rsid w:val="00B13AD8"/>
    <w:rsid w:val="00B166F5"/>
    <w:rsid w:val="00B17B5D"/>
    <w:rsid w:val="00B20194"/>
    <w:rsid w:val="00B21655"/>
    <w:rsid w:val="00B21F46"/>
    <w:rsid w:val="00B22420"/>
    <w:rsid w:val="00B22AC7"/>
    <w:rsid w:val="00B22DEA"/>
    <w:rsid w:val="00B267B9"/>
    <w:rsid w:val="00B279A4"/>
    <w:rsid w:val="00B30353"/>
    <w:rsid w:val="00B306BF"/>
    <w:rsid w:val="00B31483"/>
    <w:rsid w:val="00B33AB4"/>
    <w:rsid w:val="00B37472"/>
    <w:rsid w:val="00B405BF"/>
    <w:rsid w:val="00B40C81"/>
    <w:rsid w:val="00B465A7"/>
    <w:rsid w:val="00B47862"/>
    <w:rsid w:val="00B52BE1"/>
    <w:rsid w:val="00B557C3"/>
    <w:rsid w:val="00B564CF"/>
    <w:rsid w:val="00B610BE"/>
    <w:rsid w:val="00B61103"/>
    <w:rsid w:val="00B65AE0"/>
    <w:rsid w:val="00B66528"/>
    <w:rsid w:val="00B665FA"/>
    <w:rsid w:val="00B71EBF"/>
    <w:rsid w:val="00B728DC"/>
    <w:rsid w:val="00B73BFC"/>
    <w:rsid w:val="00B74635"/>
    <w:rsid w:val="00B75F21"/>
    <w:rsid w:val="00B763E9"/>
    <w:rsid w:val="00B76F0D"/>
    <w:rsid w:val="00B772CC"/>
    <w:rsid w:val="00B80E22"/>
    <w:rsid w:val="00B81D8A"/>
    <w:rsid w:val="00B82138"/>
    <w:rsid w:val="00B832E6"/>
    <w:rsid w:val="00B83309"/>
    <w:rsid w:val="00B83669"/>
    <w:rsid w:val="00B84847"/>
    <w:rsid w:val="00B87B87"/>
    <w:rsid w:val="00B92201"/>
    <w:rsid w:val="00B93C33"/>
    <w:rsid w:val="00B9709C"/>
    <w:rsid w:val="00BA1CCB"/>
    <w:rsid w:val="00BA261A"/>
    <w:rsid w:val="00BA3B7F"/>
    <w:rsid w:val="00BA6B49"/>
    <w:rsid w:val="00BA715F"/>
    <w:rsid w:val="00BB22AC"/>
    <w:rsid w:val="00BB5D40"/>
    <w:rsid w:val="00BB6525"/>
    <w:rsid w:val="00BC37EF"/>
    <w:rsid w:val="00BC4096"/>
    <w:rsid w:val="00BC6A94"/>
    <w:rsid w:val="00BD10D7"/>
    <w:rsid w:val="00BD47C0"/>
    <w:rsid w:val="00BD5FA3"/>
    <w:rsid w:val="00BD6BD9"/>
    <w:rsid w:val="00BE007E"/>
    <w:rsid w:val="00BE1271"/>
    <w:rsid w:val="00BE12C0"/>
    <w:rsid w:val="00BE3FFF"/>
    <w:rsid w:val="00BE5828"/>
    <w:rsid w:val="00BE6FFF"/>
    <w:rsid w:val="00BE761C"/>
    <w:rsid w:val="00BE7E52"/>
    <w:rsid w:val="00BF0B98"/>
    <w:rsid w:val="00BF15D1"/>
    <w:rsid w:val="00BF4593"/>
    <w:rsid w:val="00BF5DD1"/>
    <w:rsid w:val="00BF6046"/>
    <w:rsid w:val="00BF6B57"/>
    <w:rsid w:val="00BF725B"/>
    <w:rsid w:val="00BF73A7"/>
    <w:rsid w:val="00BF7629"/>
    <w:rsid w:val="00C04722"/>
    <w:rsid w:val="00C07D74"/>
    <w:rsid w:val="00C10841"/>
    <w:rsid w:val="00C1134A"/>
    <w:rsid w:val="00C11CDC"/>
    <w:rsid w:val="00C12E59"/>
    <w:rsid w:val="00C15066"/>
    <w:rsid w:val="00C167AC"/>
    <w:rsid w:val="00C221EC"/>
    <w:rsid w:val="00C230C3"/>
    <w:rsid w:val="00C23464"/>
    <w:rsid w:val="00C238F6"/>
    <w:rsid w:val="00C24697"/>
    <w:rsid w:val="00C24BB2"/>
    <w:rsid w:val="00C25D64"/>
    <w:rsid w:val="00C271BD"/>
    <w:rsid w:val="00C30030"/>
    <w:rsid w:val="00C30339"/>
    <w:rsid w:val="00C30D16"/>
    <w:rsid w:val="00C30E43"/>
    <w:rsid w:val="00C33DE5"/>
    <w:rsid w:val="00C3432C"/>
    <w:rsid w:val="00C37087"/>
    <w:rsid w:val="00C3712A"/>
    <w:rsid w:val="00C4269C"/>
    <w:rsid w:val="00C445DD"/>
    <w:rsid w:val="00C54D30"/>
    <w:rsid w:val="00C558DA"/>
    <w:rsid w:val="00C56B53"/>
    <w:rsid w:val="00C57383"/>
    <w:rsid w:val="00C62AEE"/>
    <w:rsid w:val="00C63038"/>
    <w:rsid w:val="00C639DC"/>
    <w:rsid w:val="00C64184"/>
    <w:rsid w:val="00C64C68"/>
    <w:rsid w:val="00C64F43"/>
    <w:rsid w:val="00C6766B"/>
    <w:rsid w:val="00C676E3"/>
    <w:rsid w:val="00C7130A"/>
    <w:rsid w:val="00C7466B"/>
    <w:rsid w:val="00C7622E"/>
    <w:rsid w:val="00C8043F"/>
    <w:rsid w:val="00C83046"/>
    <w:rsid w:val="00C831A1"/>
    <w:rsid w:val="00C839C9"/>
    <w:rsid w:val="00C848FC"/>
    <w:rsid w:val="00C85777"/>
    <w:rsid w:val="00C85A9D"/>
    <w:rsid w:val="00C85BA7"/>
    <w:rsid w:val="00C864BB"/>
    <w:rsid w:val="00C87157"/>
    <w:rsid w:val="00C900F5"/>
    <w:rsid w:val="00C91820"/>
    <w:rsid w:val="00C92BA0"/>
    <w:rsid w:val="00C92E90"/>
    <w:rsid w:val="00C93A98"/>
    <w:rsid w:val="00C9549F"/>
    <w:rsid w:val="00C97435"/>
    <w:rsid w:val="00C97B23"/>
    <w:rsid w:val="00CA04F5"/>
    <w:rsid w:val="00CA1D65"/>
    <w:rsid w:val="00CA275B"/>
    <w:rsid w:val="00CA2A6E"/>
    <w:rsid w:val="00CA746F"/>
    <w:rsid w:val="00CB7EB8"/>
    <w:rsid w:val="00CC1BFC"/>
    <w:rsid w:val="00CC3D74"/>
    <w:rsid w:val="00CC6409"/>
    <w:rsid w:val="00CC6F3D"/>
    <w:rsid w:val="00CD0698"/>
    <w:rsid w:val="00CD2C07"/>
    <w:rsid w:val="00CD301A"/>
    <w:rsid w:val="00CD71E4"/>
    <w:rsid w:val="00CE002F"/>
    <w:rsid w:val="00CE1AFB"/>
    <w:rsid w:val="00CE4A11"/>
    <w:rsid w:val="00CF2BF0"/>
    <w:rsid w:val="00CF3DD1"/>
    <w:rsid w:val="00CF4184"/>
    <w:rsid w:val="00CF4BC5"/>
    <w:rsid w:val="00CF6F1E"/>
    <w:rsid w:val="00D02AB6"/>
    <w:rsid w:val="00D04C9C"/>
    <w:rsid w:val="00D063CA"/>
    <w:rsid w:val="00D11569"/>
    <w:rsid w:val="00D13B78"/>
    <w:rsid w:val="00D150B6"/>
    <w:rsid w:val="00D15993"/>
    <w:rsid w:val="00D16CDA"/>
    <w:rsid w:val="00D17BBA"/>
    <w:rsid w:val="00D20CD4"/>
    <w:rsid w:val="00D21667"/>
    <w:rsid w:val="00D23C6E"/>
    <w:rsid w:val="00D2534E"/>
    <w:rsid w:val="00D272BE"/>
    <w:rsid w:val="00D33DC1"/>
    <w:rsid w:val="00D34FBC"/>
    <w:rsid w:val="00D360EC"/>
    <w:rsid w:val="00D4065F"/>
    <w:rsid w:val="00D40F9B"/>
    <w:rsid w:val="00D41B30"/>
    <w:rsid w:val="00D436B4"/>
    <w:rsid w:val="00D4418D"/>
    <w:rsid w:val="00D46B4C"/>
    <w:rsid w:val="00D515F0"/>
    <w:rsid w:val="00D51638"/>
    <w:rsid w:val="00D551A5"/>
    <w:rsid w:val="00D55BCF"/>
    <w:rsid w:val="00D563A2"/>
    <w:rsid w:val="00D60990"/>
    <w:rsid w:val="00D62DDB"/>
    <w:rsid w:val="00D631B7"/>
    <w:rsid w:val="00D63928"/>
    <w:rsid w:val="00D646DF"/>
    <w:rsid w:val="00D66A7D"/>
    <w:rsid w:val="00D66D7B"/>
    <w:rsid w:val="00D705F7"/>
    <w:rsid w:val="00D71534"/>
    <w:rsid w:val="00D76A65"/>
    <w:rsid w:val="00D77ACC"/>
    <w:rsid w:val="00D810C4"/>
    <w:rsid w:val="00D8382C"/>
    <w:rsid w:val="00D8635A"/>
    <w:rsid w:val="00D87A72"/>
    <w:rsid w:val="00D87B6E"/>
    <w:rsid w:val="00D9011D"/>
    <w:rsid w:val="00D90D4D"/>
    <w:rsid w:val="00D92729"/>
    <w:rsid w:val="00D93285"/>
    <w:rsid w:val="00D938BB"/>
    <w:rsid w:val="00D93BA0"/>
    <w:rsid w:val="00D94EAE"/>
    <w:rsid w:val="00D95392"/>
    <w:rsid w:val="00D96B27"/>
    <w:rsid w:val="00D97257"/>
    <w:rsid w:val="00DA1150"/>
    <w:rsid w:val="00DA2594"/>
    <w:rsid w:val="00DA53A9"/>
    <w:rsid w:val="00DA596E"/>
    <w:rsid w:val="00DA5A24"/>
    <w:rsid w:val="00DA6B5B"/>
    <w:rsid w:val="00DA6D01"/>
    <w:rsid w:val="00DB1B50"/>
    <w:rsid w:val="00DB2CA0"/>
    <w:rsid w:val="00DB3136"/>
    <w:rsid w:val="00DB3834"/>
    <w:rsid w:val="00DB6455"/>
    <w:rsid w:val="00DB7804"/>
    <w:rsid w:val="00DB7CE0"/>
    <w:rsid w:val="00DC015D"/>
    <w:rsid w:val="00DC0486"/>
    <w:rsid w:val="00DC0768"/>
    <w:rsid w:val="00DC27DA"/>
    <w:rsid w:val="00DC4846"/>
    <w:rsid w:val="00DC4F2C"/>
    <w:rsid w:val="00DC6FCC"/>
    <w:rsid w:val="00DD1237"/>
    <w:rsid w:val="00DD3629"/>
    <w:rsid w:val="00DD3943"/>
    <w:rsid w:val="00DD68E0"/>
    <w:rsid w:val="00DD6A30"/>
    <w:rsid w:val="00DD76C9"/>
    <w:rsid w:val="00DE07DC"/>
    <w:rsid w:val="00DE12B3"/>
    <w:rsid w:val="00DE2B5D"/>
    <w:rsid w:val="00DE33B1"/>
    <w:rsid w:val="00DE5940"/>
    <w:rsid w:val="00DE7398"/>
    <w:rsid w:val="00DE7AE2"/>
    <w:rsid w:val="00DF24C0"/>
    <w:rsid w:val="00DF5412"/>
    <w:rsid w:val="00DF65B9"/>
    <w:rsid w:val="00DF7512"/>
    <w:rsid w:val="00E00B0C"/>
    <w:rsid w:val="00E01938"/>
    <w:rsid w:val="00E02362"/>
    <w:rsid w:val="00E02744"/>
    <w:rsid w:val="00E06933"/>
    <w:rsid w:val="00E06A3F"/>
    <w:rsid w:val="00E06B0A"/>
    <w:rsid w:val="00E10F5E"/>
    <w:rsid w:val="00E11919"/>
    <w:rsid w:val="00E15ADD"/>
    <w:rsid w:val="00E15AF6"/>
    <w:rsid w:val="00E16FF8"/>
    <w:rsid w:val="00E1700C"/>
    <w:rsid w:val="00E17119"/>
    <w:rsid w:val="00E21989"/>
    <w:rsid w:val="00E227AD"/>
    <w:rsid w:val="00E230CB"/>
    <w:rsid w:val="00E24200"/>
    <w:rsid w:val="00E25C10"/>
    <w:rsid w:val="00E3579E"/>
    <w:rsid w:val="00E37A6E"/>
    <w:rsid w:val="00E37E76"/>
    <w:rsid w:val="00E4043B"/>
    <w:rsid w:val="00E42C23"/>
    <w:rsid w:val="00E443F6"/>
    <w:rsid w:val="00E45AB7"/>
    <w:rsid w:val="00E46BCA"/>
    <w:rsid w:val="00E546B3"/>
    <w:rsid w:val="00E553D4"/>
    <w:rsid w:val="00E561F6"/>
    <w:rsid w:val="00E572FA"/>
    <w:rsid w:val="00E62D91"/>
    <w:rsid w:val="00E63392"/>
    <w:rsid w:val="00E64DD7"/>
    <w:rsid w:val="00E656ED"/>
    <w:rsid w:val="00E65AD9"/>
    <w:rsid w:val="00E664FD"/>
    <w:rsid w:val="00E751C0"/>
    <w:rsid w:val="00E76295"/>
    <w:rsid w:val="00E764D8"/>
    <w:rsid w:val="00E77083"/>
    <w:rsid w:val="00E77504"/>
    <w:rsid w:val="00E82805"/>
    <w:rsid w:val="00E8314A"/>
    <w:rsid w:val="00E8505E"/>
    <w:rsid w:val="00E876EA"/>
    <w:rsid w:val="00E876F3"/>
    <w:rsid w:val="00E90CD5"/>
    <w:rsid w:val="00E95476"/>
    <w:rsid w:val="00E97061"/>
    <w:rsid w:val="00EA0726"/>
    <w:rsid w:val="00EA179F"/>
    <w:rsid w:val="00EA20F3"/>
    <w:rsid w:val="00EA4368"/>
    <w:rsid w:val="00EA4E7C"/>
    <w:rsid w:val="00EA70B0"/>
    <w:rsid w:val="00EB153D"/>
    <w:rsid w:val="00EB22CA"/>
    <w:rsid w:val="00EB4FF8"/>
    <w:rsid w:val="00EB5652"/>
    <w:rsid w:val="00EB56F3"/>
    <w:rsid w:val="00EB7D7F"/>
    <w:rsid w:val="00EC380D"/>
    <w:rsid w:val="00EC3991"/>
    <w:rsid w:val="00EC4616"/>
    <w:rsid w:val="00EC5F34"/>
    <w:rsid w:val="00EC785B"/>
    <w:rsid w:val="00ED0A55"/>
    <w:rsid w:val="00ED1250"/>
    <w:rsid w:val="00ED272A"/>
    <w:rsid w:val="00ED2D92"/>
    <w:rsid w:val="00ED2F8E"/>
    <w:rsid w:val="00ED3E37"/>
    <w:rsid w:val="00ED50C0"/>
    <w:rsid w:val="00ED544A"/>
    <w:rsid w:val="00ED55C3"/>
    <w:rsid w:val="00ED6511"/>
    <w:rsid w:val="00ED731F"/>
    <w:rsid w:val="00EE196E"/>
    <w:rsid w:val="00EE1B65"/>
    <w:rsid w:val="00EE2341"/>
    <w:rsid w:val="00EE2555"/>
    <w:rsid w:val="00EE372B"/>
    <w:rsid w:val="00EE391D"/>
    <w:rsid w:val="00EE4C66"/>
    <w:rsid w:val="00EE522B"/>
    <w:rsid w:val="00EE5EEA"/>
    <w:rsid w:val="00EE76BA"/>
    <w:rsid w:val="00EF0A1B"/>
    <w:rsid w:val="00EF48D3"/>
    <w:rsid w:val="00F02FC9"/>
    <w:rsid w:val="00F031D5"/>
    <w:rsid w:val="00F03274"/>
    <w:rsid w:val="00F033A4"/>
    <w:rsid w:val="00F04A3B"/>
    <w:rsid w:val="00F04C14"/>
    <w:rsid w:val="00F064B7"/>
    <w:rsid w:val="00F10479"/>
    <w:rsid w:val="00F12394"/>
    <w:rsid w:val="00F12D51"/>
    <w:rsid w:val="00F12F7B"/>
    <w:rsid w:val="00F133BD"/>
    <w:rsid w:val="00F147FF"/>
    <w:rsid w:val="00F1545E"/>
    <w:rsid w:val="00F17419"/>
    <w:rsid w:val="00F20DA2"/>
    <w:rsid w:val="00F234CF"/>
    <w:rsid w:val="00F235B9"/>
    <w:rsid w:val="00F24CD5"/>
    <w:rsid w:val="00F24D59"/>
    <w:rsid w:val="00F26674"/>
    <w:rsid w:val="00F27086"/>
    <w:rsid w:val="00F31915"/>
    <w:rsid w:val="00F33DE5"/>
    <w:rsid w:val="00F36490"/>
    <w:rsid w:val="00F41254"/>
    <w:rsid w:val="00F42649"/>
    <w:rsid w:val="00F45B5E"/>
    <w:rsid w:val="00F45DBF"/>
    <w:rsid w:val="00F46547"/>
    <w:rsid w:val="00F479B0"/>
    <w:rsid w:val="00F500AB"/>
    <w:rsid w:val="00F50F3F"/>
    <w:rsid w:val="00F52AF1"/>
    <w:rsid w:val="00F560F5"/>
    <w:rsid w:val="00F600B7"/>
    <w:rsid w:val="00F613EA"/>
    <w:rsid w:val="00F631CE"/>
    <w:rsid w:val="00F64336"/>
    <w:rsid w:val="00F66508"/>
    <w:rsid w:val="00F66CE6"/>
    <w:rsid w:val="00F7017F"/>
    <w:rsid w:val="00F714F7"/>
    <w:rsid w:val="00F72959"/>
    <w:rsid w:val="00F74585"/>
    <w:rsid w:val="00F75AC9"/>
    <w:rsid w:val="00F77DE0"/>
    <w:rsid w:val="00F804A9"/>
    <w:rsid w:val="00F80709"/>
    <w:rsid w:val="00F81B98"/>
    <w:rsid w:val="00F823E0"/>
    <w:rsid w:val="00F82A06"/>
    <w:rsid w:val="00F83C44"/>
    <w:rsid w:val="00F8752F"/>
    <w:rsid w:val="00F915EE"/>
    <w:rsid w:val="00F92F89"/>
    <w:rsid w:val="00F93418"/>
    <w:rsid w:val="00F934AF"/>
    <w:rsid w:val="00F94A0C"/>
    <w:rsid w:val="00F95048"/>
    <w:rsid w:val="00F955CD"/>
    <w:rsid w:val="00F955FC"/>
    <w:rsid w:val="00F97229"/>
    <w:rsid w:val="00FA2314"/>
    <w:rsid w:val="00FA2ECA"/>
    <w:rsid w:val="00FA5E93"/>
    <w:rsid w:val="00FA68B0"/>
    <w:rsid w:val="00FA7911"/>
    <w:rsid w:val="00FB10CF"/>
    <w:rsid w:val="00FB118F"/>
    <w:rsid w:val="00FB17E4"/>
    <w:rsid w:val="00FB1A14"/>
    <w:rsid w:val="00FB201C"/>
    <w:rsid w:val="00FB3AFA"/>
    <w:rsid w:val="00FB3B62"/>
    <w:rsid w:val="00FB4787"/>
    <w:rsid w:val="00FB58C8"/>
    <w:rsid w:val="00FC0841"/>
    <w:rsid w:val="00FC1EA0"/>
    <w:rsid w:val="00FC2F55"/>
    <w:rsid w:val="00FC60A3"/>
    <w:rsid w:val="00FD038F"/>
    <w:rsid w:val="00FE2EAB"/>
    <w:rsid w:val="00FE69D4"/>
    <w:rsid w:val="00FE6D24"/>
    <w:rsid w:val="00FE7DA5"/>
    <w:rsid w:val="00FF11D0"/>
    <w:rsid w:val="00FF33C4"/>
    <w:rsid w:val="00FF62AC"/>
    <w:rsid w:val="00FF762B"/>
    <w:rsid w:val="00FF7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D2B6C"/>
  <w15:docId w15:val="{34CB9CD1-4617-435F-91F4-48BF7CC7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99" w:unhideWhenUsed="1"/>
    <w:lsdException w:name="Table List 5" w:semiHidden="1" w:uiPriority="99"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0659B0"/>
    <w:pPr>
      <w:spacing w:after="0" w:line="240" w:lineRule="auto"/>
      <w:jc w:val="both"/>
    </w:pPr>
    <w:rPr>
      <w:rFonts w:eastAsia="Times New Roman" w:cs="Times New Roman"/>
      <w:sz w:val="22"/>
      <w:szCs w:val="24"/>
    </w:rPr>
  </w:style>
  <w:style w:type="paragraph" w:styleId="Heading1">
    <w:name w:val="heading 1"/>
    <w:basedOn w:val="Normal"/>
    <w:next w:val="Normal"/>
    <w:link w:val="Heading1Char"/>
    <w:qFormat/>
    <w:rsid w:val="00F031D5"/>
    <w:pPr>
      <w:keepNext/>
      <w:keepLines/>
      <w:spacing w:before="240" w:line="276" w:lineRule="auto"/>
      <w:outlineLvl w:val="0"/>
    </w:pPr>
    <w:rPr>
      <w:rFonts w:ascii="Cambria" w:eastAsiaTheme="majorEastAsia" w:hAnsi="Cambria" w:cstheme="majorBidi"/>
      <w:b/>
      <w:color w:val="365F91" w:themeColor="accent1" w:themeShade="BF"/>
      <w:sz w:val="28"/>
      <w:szCs w:val="32"/>
      <w:lang w:val="en-GB"/>
    </w:rPr>
  </w:style>
  <w:style w:type="paragraph" w:styleId="Heading2">
    <w:name w:val="heading 2"/>
    <w:basedOn w:val="Heading1"/>
    <w:next w:val="Normal"/>
    <w:link w:val="Heading2Char"/>
    <w:unhideWhenUsed/>
    <w:qFormat/>
    <w:rsid w:val="007612BA"/>
    <w:pPr>
      <w:jc w:val="left"/>
      <w:outlineLvl w:val="1"/>
    </w:pPr>
    <w:rPr>
      <w:sz w:val="24"/>
      <w:szCs w:val="24"/>
    </w:rPr>
  </w:style>
  <w:style w:type="paragraph" w:styleId="Heading3">
    <w:name w:val="heading 3"/>
    <w:basedOn w:val="Normal"/>
    <w:next w:val="Normal"/>
    <w:link w:val="Heading3Char"/>
    <w:unhideWhenUsed/>
    <w:qFormat/>
    <w:rsid w:val="00F031D5"/>
    <w:pPr>
      <w:keepNext/>
      <w:keepLines/>
      <w:spacing w:before="40" w:line="276" w:lineRule="auto"/>
      <w:outlineLvl w:val="2"/>
    </w:pPr>
    <w:rPr>
      <w:rFonts w:asciiTheme="majorHAnsi" w:eastAsiaTheme="majorEastAsia" w:hAnsiTheme="majorHAnsi" w:cstheme="majorBidi"/>
      <w:b/>
      <w:color w:val="243F60" w:themeColor="accent1" w:themeShade="7F"/>
      <w:lang w:val="en-GB"/>
    </w:rPr>
  </w:style>
  <w:style w:type="paragraph" w:styleId="Heading4">
    <w:name w:val="heading 4"/>
    <w:basedOn w:val="Normal"/>
    <w:next w:val="Normal"/>
    <w:link w:val="Heading4Char"/>
    <w:unhideWhenUsed/>
    <w:qFormat/>
    <w:rsid w:val="000470C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5100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1003F"/>
    <w:pPr>
      <w:tabs>
        <w:tab w:val="num" w:pos="1152"/>
      </w:tabs>
      <w:spacing w:before="240" w:after="60"/>
      <w:ind w:left="1152" w:hanging="1152"/>
      <w:jc w:val="left"/>
      <w:outlineLvl w:val="5"/>
    </w:pPr>
    <w:rPr>
      <w:rFonts w:ascii="Arial" w:hAnsi="Arial"/>
      <w:b/>
      <w:bCs/>
      <w:color w:val="003366"/>
      <w:szCs w:val="22"/>
    </w:rPr>
  </w:style>
  <w:style w:type="paragraph" w:styleId="Heading7">
    <w:name w:val="heading 7"/>
    <w:basedOn w:val="Normal"/>
    <w:next w:val="Normal"/>
    <w:link w:val="Heading7Char"/>
    <w:qFormat/>
    <w:rsid w:val="0051003F"/>
    <w:pPr>
      <w:keepNext/>
      <w:tabs>
        <w:tab w:val="num" w:pos="1296"/>
      </w:tabs>
      <w:ind w:left="1296" w:hanging="1296"/>
      <w:jc w:val="left"/>
      <w:outlineLvl w:val="6"/>
    </w:pPr>
    <w:rPr>
      <w:rFonts w:ascii="Arial" w:hAnsi="Arial" w:cs="Arial"/>
      <w:i/>
      <w:iCs/>
      <w:color w:val="003366"/>
      <w:sz w:val="24"/>
    </w:rPr>
  </w:style>
  <w:style w:type="paragraph" w:styleId="Heading8">
    <w:name w:val="heading 8"/>
    <w:basedOn w:val="Normal"/>
    <w:next w:val="Normal"/>
    <w:link w:val="Heading8Char"/>
    <w:qFormat/>
    <w:rsid w:val="0051003F"/>
    <w:pPr>
      <w:keepNext/>
      <w:tabs>
        <w:tab w:val="num" w:pos="1440"/>
      </w:tabs>
      <w:ind w:left="1440" w:hanging="1440"/>
      <w:jc w:val="left"/>
      <w:outlineLvl w:val="7"/>
    </w:pPr>
    <w:rPr>
      <w:rFonts w:ascii="Arial" w:hAnsi="Arial"/>
      <w:b/>
      <w:color w:val="003366"/>
      <w:lang w:val="en-ZA"/>
    </w:rPr>
  </w:style>
  <w:style w:type="paragraph" w:styleId="Heading9">
    <w:name w:val="heading 9"/>
    <w:basedOn w:val="Normal"/>
    <w:next w:val="Normal"/>
    <w:link w:val="Heading9Char"/>
    <w:qFormat/>
    <w:rsid w:val="0051003F"/>
    <w:pPr>
      <w:tabs>
        <w:tab w:val="num" w:pos="1584"/>
      </w:tabs>
      <w:spacing w:before="240" w:after="60"/>
      <w:ind w:left="1584" w:hanging="1584"/>
      <w:jc w:val="left"/>
      <w:outlineLvl w:val="8"/>
    </w:pPr>
    <w:rPr>
      <w:rFonts w:ascii="Arial" w:hAnsi="Arial" w:cs="Arial"/>
      <w:color w:val="00336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A21D8"/>
    <w:rPr>
      <w:rFonts w:ascii="Tahoma" w:hAnsi="Tahoma" w:cs="Tahoma"/>
      <w:sz w:val="16"/>
      <w:szCs w:val="16"/>
    </w:rPr>
  </w:style>
  <w:style w:type="character" w:customStyle="1" w:styleId="BalloonTextChar">
    <w:name w:val="Balloon Text Char"/>
    <w:basedOn w:val="DefaultParagraphFont"/>
    <w:link w:val="BalloonText"/>
    <w:uiPriority w:val="99"/>
    <w:semiHidden/>
    <w:rsid w:val="002A21D8"/>
    <w:rPr>
      <w:rFonts w:ascii="Tahoma" w:hAnsi="Tahoma" w:cs="Tahoma"/>
      <w:sz w:val="16"/>
      <w:szCs w:val="16"/>
    </w:rPr>
  </w:style>
  <w:style w:type="table" w:styleId="TableGrid">
    <w:name w:val="Table Grid"/>
    <w:basedOn w:val="TableNormal"/>
    <w:uiPriority w:val="59"/>
    <w:rsid w:val="00395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3954E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494A52"/>
    <w:rPr>
      <w:color w:val="0000FF" w:themeColor="hyperlink"/>
      <w:u w:val="single"/>
    </w:rPr>
  </w:style>
  <w:style w:type="paragraph" w:styleId="Header">
    <w:name w:val="header"/>
    <w:basedOn w:val="Normal"/>
    <w:link w:val="HeaderChar"/>
    <w:uiPriority w:val="99"/>
    <w:unhideWhenUsed/>
    <w:rsid w:val="00F03274"/>
    <w:pPr>
      <w:tabs>
        <w:tab w:val="center" w:pos="4680"/>
        <w:tab w:val="right" w:pos="9360"/>
      </w:tabs>
    </w:pPr>
  </w:style>
  <w:style w:type="character" w:customStyle="1" w:styleId="HeaderChar">
    <w:name w:val="Header Char"/>
    <w:basedOn w:val="DefaultParagraphFont"/>
    <w:link w:val="Header"/>
    <w:uiPriority w:val="99"/>
    <w:rsid w:val="00F03274"/>
    <w:rPr>
      <w:rFonts w:ascii="Times New Roman" w:eastAsia="Times New Roman" w:hAnsi="Times New Roman" w:cs="Times New Roman"/>
      <w:szCs w:val="24"/>
    </w:rPr>
  </w:style>
  <w:style w:type="paragraph" w:styleId="Footer">
    <w:name w:val="footer"/>
    <w:basedOn w:val="Normal"/>
    <w:link w:val="FooterChar"/>
    <w:uiPriority w:val="99"/>
    <w:unhideWhenUsed/>
    <w:rsid w:val="00F03274"/>
    <w:pPr>
      <w:tabs>
        <w:tab w:val="center" w:pos="4680"/>
        <w:tab w:val="right" w:pos="9360"/>
      </w:tabs>
    </w:pPr>
  </w:style>
  <w:style w:type="character" w:customStyle="1" w:styleId="FooterChar">
    <w:name w:val="Footer Char"/>
    <w:basedOn w:val="DefaultParagraphFont"/>
    <w:link w:val="Footer"/>
    <w:uiPriority w:val="99"/>
    <w:rsid w:val="00F03274"/>
    <w:rPr>
      <w:rFonts w:ascii="Times New Roman" w:eastAsia="Times New Roman" w:hAnsi="Times New Roman" w:cs="Times New Roman"/>
      <w:szCs w:val="24"/>
    </w:rPr>
  </w:style>
  <w:style w:type="table" w:customStyle="1" w:styleId="MediumShading1-Accent11">
    <w:name w:val="Medium Shading 1 - Accent 11"/>
    <w:basedOn w:val="TableNormal"/>
    <w:uiPriority w:val="63"/>
    <w:rsid w:val="00187F6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1003A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
    <w:name w:val="Light Shading1"/>
    <w:basedOn w:val="TableNormal"/>
    <w:uiPriority w:val="60"/>
    <w:rsid w:val="009161A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aintxt">
    <w:name w:val="maintxt"/>
    <w:basedOn w:val="DefaultParagraphFont"/>
    <w:rsid w:val="0094400C"/>
  </w:style>
  <w:style w:type="paragraph" w:styleId="NormalWeb">
    <w:name w:val="Normal (Web)"/>
    <w:basedOn w:val="Normal"/>
    <w:unhideWhenUsed/>
    <w:rsid w:val="00500C3E"/>
    <w:pPr>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rsid w:val="00E02744"/>
    <w:rPr>
      <w:sz w:val="16"/>
      <w:szCs w:val="16"/>
    </w:rPr>
  </w:style>
  <w:style w:type="paragraph" w:styleId="CommentText">
    <w:name w:val="annotation text"/>
    <w:basedOn w:val="Normal"/>
    <w:link w:val="CommentTextChar"/>
    <w:uiPriority w:val="99"/>
    <w:unhideWhenUsed/>
    <w:rsid w:val="00E02744"/>
    <w:rPr>
      <w:sz w:val="20"/>
      <w:szCs w:val="20"/>
    </w:rPr>
  </w:style>
  <w:style w:type="character" w:customStyle="1" w:styleId="CommentTextChar">
    <w:name w:val="Comment Text Char"/>
    <w:basedOn w:val="DefaultParagraphFont"/>
    <w:link w:val="CommentText"/>
    <w:uiPriority w:val="99"/>
    <w:rsid w:val="00E027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E02744"/>
    <w:rPr>
      <w:b/>
      <w:bCs/>
    </w:rPr>
  </w:style>
  <w:style w:type="character" w:customStyle="1" w:styleId="CommentSubjectChar">
    <w:name w:val="Comment Subject Char"/>
    <w:basedOn w:val="CommentTextChar"/>
    <w:link w:val="CommentSubject"/>
    <w:uiPriority w:val="99"/>
    <w:semiHidden/>
    <w:rsid w:val="00E02744"/>
    <w:rPr>
      <w:rFonts w:ascii="Times New Roman" w:eastAsia="Times New Roman" w:hAnsi="Times New Roman" w:cs="Times New Roman"/>
      <w:b/>
      <w:bCs/>
      <w:sz w:val="20"/>
      <w:szCs w:val="20"/>
    </w:rPr>
  </w:style>
  <w:style w:type="paragraph" w:styleId="Revision">
    <w:name w:val="Revision"/>
    <w:hidden/>
    <w:uiPriority w:val="99"/>
    <w:semiHidden/>
    <w:rsid w:val="00224D4C"/>
    <w:pPr>
      <w:spacing w:after="0" w:line="240" w:lineRule="auto"/>
    </w:pPr>
    <w:rPr>
      <w:rFonts w:ascii="Times New Roman" w:eastAsia="Times New Roman" w:hAnsi="Times New Roman" w:cs="Times New Roman"/>
      <w:szCs w:val="24"/>
    </w:rPr>
  </w:style>
  <w:style w:type="paragraph" w:styleId="DocumentMap">
    <w:name w:val="Document Map"/>
    <w:basedOn w:val="Normal"/>
    <w:link w:val="DocumentMapChar"/>
    <w:semiHidden/>
    <w:unhideWhenUsed/>
    <w:rsid w:val="009B6CBC"/>
    <w:rPr>
      <w:rFonts w:ascii="Lucida Grande" w:hAnsi="Lucida Grande" w:cs="Lucida Grande"/>
    </w:rPr>
  </w:style>
  <w:style w:type="character" w:customStyle="1" w:styleId="DocumentMapChar">
    <w:name w:val="Document Map Char"/>
    <w:basedOn w:val="DefaultParagraphFont"/>
    <w:link w:val="DocumentMap"/>
    <w:uiPriority w:val="99"/>
    <w:semiHidden/>
    <w:rsid w:val="009B6CBC"/>
    <w:rPr>
      <w:rFonts w:ascii="Lucida Grande" w:eastAsia="Times New Roman" w:hAnsi="Lucida Grande" w:cs="Lucida Grande"/>
      <w:szCs w:val="24"/>
    </w:rPr>
  </w:style>
  <w:style w:type="character" w:customStyle="1" w:styleId="Heading1Char">
    <w:name w:val="Heading 1 Char"/>
    <w:basedOn w:val="DefaultParagraphFont"/>
    <w:link w:val="Heading1"/>
    <w:rsid w:val="00F031D5"/>
    <w:rPr>
      <w:rFonts w:ascii="Cambria" w:eastAsiaTheme="majorEastAsia" w:hAnsi="Cambria" w:cstheme="majorBidi"/>
      <w:b/>
      <w:color w:val="365F91" w:themeColor="accent1" w:themeShade="BF"/>
      <w:sz w:val="28"/>
      <w:szCs w:val="32"/>
      <w:lang w:val="en-GB"/>
    </w:rPr>
  </w:style>
  <w:style w:type="character" w:customStyle="1" w:styleId="Heading2Char">
    <w:name w:val="Heading 2 Char"/>
    <w:basedOn w:val="DefaultParagraphFont"/>
    <w:link w:val="Heading2"/>
    <w:rsid w:val="007612BA"/>
    <w:rPr>
      <w:rFonts w:ascii="Cambria" w:eastAsiaTheme="majorEastAsia" w:hAnsi="Cambria" w:cstheme="majorBidi"/>
      <w:b/>
      <w:color w:val="365F91" w:themeColor="accent1" w:themeShade="BF"/>
      <w:szCs w:val="24"/>
      <w:lang w:val="en-GB"/>
    </w:rPr>
  </w:style>
  <w:style w:type="character" w:customStyle="1" w:styleId="Heading3Char">
    <w:name w:val="Heading 3 Char"/>
    <w:basedOn w:val="DefaultParagraphFont"/>
    <w:link w:val="Heading3"/>
    <w:rsid w:val="00F031D5"/>
    <w:rPr>
      <w:rFonts w:asciiTheme="majorHAnsi" w:eastAsiaTheme="majorEastAsia" w:hAnsiTheme="majorHAnsi" w:cstheme="majorBidi"/>
      <w:b/>
      <w:color w:val="243F60" w:themeColor="accent1" w:themeShade="7F"/>
      <w:sz w:val="22"/>
      <w:szCs w:val="24"/>
      <w:lang w:val="en-GB"/>
    </w:rPr>
  </w:style>
  <w:style w:type="paragraph" w:styleId="TOCHeading">
    <w:name w:val="TOC Heading"/>
    <w:basedOn w:val="Heading1"/>
    <w:next w:val="Normal"/>
    <w:uiPriority w:val="39"/>
    <w:unhideWhenUsed/>
    <w:qFormat/>
    <w:rsid w:val="00F031D5"/>
    <w:pPr>
      <w:spacing w:line="259" w:lineRule="auto"/>
      <w:outlineLvl w:val="9"/>
    </w:pPr>
    <w:rPr>
      <w:lang w:val="en-US"/>
    </w:rPr>
  </w:style>
  <w:style w:type="paragraph" w:styleId="TOC1">
    <w:name w:val="toc 1"/>
    <w:basedOn w:val="Normal"/>
    <w:next w:val="Normal"/>
    <w:autoRedefine/>
    <w:uiPriority w:val="39"/>
    <w:unhideWhenUsed/>
    <w:rsid w:val="00FA2314"/>
    <w:pPr>
      <w:tabs>
        <w:tab w:val="right" w:leader="dot" w:pos="9016"/>
      </w:tabs>
      <w:spacing w:after="100" w:line="276" w:lineRule="auto"/>
    </w:pPr>
    <w:rPr>
      <w:rFonts w:eastAsiaTheme="minorHAnsi" w:cstheme="minorBidi"/>
      <w:szCs w:val="22"/>
      <w:lang w:val="en-GB"/>
    </w:rPr>
  </w:style>
  <w:style w:type="paragraph" w:styleId="TOC2">
    <w:name w:val="toc 2"/>
    <w:basedOn w:val="Normal"/>
    <w:next w:val="Normal"/>
    <w:autoRedefine/>
    <w:uiPriority w:val="39"/>
    <w:unhideWhenUsed/>
    <w:rsid w:val="00FA2314"/>
    <w:pPr>
      <w:tabs>
        <w:tab w:val="right" w:leader="dot" w:pos="9016"/>
      </w:tabs>
      <w:spacing w:after="100" w:line="276" w:lineRule="auto"/>
      <w:ind w:left="720"/>
    </w:pPr>
    <w:rPr>
      <w:rFonts w:eastAsiaTheme="minorHAnsi" w:cstheme="minorBidi"/>
      <w:szCs w:val="22"/>
      <w:lang w:val="en-GB"/>
    </w:rPr>
  </w:style>
  <w:style w:type="paragraph" w:customStyle="1" w:styleId="Default">
    <w:name w:val="Default"/>
    <w:rsid w:val="00F031D5"/>
    <w:pPr>
      <w:autoSpaceDE w:val="0"/>
      <w:autoSpaceDN w:val="0"/>
      <w:adjustRightInd w:val="0"/>
      <w:spacing w:after="0" w:line="240" w:lineRule="auto"/>
    </w:pPr>
    <w:rPr>
      <w:rFonts w:ascii="Cambria" w:hAnsi="Cambria" w:cs="Cambria"/>
      <w:color w:val="000000"/>
      <w:szCs w:val="24"/>
      <w:lang w:val="en-GB"/>
    </w:rPr>
  </w:style>
  <w:style w:type="paragraph" w:styleId="TOC3">
    <w:name w:val="toc 3"/>
    <w:basedOn w:val="Normal"/>
    <w:next w:val="Normal"/>
    <w:autoRedefine/>
    <w:unhideWhenUsed/>
    <w:rsid w:val="00F031D5"/>
    <w:pPr>
      <w:spacing w:after="100" w:line="276" w:lineRule="auto"/>
      <w:ind w:left="440"/>
    </w:pPr>
    <w:rPr>
      <w:rFonts w:eastAsiaTheme="minorHAnsi" w:cstheme="minorBidi"/>
      <w:szCs w:val="22"/>
      <w:lang w:val="en-GB"/>
    </w:rPr>
  </w:style>
  <w:style w:type="paragraph" w:styleId="ListParagraph">
    <w:name w:val="List Paragraph"/>
    <w:basedOn w:val="Normal"/>
    <w:uiPriority w:val="34"/>
    <w:qFormat/>
    <w:rsid w:val="00F031D5"/>
    <w:pPr>
      <w:spacing w:after="200" w:line="276" w:lineRule="auto"/>
      <w:ind w:left="720"/>
      <w:contextualSpacing/>
    </w:pPr>
    <w:rPr>
      <w:rFonts w:eastAsiaTheme="minorHAnsi" w:cstheme="minorBidi"/>
      <w:szCs w:val="22"/>
      <w:lang w:val="en-GB"/>
    </w:rPr>
  </w:style>
  <w:style w:type="character" w:customStyle="1" w:styleId="Heading4Char">
    <w:name w:val="Heading 4 Char"/>
    <w:basedOn w:val="DefaultParagraphFont"/>
    <w:link w:val="Heading4"/>
    <w:uiPriority w:val="9"/>
    <w:rsid w:val="000470CC"/>
    <w:rPr>
      <w:rFonts w:asciiTheme="majorHAnsi" w:eastAsiaTheme="majorEastAsia" w:hAnsiTheme="majorHAnsi" w:cstheme="majorBidi"/>
      <w:i/>
      <w:iCs/>
      <w:color w:val="365F91" w:themeColor="accent1" w:themeShade="BF"/>
      <w:sz w:val="22"/>
      <w:szCs w:val="24"/>
    </w:rPr>
  </w:style>
  <w:style w:type="paragraph" w:customStyle="1" w:styleId="EndNoteBibliography">
    <w:name w:val="EndNote Bibliography"/>
    <w:basedOn w:val="Normal"/>
    <w:link w:val="EndNoteBibliographyChar"/>
    <w:rsid w:val="00F955CD"/>
    <w:pPr>
      <w:jc w:val="left"/>
    </w:pPr>
    <w:rPr>
      <w:rFonts w:ascii="Times New Roman" w:eastAsiaTheme="minorEastAsia" w:hAnsi="Times New Roman"/>
      <w:noProof/>
      <w:sz w:val="24"/>
      <w:lang w:val="en-GB"/>
    </w:rPr>
  </w:style>
  <w:style w:type="character" w:customStyle="1" w:styleId="EndNoteBibliographyChar">
    <w:name w:val="EndNote Bibliography Char"/>
    <w:basedOn w:val="DefaultParagraphFont"/>
    <w:link w:val="EndNoteBibliography"/>
    <w:rsid w:val="00F955CD"/>
    <w:rPr>
      <w:rFonts w:ascii="Times New Roman" w:eastAsiaTheme="minorEastAsia" w:hAnsi="Times New Roman" w:cs="Times New Roman"/>
      <w:noProof/>
      <w:szCs w:val="24"/>
      <w:lang w:val="en-GB"/>
    </w:rPr>
  </w:style>
  <w:style w:type="paragraph" w:styleId="FootnoteText">
    <w:name w:val="footnote text"/>
    <w:basedOn w:val="Normal"/>
    <w:link w:val="FootnoteTextChar"/>
    <w:unhideWhenUsed/>
    <w:rsid w:val="00EA20F3"/>
    <w:pPr>
      <w:jc w:val="left"/>
    </w:pPr>
    <w:rPr>
      <w:rFonts w:eastAsiaTheme="minorEastAsia" w:cstheme="minorBidi"/>
      <w:sz w:val="20"/>
      <w:szCs w:val="20"/>
    </w:rPr>
  </w:style>
  <w:style w:type="character" w:customStyle="1" w:styleId="FootnoteTextChar">
    <w:name w:val="Footnote Text Char"/>
    <w:basedOn w:val="DefaultParagraphFont"/>
    <w:link w:val="FootnoteText"/>
    <w:uiPriority w:val="99"/>
    <w:rsid w:val="00EA20F3"/>
    <w:rPr>
      <w:rFonts w:eastAsiaTheme="minorEastAsia"/>
      <w:sz w:val="20"/>
      <w:szCs w:val="20"/>
    </w:rPr>
  </w:style>
  <w:style w:type="character" w:styleId="FootnoteReference">
    <w:name w:val="footnote reference"/>
    <w:basedOn w:val="DefaultParagraphFont"/>
    <w:uiPriority w:val="99"/>
    <w:semiHidden/>
    <w:unhideWhenUsed/>
    <w:rsid w:val="00EA20F3"/>
    <w:rPr>
      <w:vertAlign w:val="superscript"/>
    </w:rPr>
  </w:style>
  <w:style w:type="character" w:customStyle="1" w:styleId="apple-converted-space">
    <w:name w:val="apple-converted-space"/>
    <w:basedOn w:val="DefaultParagraphFont"/>
    <w:rsid w:val="00472A06"/>
  </w:style>
  <w:style w:type="paragraph" w:customStyle="1" w:styleId="Bulleted">
    <w:name w:val="Bulleted"/>
    <w:basedOn w:val="Normal"/>
    <w:rsid w:val="0051003F"/>
    <w:pPr>
      <w:tabs>
        <w:tab w:val="num" w:pos="1457"/>
      </w:tabs>
      <w:spacing w:before="120"/>
      <w:ind w:left="1457" w:hanging="377"/>
    </w:pPr>
    <w:rPr>
      <w:rFonts w:ascii="Arial" w:eastAsia="Calibri" w:hAnsi="Arial"/>
      <w:color w:val="003366"/>
      <w:sz w:val="20"/>
    </w:rPr>
  </w:style>
  <w:style w:type="paragraph" w:customStyle="1" w:styleId="StyleHeading5Before0ptAfter0pt">
    <w:name w:val="Style Heading 5 + Before:  0 pt After:  0 pt"/>
    <w:basedOn w:val="Heading5"/>
    <w:rsid w:val="0051003F"/>
    <w:pPr>
      <w:keepNext w:val="0"/>
      <w:keepLines w:val="0"/>
      <w:spacing w:before="0"/>
      <w:jc w:val="left"/>
    </w:pPr>
    <w:rPr>
      <w:rFonts w:ascii="Arial" w:eastAsia="Times New Roman" w:hAnsi="Arial" w:cs="Times New Roman"/>
      <w:b/>
      <w:bCs/>
      <w:i/>
      <w:iCs/>
      <w:color w:val="626262"/>
      <w:szCs w:val="20"/>
    </w:rPr>
  </w:style>
  <w:style w:type="character" w:customStyle="1" w:styleId="Heading5Char">
    <w:name w:val="Heading 5 Char"/>
    <w:basedOn w:val="DefaultParagraphFont"/>
    <w:link w:val="Heading5"/>
    <w:rsid w:val="0051003F"/>
    <w:rPr>
      <w:rFonts w:asciiTheme="majorHAnsi" w:eastAsiaTheme="majorEastAsia" w:hAnsiTheme="majorHAnsi" w:cstheme="majorBidi"/>
      <w:color w:val="243F60" w:themeColor="accent1" w:themeShade="7F"/>
      <w:sz w:val="22"/>
      <w:szCs w:val="24"/>
    </w:rPr>
  </w:style>
  <w:style w:type="character" w:customStyle="1" w:styleId="Heading6Char">
    <w:name w:val="Heading 6 Char"/>
    <w:basedOn w:val="DefaultParagraphFont"/>
    <w:link w:val="Heading6"/>
    <w:rsid w:val="0051003F"/>
    <w:rPr>
      <w:rFonts w:ascii="Arial" w:eastAsia="Times New Roman" w:hAnsi="Arial" w:cs="Times New Roman"/>
      <w:b/>
      <w:bCs/>
      <w:color w:val="003366"/>
      <w:sz w:val="22"/>
    </w:rPr>
  </w:style>
  <w:style w:type="character" w:customStyle="1" w:styleId="Heading7Char">
    <w:name w:val="Heading 7 Char"/>
    <w:basedOn w:val="DefaultParagraphFont"/>
    <w:link w:val="Heading7"/>
    <w:rsid w:val="0051003F"/>
    <w:rPr>
      <w:rFonts w:ascii="Arial" w:eastAsia="Times New Roman" w:hAnsi="Arial" w:cs="Arial"/>
      <w:i/>
      <w:iCs/>
      <w:color w:val="003366"/>
      <w:szCs w:val="24"/>
    </w:rPr>
  </w:style>
  <w:style w:type="character" w:customStyle="1" w:styleId="Heading8Char">
    <w:name w:val="Heading 8 Char"/>
    <w:basedOn w:val="DefaultParagraphFont"/>
    <w:link w:val="Heading8"/>
    <w:rsid w:val="0051003F"/>
    <w:rPr>
      <w:rFonts w:ascii="Arial" w:eastAsia="Times New Roman" w:hAnsi="Arial" w:cs="Times New Roman"/>
      <w:b/>
      <w:color w:val="003366"/>
      <w:sz w:val="22"/>
      <w:szCs w:val="24"/>
      <w:lang w:val="en-ZA"/>
    </w:rPr>
  </w:style>
  <w:style w:type="character" w:customStyle="1" w:styleId="Heading9Char">
    <w:name w:val="Heading 9 Char"/>
    <w:basedOn w:val="DefaultParagraphFont"/>
    <w:link w:val="Heading9"/>
    <w:rsid w:val="0051003F"/>
    <w:rPr>
      <w:rFonts w:ascii="Arial" w:eastAsia="Times New Roman" w:hAnsi="Arial" w:cs="Arial"/>
      <w:color w:val="003366"/>
      <w:sz w:val="22"/>
    </w:rPr>
  </w:style>
  <w:style w:type="paragraph" w:customStyle="1" w:styleId="Smallletters">
    <w:name w:val="Small letters"/>
    <w:basedOn w:val="Normal"/>
    <w:rsid w:val="0051003F"/>
    <w:pPr>
      <w:numPr>
        <w:numId w:val="2"/>
      </w:numPr>
      <w:spacing w:before="120"/>
    </w:pPr>
    <w:rPr>
      <w:rFonts w:ascii="Gulim" w:eastAsia="Gulim" w:hAnsi="Gulim"/>
      <w:color w:val="333333"/>
      <w:sz w:val="20"/>
      <w:szCs w:val="22"/>
    </w:rPr>
  </w:style>
  <w:style w:type="paragraph" w:customStyle="1" w:styleId="SmallArrow">
    <w:name w:val="Small Arrow"/>
    <w:basedOn w:val="Normal"/>
    <w:rsid w:val="0051003F"/>
    <w:pPr>
      <w:numPr>
        <w:numId w:val="3"/>
      </w:numPr>
      <w:spacing w:before="120"/>
    </w:pPr>
    <w:rPr>
      <w:rFonts w:ascii="Gulim" w:eastAsia="Gulim" w:hAnsi="Gulim"/>
      <w:color w:val="333333"/>
      <w:sz w:val="20"/>
      <w:szCs w:val="22"/>
    </w:rPr>
  </w:style>
  <w:style w:type="paragraph" w:customStyle="1" w:styleId="Highnumbered">
    <w:name w:val="High numbered"/>
    <w:basedOn w:val="Normal"/>
    <w:rsid w:val="0051003F"/>
    <w:pPr>
      <w:numPr>
        <w:numId w:val="4"/>
      </w:numPr>
    </w:pPr>
    <w:rPr>
      <w:rFonts w:ascii="Gulim" w:eastAsia="Gulim" w:hAnsi="Gulim"/>
      <w:color w:val="333333"/>
      <w:sz w:val="20"/>
      <w:szCs w:val="22"/>
    </w:rPr>
  </w:style>
  <w:style w:type="paragraph" w:styleId="Caption">
    <w:name w:val="caption"/>
    <w:basedOn w:val="Normal"/>
    <w:next w:val="Normal"/>
    <w:autoRedefine/>
    <w:qFormat/>
    <w:rsid w:val="00FA7911"/>
    <w:pPr>
      <w:numPr>
        <w:numId w:val="18"/>
      </w:numPr>
      <w:tabs>
        <w:tab w:val="clear" w:pos="1106"/>
        <w:tab w:val="num" w:pos="513"/>
        <w:tab w:val="left" w:pos="1418"/>
      </w:tabs>
      <w:spacing w:after="120"/>
      <w:ind w:left="513" w:hanging="371"/>
      <w:jc w:val="left"/>
    </w:pPr>
    <w:rPr>
      <w:rFonts w:ascii="Arial Narrow" w:hAnsi="Arial Narrow"/>
      <w:bCs/>
      <w:smallCaps/>
      <w:color w:val="333333"/>
    </w:rPr>
  </w:style>
  <w:style w:type="paragraph" w:customStyle="1" w:styleId="Title1">
    <w:name w:val="Title1"/>
    <w:basedOn w:val="Normal"/>
    <w:rsid w:val="0051003F"/>
    <w:pPr>
      <w:ind w:left="397"/>
    </w:pPr>
    <w:rPr>
      <w:rFonts w:ascii="Berlin Sans FB" w:hAnsi="Berlin Sans FB"/>
      <w:color w:val="003366"/>
      <w:sz w:val="32"/>
    </w:rPr>
  </w:style>
  <w:style w:type="paragraph" w:customStyle="1" w:styleId="TableTitle">
    <w:name w:val="TableTitle"/>
    <w:basedOn w:val="Normal"/>
    <w:autoRedefine/>
    <w:rsid w:val="0051003F"/>
    <w:pPr>
      <w:numPr>
        <w:numId w:val="5"/>
      </w:numPr>
      <w:spacing w:after="120"/>
    </w:pPr>
    <w:rPr>
      <w:rFonts w:ascii="Arial" w:hAnsi="Arial"/>
      <w:i/>
      <w:color w:val="333333"/>
      <w:sz w:val="20"/>
      <w:szCs w:val="22"/>
    </w:rPr>
  </w:style>
  <w:style w:type="numbering" w:styleId="111111">
    <w:name w:val="Outline List 2"/>
    <w:basedOn w:val="NoList"/>
    <w:semiHidden/>
    <w:rsid w:val="0051003F"/>
    <w:pPr>
      <w:numPr>
        <w:numId w:val="6"/>
      </w:numPr>
    </w:pPr>
  </w:style>
  <w:style w:type="numbering" w:styleId="1ai">
    <w:name w:val="Outline List 1"/>
    <w:basedOn w:val="NoList"/>
    <w:semiHidden/>
    <w:rsid w:val="0051003F"/>
    <w:pPr>
      <w:numPr>
        <w:numId w:val="7"/>
      </w:numPr>
    </w:pPr>
  </w:style>
  <w:style w:type="numbering" w:styleId="ArticleSection">
    <w:name w:val="Outline List 3"/>
    <w:basedOn w:val="NoList"/>
    <w:semiHidden/>
    <w:rsid w:val="0051003F"/>
    <w:pPr>
      <w:numPr>
        <w:numId w:val="8"/>
      </w:numPr>
    </w:pPr>
  </w:style>
  <w:style w:type="paragraph" w:styleId="BlockText">
    <w:name w:val="Block Text"/>
    <w:basedOn w:val="Normal"/>
    <w:semiHidden/>
    <w:rsid w:val="0051003F"/>
    <w:pPr>
      <w:spacing w:after="120"/>
      <w:ind w:left="1440" w:right="1440"/>
      <w:jc w:val="left"/>
    </w:pPr>
    <w:rPr>
      <w:rFonts w:ascii="Times New Roman" w:hAnsi="Times New Roman"/>
      <w:color w:val="003366"/>
      <w:sz w:val="24"/>
    </w:rPr>
  </w:style>
  <w:style w:type="paragraph" w:styleId="BodyText">
    <w:name w:val="Body Text"/>
    <w:basedOn w:val="Normal"/>
    <w:link w:val="BodyTextChar"/>
    <w:semiHidden/>
    <w:rsid w:val="0051003F"/>
    <w:pPr>
      <w:spacing w:after="120"/>
      <w:jc w:val="left"/>
    </w:pPr>
    <w:rPr>
      <w:rFonts w:ascii="Arial" w:hAnsi="Arial"/>
      <w:color w:val="003366"/>
      <w:sz w:val="18"/>
      <w:szCs w:val="18"/>
    </w:rPr>
  </w:style>
  <w:style w:type="character" w:customStyle="1" w:styleId="BodyTextChar">
    <w:name w:val="Body Text Char"/>
    <w:basedOn w:val="DefaultParagraphFont"/>
    <w:link w:val="BodyText"/>
    <w:semiHidden/>
    <w:rsid w:val="0051003F"/>
    <w:rPr>
      <w:rFonts w:ascii="Arial" w:eastAsia="Times New Roman" w:hAnsi="Arial" w:cs="Times New Roman"/>
      <w:color w:val="003366"/>
      <w:sz w:val="18"/>
      <w:szCs w:val="18"/>
    </w:rPr>
  </w:style>
  <w:style w:type="paragraph" w:styleId="BodyText2">
    <w:name w:val="Body Text 2"/>
    <w:basedOn w:val="Normal"/>
    <w:link w:val="BodyText2Char"/>
    <w:semiHidden/>
    <w:rsid w:val="0051003F"/>
    <w:pPr>
      <w:tabs>
        <w:tab w:val="num" w:pos="720"/>
      </w:tabs>
      <w:jc w:val="left"/>
    </w:pPr>
    <w:rPr>
      <w:rFonts w:ascii="Arial" w:hAnsi="Arial"/>
      <w:color w:val="003366"/>
    </w:rPr>
  </w:style>
  <w:style w:type="character" w:customStyle="1" w:styleId="BodyText2Char">
    <w:name w:val="Body Text 2 Char"/>
    <w:basedOn w:val="DefaultParagraphFont"/>
    <w:link w:val="BodyText2"/>
    <w:semiHidden/>
    <w:rsid w:val="0051003F"/>
    <w:rPr>
      <w:rFonts w:ascii="Arial" w:eastAsia="Times New Roman" w:hAnsi="Arial" w:cs="Times New Roman"/>
      <w:color w:val="003366"/>
      <w:sz w:val="22"/>
      <w:szCs w:val="24"/>
    </w:rPr>
  </w:style>
  <w:style w:type="paragraph" w:styleId="BodyText3">
    <w:name w:val="Body Text 3"/>
    <w:basedOn w:val="Normal"/>
    <w:link w:val="BodyText3Char"/>
    <w:semiHidden/>
    <w:rsid w:val="0051003F"/>
    <w:pPr>
      <w:spacing w:after="120"/>
      <w:jc w:val="left"/>
    </w:pPr>
    <w:rPr>
      <w:rFonts w:ascii="Arial" w:hAnsi="Arial"/>
      <w:color w:val="003366"/>
      <w:sz w:val="16"/>
      <w:szCs w:val="16"/>
    </w:rPr>
  </w:style>
  <w:style w:type="character" w:customStyle="1" w:styleId="BodyText3Char">
    <w:name w:val="Body Text 3 Char"/>
    <w:basedOn w:val="DefaultParagraphFont"/>
    <w:link w:val="BodyText3"/>
    <w:semiHidden/>
    <w:rsid w:val="0051003F"/>
    <w:rPr>
      <w:rFonts w:ascii="Arial" w:eastAsia="Times New Roman" w:hAnsi="Arial" w:cs="Times New Roman"/>
      <w:color w:val="003366"/>
      <w:sz w:val="16"/>
      <w:szCs w:val="16"/>
    </w:rPr>
  </w:style>
  <w:style w:type="paragraph" w:styleId="BodyTextFirstIndent">
    <w:name w:val="Body Text First Indent"/>
    <w:basedOn w:val="BodyText"/>
    <w:link w:val="BodyTextFirstIndentChar"/>
    <w:semiHidden/>
    <w:rsid w:val="0051003F"/>
    <w:pPr>
      <w:ind w:firstLine="210"/>
    </w:pPr>
    <w:rPr>
      <w:rFonts w:ascii="Times New Roman" w:hAnsi="Times New Roman"/>
      <w:sz w:val="24"/>
      <w:szCs w:val="24"/>
      <w:lang w:val="en-GB"/>
    </w:rPr>
  </w:style>
  <w:style w:type="character" w:customStyle="1" w:styleId="BodyTextFirstIndentChar">
    <w:name w:val="Body Text First Indent Char"/>
    <w:basedOn w:val="BodyTextChar"/>
    <w:link w:val="BodyTextFirstIndent"/>
    <w:semiHidden/>
    <w:rsid w:val="0051003F"/>
    <w:rPr>
      <w:rFonts w:ascii="Times New Roman" w:eastAsia="Times New Roman" w:hAnsi="Times New Roman" w:cs="Times New Roman"/>
      <w:color w:val="003366"/>
      <w:sz w:val="18"/>
      <w:szCs w:val="24"/>
      <w:lang w:val="en-GB"/>
    </w:rPr>
  </w:style>
  <w:style w:type="paragraph" w:styleId="BodyTextIndent">
    <w:name w:val="Body Text Indent"/>
    <w:basedOn w:val="Normal"/>
    <w:link w:val="BodyTextIndentChar"/>
    <w:semiHidden/>
    <w:rsid w:val="0051003F"/>
    <w:pPr>
      <w:tabs>
        <w:tab w:val="num" w:pos="1440"/>
      </w:tabs>
    </w:pPr>
    <w:rPr>
      <w:rFonts w:ascii="Tahoma" w:hAnsi="Tahoma" w:cs="Tahoma"/>
      <w:b/>
      <w:bCs/>
      <w:color w:val="000000"/>
      <w:szCs w:val="22"/>
    </w:rPr>
  </w:style>
  <w:style w:type="character" w:customStyle="1" w:styleId="BodyTextIndentChar">
    <w:name w:val="Body Text Indent Char"/>
    <w:basedOn w:val="DefaultParagraphFont"/>
    <w:link w:val="BodyTextIndent"/>
    <w:semiHidden/>
    <w:rsid w:val="0051003F"/>
    <w:rPr>
      <w:rFonts w:ascii="Tahoma" w:eastAsia="Times New Roman" w:hAnsi="Tahoma" w:cs="Tahoma"/>
      <w:b/>
      <w:bCs/>
      <w:color w:val="000000"/>
      <w:sz w:val="22"/>
    </w:rPr>
  </w:style>
  <w:style w:type="paragraph" w:styleId="BodyTextFirstIndent2">
    <w:name w:val="Body Text First Indent 2"/>
    <w:basedOn w:val="BodyTextIndent"/>
    <w:link w:val="BodyTextFirstIndent2Char"/>
    <w:semiHidden/>
    <w:rsid w:val="0051003F"/>
    <w:pPr>
      <w:ind w:firstLine="210"/>
      <w:jc w:val="left"/>
    </w:pPr>
    <w:rPr>
      <w:rFonts w:ascii="Times New Roman" w:hAnsi="Times New Roman"/>
      <w:sz w:val="24"/>
      <w:szCs w:val="24"/>
    </w:rPr>
  </w:style>
  <w:style w:type="character" w:customStyle="1" w:styleId="BodyTextFirstIndent2Char">
    <w:name w:val="Body Text First Indent 2 Char"/>
    <w:basedOn w:val="BodyTextIndentChar"/>
    <w:link w:val="BodyTextFirstIndent2"/>
    <w:semiHidden/>
    <w:rsid w:val="0051003F"/>
    <w:rPr>
      <w:rFonts w:ascii="Times New Roman" w:eastAsia="Times New Roman" w:hAnsi="Times New Roman" w:cs="Tahoma"/>
      <w:b/>
      <w:bCs/>
      <w:color w:val="000000"/>
      <w:sz w:val="22"/>
      <w:szCs w:val="24"/>
    </w:rPr>
  </w:style>
  <w:style w:type="paragraph" w:styleId="BodyTextIndent2">
    <w:name w:val="Body Text Indent 2"/>
    <w:basedOn w:val="Normal"/>
    <w:link w:val="BodyTextIndent2Char"/>
    <w:semiHidden/>
    <w:rsid w:val="0051003F"/>
    <w:pPr>
      <w:spacing w:after="120" w:line="480" w:lineRule="auto"/>
      <w:ind w:left="360"/>
      <w:jc w:val="left"/>
    </w:pPr>
    <w:rPr>
      <w:rFonts w:ascii="Times New Roman" w:hAnsi="Times New Roman"/>
      <w:color w:val="003366"/>
      <w:sz w:val="24"/>
    </w:rPr>
  </w:style>
  <w:style w:type="character" w:customStyle="1" w:styleId="BodyTextIndent2Char">
    <w:name w:val="Body Text Indent 2 Char"/>
    <w:basedOn w:val="DefaultParagraphFont"/>
    <w:link w:val="BodyTextIndent2"/>
    <w:semiHidden/>
    <w:rsid w:val="0051003F"/>
    <w:rPr>
      <w:rFonts w:ascii="Times New Roman" w:eastAsia="Times New Roman" w:hAnsi="Times New Roman" w:cs="Times New Roman"/>
      <w:color w:val="003366"/>
      <w:szCs w:val="24"/>
    </w:rPr>
  </w:style>
  <w:style w:type="paragraph" w:styleId="BodyTextIndent3">
    <w:name w:val="Body Text Indent 3"/>
    <w:basedOn w:val="Normal"/>
    <w:link w:val="BodyTextIndent3Char"/>
    <w:semiHidden/>
    <w:rsid w:val="0051003F"/>
    <w:pPr>
      <w:ind w:left="288"/>
      <w:jc w:val="left"/>
    </w:pPr>
    <w:rPr>
      <w:rFonts w:ascii="Arial" w:hAnsi="Arial"/>
      <w:color w:val="003366"/>
      <w:sz w:val="20"/>
    </w:rPr>
  </w:style>
  <w:style w:type="character" w:customStyle="1" w:styleId="BodyTextIndent3Char">
    <w:name w:val="Body Text Indent 3 Char"/>
    <w:basedOn w:val="DefaultParagraphFont"/>
    <w:link w:val="BodyTextIndent3"/>
    <w:semiHidden/>
    <w:rsid w:val="0051003F"/>
    <w:rPr>
      <w:rFonts w:ascii="Arial" w:eastAsia="Times New Roman" w:hAnsi="Arial" w:cs="Times New Roman"/>
      <w:color w:val="003366"/>
      <w:sz w:val="20"/>
      <w:szCs w:val="24"/>
    </w:rPr>
  </w:style>
  <w:style w:type="paragraph" w:styleId="Closing">
    <w:name w:val="Closing"/>
    <w:basedOn w:val="Normal"/>
    <w:link w:val="ClosingChar"/>
    <w:semiHidden/>
    <w:rsid w:val="0051003F"/>
    <w:pPr>
      <w:ind w:left="4252"/>
      <w:jc w:val="left"/>
    </w:pPr>
    <w:rPr>
      <w:rFonts w:ascii="Times New Roman" w:hAnsi="Times New Roman"/>
      <w:color w:val="003366"/>
      <w:sz w:val="24"/>
    </w:rPr>
  </w:style>
  <w:style w:type="character" w:customStyle="1" w:styleId="ClosingChar">
    <w:name w:val="Closing Char"/>
    <w:basedOn w:val="DefaultParagraphFont"/>
    <w:link w:val="Closing"/>
    <w:semiHidden/>
    <w:rsid w:val="0051003F"/>
    <w:rPr>
      <w:rFonts w:ascii="Times New Roman" w:eastAsia="Times New Roman" w:hAnsi="Times New Roman" w:cs="Times New Roman"/>
      <w:color w:val="003366"/>
      <w:szCs w:val="24"/>
    </w:rPr>
  </w:style>
  <w:style w:type="paragraph" w:styleId="E-mailSignature">
    <w:name w:val="E-mail Signature"/>
    <w:basedOn w:val="Normal"/>
    <w:link w:val="E-mailSignatureChar"/>
    <w:semiHidden/>
    <w:rsid w:val="0051003F"/>
    <w:pPr>
      <w:jc w:val="left"/>
    </w:pPr>
    <w:rPr>
      <w:rFonts w:ascii="Times New Roman" w:hAnsi="Times New Roman"/>
      <w:color w:val="003366"/>
      <w:sz w:val="24"/>
    </w:rPr>
  </w:style>
  <w:style w:type="character" w:customStyle="1" w:styleId="E-mailSignatureChar">
    <w:name w:val="E-mail Signature Char"/>
    <w:basedOn w:val="DefaultParagraphFont"/>
    <w:link w:val="E-mailSignature"/>
    <w:semiHidden/>
    <w:rsid w:val="0051003F"/>
    <w:rPr>
      <w:rFonts w:ascii="Times New Roman" w:eastAsia="Times New Roman" w:hAnsi="Times New Roman" w:cs="Times New Roman"/>
      <w:color w:val="003366"/>
      <w:szCs w:val="24"/>
    </w:rPr>
  </w:style>
  <w:style w:type="character" w:styleId="Emphasis">
    <w:name w:val="Emphasis"/>
    <w:basedOn w:val="DefaultParagraphFont"/>
    <w:qFormat/>
    <w:rsid w:val="0051003F"/>
    <w:rPr>
      <w:i/>
      <w:iCs/>
    </w:rPr>
  </w:style>
  <w:style w:type="paragraph" w:styleId="EnvelopeAddress">
    <w:name w:val="envelope address"/>
    <w:basedOn w:val="Normal"/>
    <w:semiHidden/>
    <w:rsid w:val="0051003F"/>
    <w:pPr>
      <w:framePr w:w="7920" w:h="1980" w:hRule="exact" w:hSpace="180" w:wrap="auto" w:hAnchor="page" w:xAlign="center" w:yAlign="bottom"/>
      <w:ind w:left="2880"/>
      <w:jc w:val="left"/>
    </w:pPr>
    <w:rPr>
      <w:rFonts w:ascii="Arial" w:hAnsi="Arial" w:cs="Arial"/>
      <w:color w:val="003366"/>
      <w:sz w:val="24"/>
    </w:rPr>
  </w:style>
  <w:style w:type="paragraph" w:styleId="EnvelopeReturn">
    <w:name w:val="envelope return"/>
    <w:basedOn w:val="Normal"/>
    <w:semiHidden/>
    <w:rsid w:val="0051003F"/>
    <w:pPr>
      <w:jc w:val="left"/>
    </w:pPr>
    <w:rPr>
      <w:rFonts w:ascii="Arial" w:hAnsi="Arial" w:cs="Arial"/>
      <w:color w:val="003366"/>
      <w:sz w:val="20"/>
    </w:rPr>
  </w:style>
  <w:style w:type="character" w:styleId="FollowedHyperlink">
    <w:name w:val="FollowedHyperlink"/>
    <w:basedOn w:val="DefaultParagraphFont"/>
    <w:semiHidden/>
    <w:rsid w:val="0051003F"/>
    <w:rPr>
      <w:color w:val="800080"/>
      <w:u w:val="single"/>
    </w:rPr>
  </w:style>
  <w:style w:type="character" w:styleId="HTMLAcronym">
    <w:name w:val="HTML Acronym"/>
    <w:basedOn w:val="DefaultParagraphFont"/>
    <w:semiHidden/>
    <w:rsid w:val="0051003F"/>
  </w:style>
  <w:style w:type="paragraph" w:styleId="HTMLAddress">
    <w:name w:val="HTML Address"/>
    <w:basedOn w:val="Normal"/>
    <w:link w:val="HTMLAddressChar"/>
    <w:semiHidden/>
    <w:rsid w:val="0051003F"/>
    <w:pPr>
      <w:jc w:val="left"/>
    </w:pPr>
    <w:rPr>
      <w:rFonts w:ascii="Times New Roman" w:hAnsi="Times New Roman"/>
      <w:i/>
      <w:iCs/>
      <w:color w:val="003366"/>
      <w:sz w:val="24"/>
    </w:rPr>
  </w:style>
  <w:style w:type="character" w:customStyle="1" w:styleId="HTMLAddressChar">
    <w:name w:val="HTML Address Char"/>
    <w:basedOn w:val="DefaultParagraphFont"/>
    <w:link w:val="HTMLAddress"/>
    <w:semiHidden/>
    <w:rsid w:val="0051003F"/>
    <w:rPr>
      <w:rFonts w:ascii="Times New Roman" w:eastAsia="Times New Roman" w:hAnsi="Times New Roman" w:cs="Times New Roman"/>
      <w:i/>
      <w:iCs/>
      <w:color w:val="003366"/>
      <w:szCs w:val="24"/>
    </w:rPr>
  </w:style>
  <w:style w:type="character" w:styleId="HTMLCite">
    <w:name w:val="HTML Cite"/>
    <w:basedOn w:val="DefaultParagraphFont"/>
    <w:semiHidden/>
    <w:rsid w:val="0051003F"/>
    <w:rPr>
      <w:i/>
      <w:iCs/>
    </w:rPr>
  </w:style>
  <w:style w:type="character" w:styleId="HTMLCode">
    <w:name w:val="HTML Code"/>
    <w:basedOn w:val="DefaultParagraphFont"/>
    <w:semiHidden/>
    <w:rsid w:val="0051003F"/>
    <w:rPr>
      <w:rFonts w:ascii="Courier New" w:hAnsi="Courier New" w:cs="Courier New"/>
      <w:sz w:val="20"/>
      <w:szCs w:val="20"/>
    </w:rPr>
  </w:style>
  <w:style w:type="character" w:styleId="HTMLDefinition">
    <w:name w:val="HTML Definition"/>
    <w:basedOn w:val="DefaultParagraphFont"/>
    <w:semiHidden/>
    <w:rsid w:val="0051003F"/>
    <w:rPr>
      <w:i/>
      <w:iCs/>
    </w:rPr>
  </w:style>
  <w:style w:type="character" w:styleId="HTMLKeyboard">
    <w:name w:val="HTML Keyboard"/>
    <w:basedOn w:val="DefaultParagraphFont"/>
    <w:semiHidden/>
    <w:rsid w:val="0051003F"/>
    <w:rPr>
      <w:rFonts w:ascii="Courier New" w:hAnsi="Courier New" w:cs="Courier New"/>
      <w:sz w:val="20"/>
      <w:szCs w:val="20"/>
    </w:rPr>
  </w:style>
  <w:style w:type="paragraph" w:styleId="HTMLPreformatted">
    <w:name w:val="HTML Preformatted"/>
    <w:basedOn w:val="Normal"/>
    <w:link w:val="HTMLPreformattedChar"/>
    <w:semiHidden/>
    <w:rsid w:val="0051003F"/>
    <w:pPr>
      <w:jc w:val="left"/>
    </w:pPr>
    <w:rPr>
      <w:rFonts w:ascii="Courier New" w:hAnsi="Courier New" w:cs="Courier New"/>
      <w:color w:val="003366"/>
      <w:sz w:val="20"/>
    </w:rPr>
  </w:style>
  <w:style w:type="character" w:customStyle="1" w:styleId="HTMLPreformattedChar">
    <w:name w:val="HTML Preformatted Char"/>
    <w:basedOn w:val="DefaultParagraphFont"/>
    <w:link w:val="HTMLPreformatted"/>
    <w:semiHidden/>
    <w:rsid w:val="0051003F"/>
    <w:rPr>
      <w:rFonts w:ascii="Courier New" w:eastAsia="Times New Roman" w:hAnsi="Courier New" w:cs="Courier New"/>
      <w:color w:val="003366"/>
      <w:sz w:val="20"/>
      <w:szCs w:val="24"/>
    </w:rPr>
  </w:style>
  <w:style w:type="character" w:styleId="HTMLSample">
    <w:name w:val="HTML Sample"/>
    <w:basedOn w:val="DefaultParagraphFont"/>
    <w:semiHidden/>
    <w:rsid w:val="0051003F"/>
    <w:rPr>
      <w:rFonts w:ascii="Courier New" w:hAnsi="Courier New" w:cs="Courier New"/>
    </w:rPr>
  </w:style>
  <w:style w:type="character" w:styleId="HTMLTypewriter">
    <w:name w:val="HTML Typewriter"/>
    <w:basedOn w:val="DefaultParagraphFont"/>
    <w:semiHidden/>
    <w:rsid w:val="0051003F"/>
    <w:rPr>
      <w:rFonts w:ascii="Courier New" w:hAnsi="Courier New" w:cs="Courier New"/>
      <w:sz w:val="20"/>
      <w:szCs w:val="20"/>
    </w:rPr>
  </w:style>
  <w:style w:type="character" w:styleId="HTMLVariable">
    <w:name w:val="HTML Variable"/>
    <w:basedOn w:val="DefaultParagraphFont"/>
    <w:semiHidden/>
    <w:rsid w:val="0051003F"/>
    <w:rPr>
      <w:i/>
      <w:iCs/>
    </w:rPr>
  </w:style>
  <w:style w:type="paragraph" w:styleId="Index1">
    <w:name w:val="index 1"/>
    <w:basedOn w:val="Normal"/>
    <w:next w:val="Normal"/>
    <w:autoRedefine/>
    <w:semiHidden/>
    <w:rsid w:val="0051003F"/>
    <w:pPr>
      <w:ind w:left="240" w:hanging="240"/>
      <w:jc w:val="left"/>
    </w:pPr>
    <w:rPr>
      <w:rFonts w:ascii="Arial" w:hAnsi="Arial"/>
      <w:b/>
      <w:color w:val="003366"/>
      <w:sz w:val="24"/>
    </w:rPr>
  </w:style>
  <w:style w:type="paragraph" w:styleId="IndexHeading">
    <w:name w:val="index heading"/>
    <w:basedOn w:val="Normal"/>
    <w:next w:val="Index1"/>
    <w:semiHidden/>
    <w:rsid w:val="0051003F"/>
    <w:pPr>
      <w:jc w:val="left"/>
    </w:pPr>
    <w:rPr>
      <w:rFonts w:ascii="Times New Roman" w:hAnsi="Times New Roman"/>
      <w:color w:val="003366"/>
      <w:sz w:val="24"/>
    </w:rPr>
  </w:style>
  <w:style w:type="character" w:styleId="LineNumber">
    <w:name w:val="line number"/>
    <w:basedOn w:val="DefaultParagraphFont"/>
    <w:semiHidden/>
    <w:rsid w:val="0051003F"/>
  </w:style>
  <w:style w:type="paragraph" w:styleId="List">
    <w:name w:val="List"/>
    <w:basedOn w:val="Normal"/>
    <w:semiHidden/>
    <w:rsid w:val="0051003F"/>
    <w:pPr>
      <w:ind w:left="283" w:hanging="283"/>
      <w:jc w:val="left"/>
    </w:pPr>
    <w:rPr>
      <w:rFonts w:ascii="Times New Roman" w:hAnsi="Times New Roman"/>
      <w:color w:val="003366"/>
      <w:sz w:val="24"/>
    </w:rPr>
  </w:style>
  <w:style w:type="paragraph" w:styleId="List2">
    <w:name w:val="List 2"/>
    <w:basedOn w:val="Normal"/>
    <w:semiHidden/>
    <w:rsid w:val="0051003F"/>
    <w:pPr>
      <w:ind w:left="566" w:hanging="283"/>
      <w:jc w:val="left"/>
    </w:pPr>
    <w:rPr>
      <w:rFonts w:ascii="Times New Roman" w:hAnsi="Times New Roman"/>
      <w:color w:val="003366"/>
      <w:sz w:val="24"/>
    </w:rPr>
  </w:style>
  <w:style w:type="paragraph" w:styleId="List3">
    <w:name w:val="List 3"/>
    <w:basedOn w:val="Normal"/>
    <w:semiHidden/>
    <w:rsid w:val="0051003F"/>
    <w:pPr>
      <w:ind w:left="849" w:hanging="283"/>
      <w:jc w:val="left"/>
    </w:pPr>
    <w:rPr>
      <w:rFonts w:ascii="Times New Roman" w:hAnsi="Times New Roman"/>
      <w:color w:val="003366"/>
      <w:sz w:val="24"/>
    </w:rPr>
  </w:style>
  <w:style w:type="paragraph" w:styleId="List4">
    <w:name w:val="List 4"/>
    <w:basedOn w:val="Normal"/>
    <w:semiHidden/>
    <w:rsid w:val="0051003F"/>
    <w:pPr>
      <w:ind w:left="1132" w:hanging="283"/>
      <w:jc w:val="left"/>
    </w:pPr>
    <w:rPr>
      <w:rFonts w:ascii="Times New Roman" w:hAnsi="Times New Roman"/>
      <w:color w:val="003366"/>
      <w:sz w:val="24"/>
    </w:rPr>
  </w:style>
  <w:style w:type="paragraph" w:styleId="List5">
    <w:name w:val="List 5"/>
    <w:basedOn w:val="Normal"/>
    <w:semiHidden/>
    <w:rsid w:val="0051003F"/>
    <w:pPr>
      <w:ind w:left="1415" w:hanging="283"/>
      <w:jc w:val="left"/>
    </w:pPr>
    <w:rPr>
      <w:rFonts w:ascii="Times New Roman" w:hAnsi="Times New Roman"/>
      <w:color w:val="003366"/>
      <w:sz w:val="24"/>
    </w:rPr>
  </w:style>
  <w:style w:type="paragraph" w:styleId="ListBullet2">
    <w:name w:val="List Bullet 2"/>
    <w:basedOn w:val="Normal"/>
    <w:semiHidden/>
    <w:rsid w:val="0051003F"/>
    <w:pPr>
      <w:numPr>
        <w:numId w:val="9"/>
      </w:numPr>
    </w:pPr>
    <w:rPr>
      <w:rFonts w:ascii="Times New Roman" w:hAnsi="Times New Roman"/>
      <w:color w:val="003366"/>
      <w:sz w:val="24"/>
    </w:rPr>
  </w:style>
  <w:style w:type="paragraph" w:styleId="ListBullet3">
    <w:name w:val="List Bullet 3"/>
    <w:basedOn w:val="Normal"/>
    <w:semiHidden/>
    <w:rsid w:val="0051003F"/>
    <w:pPr>
      <w:numPr>
        <w:numId w:val="10"/>
      </w:numPr>
    </w:pPr>
    <w:rPr>
      <w:rFonts w:ascii="Times New Roman" w:hAnsi="Times New Roman"/>
      <w:color w:val="003366"/>
      <w:sz w:val="24"/>
    </w:rPr>
  </w:style>
  <w:style w:type="paragraph" w:styleId="ListBullet4">
    <w:name w:val="List Bullet 4"/>
    <w:basedOn w:val="Normal"/>
    <w:semiHidden/>
    <w:rsid w:val="0051003F"/>
    <w:pPr>
      <w:numPr>
        <w:numId w:val="11"/>
      </w:numPr>
    </w:pPr>
    <w:rPr>
      <w:rFonts w:ascii="Times New Roman" w:hAnsi="Times New Roman"/>
      <w:color w:val="003366"/>
      <w:sz w:val="24"/>
    </w:rPr>
  </w:style>
  <w:style w:type="paragraph" w:styleId="ListBullet5">
    <w:name w:val="List Bullet 5"/>
    <w:basedOn w:val="Normal"/>
    <w:semiHidden/>
    <w:rsid w:val="0051003F"/>
    <w:pPr>
      <w:numPr>
        <w:numId w:val="12"/>
      </w:numPr>
    </w:pPr>
    <w:rPr>
      <w:rFonts w:ascii="Times New Roman" w:hAnsi="Times New Roman"/>
      <w:color w:val="003366"/>
      <w:sz w:val="24"/>
    </w:rPr>
  </w:style>
  <w:style w:type="paragraph" w:styleId="ListContinue">
    <w:name w:val="List Continue"/>
    <w:basedOn w:val="Normal"/>
    <w:semiHidden/>
    <w:rsid w:val="0051003F"/>
    <w:pPr>
      <w:spacing w:after="120"/>
      <w:ind w:left="283"/>
      <w:jc w:val="left"/>
    </w:pPr>
    <w:rPr>
      <w:rFonts w:ascii="Times New Roman" w:hAnsi="Times New Roman"/>
      <w:color w:val="003366"/>
      <w:sz w:val="24"/>
    </w:rPr>
  </w:style>
  <w:style w:type="paragraph" w:styleId="ListContinue2">
    <w:name w:val="List Continue 2"/>
    <w:basedOn w:val="Normal"/>
    <w:semiHidden/>
    <w:rsid w:val="0051003F"/>
    <w:pPr>
      <w:spacing w:after="120"/>
      <w:ind w:left="566"/>
      <w:jc w:val="left"/>
    </w:pPr>
    <w:rPr>
      <w:rFonts w:ascii="Times New Roman" w:hAnsi="Times New Roman"/>
      <w:color w:val="003366"/>
      <w:sz w:val="24"/>
    </w:rPr>
  </w:style>
  <w:style w:type="paragraph" w:styleId="ListContinue3">
    <w:name w:val="List Continue 3"/>
    <w:basedOn w:val="Normal"/>
    <w:semiHidden/>
    <w:rsid w:val="0051003F"/>
    <w:pPr>
      <w:spacing w:after="120"/>
      <w:ind w:left="849"/>
      <w:jc w:val="left"/>
    </w:pPr>
    <w:rPr>
      <w:rFonts w:ascii="Times New Roman" w:hAnsi="Times New Roman"/>
      <w:color w:val="003366"/>
      <w:sz w:val="24"/>
    </w:rPr>
  </w:style>
  <w:style w:type="paragraph" w:styleId="ListContinue4">
    <w:name w:val="List Continue 4"/>
    <w:basedOn w:val="Normal"/>
    <w:semiHidden/>
    <w:rsid w:val="0051003F"/>
    <w:pPr>
      <w:spacing w:after="120"/>
      <w:ind w:left="1132"/>
      <w:jc w:val="left"/>
    </w:pPr>
    <w:rPr>
      <w:rFonts w:ascii="Times New Roman" w:hAnsi="Times New Roman"/>
      <w:color w:val="003366"/>
      <w:sz w:val="24"/>
    </w:rPr>
  </w:style>
  <w:style w:type="paragraph" w:styleId="ListContinue5">
    <w:name w:val="List Continue 5"/>
    <w:basedOn w:val="Normal"/>
    <w:semiHidden/>
    <w:rsid w:val="0051003F"/>
    <w:pPr>
      <w:spacing w:after="120"/>
      <w:ind w:left="1415"/>
      <w:jc w:val="left"/>
    </w:pPr>
    <w:rPr>
      <w:rFonts w:ascii="Times New Roman" w:hAnsi="Times New Roman"/>
      <w:color w:val="003366"/>
      <w:sz w:val="24"/>
    </w:rPr>
  </w:style>
  <w:style w:type="paragraph" w:styleId="ListNumber">
    <w:name w:val="List Number"/>
    <w:basedOn w:val="Normal"/>
    <w:semiHidden/>
    <w:rsid w:val="0051003F"/>
    <w:pPr>
      <w:numPr>
        <w:numId w:val="13"/>
      </w:numPr>
    </w:pPr>
    <w:rPr>
      <w:rFonts w:ascii="Times New Roman" w:hAnsi="Times New Roman"/>
      <w:color w:val="003366"/>
      <w:sz w:val="24"/>
    </w:rPr>
  </w:style>
  <w:style w:type="paragraph" w:styleId="ListNumber2">
    <w:name w:val="List Number 2"/>
    <w:basedOn w:val="Normal"/>
    <w:semiHidden/>
    <w:rsid w:val="0051003F"/>
    <w:pPr>
      <w:numPr>
        <w:numId w:val="14"/>
      </w:numPr>
    </w:pPr>
    <w:rPr>
      <w:rFonts w:ascii="Times New Roman" w:hAnsi="Times New Roman"/>
      <w:color w:val="003366"/>
      <w:sz w:val="24"/>
    </w:rPr>
  </w:style>
  <w:style w:type="paragraph" w:styleId="ListNumber3">
    <w:name w:val="List Number 3"/>
    <w:basedOn w:val="Normal"/>
    <w:semiHidden/>
    <w:rsid w:val="0051003F"/>
    <w:pPr>
      <w:numPr>
        <w:numId w:val="15"/>
      </w:numPr>
    </w:pPr>
    <w:rPr>
      <w:rFonts w:ascii="Times New Roman" w:hAnsi="Times New Roman"/>
      <w:color w:val="003366"/>
      <w:sz w:val="24"/>
    </w:rPr>
  </w:style>
  <w:style w:type="paragraph" w:styleId="ListNumber4">
    <w:name w:val="List Number 4"/>
    <w:basedOn w:val="Normal"/>
    <w:semiHidden/>
    <w:rsid w:val="0051003F"/>
    <w:pPr>
      <w:numPr>
        <w:numId w:val="16"/>
      </w:numPr>
    </w:pPr>
    <w:rPr>
      <w:rFonts w:ascii="Times New Roman" w:hAnsi="Times New Roman"/>
      <w:color w:val="003366"/>
      <w:sz w:val="24"/>
    </w:rPr>
  </w:style>
  <w:style w:type="paragraph" w:styleId="ListNumber5">
    <w:name w:val="List Number 5"/>
    <w:basedOn w:val="Normal"/>
    <w:semiHidden/>
    <w:rsid w:val="0051003F"/>
    <w:pPr>
      <w:numPr>
        <w:numId w:val="17"/>
      </w:numPr>
    </w:pPr>
    <w:rPr>
      <w:rFonts w:ascii="Times New Roman" w:hAnsi="Times New Roman"/>
      <w:color w:val="003366"/>
      <w:sz w:val="24"/>
    </w:rPr>
  </w:style>
  <w:style w:type="paragraph" w:styleId="MessageHeader">
    <w:name w:val="Message Header"/>
    <w:basedOn w:val="Normal"/>
    <w:link w:val="MessageHeaderChar"/>
    <w:semiHidden/>
    <w:rsid w:val="0051003F"/>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color w:val="003366"/>
      <w:sz w:val="24"/>
    </w:rPr>
  </w:style>
  <w:style w:type="character" w:customStyle="1" w:styleId="MessageHeaderChar">
    <w:name w:val="Message Header Char"/>
    <w:basedOn w:val="DefaultParagraphFont"/>
    <w:link w:val="MessageHeader"/>
    <w:semiHidden/>
    <w:rsid w:val="0051003F"/>
    <w:rPr>
      <w:rFonts w:ascii="Arial" w:eastAsia="Times New Roman" w:hAnsi="Arial" w:cs="Arial"/>
      <w:color w:val="003366"/>
      <w:szCs w:val="24"/>
      <w:shd w:val="pct20" w:color="auto" w:fill="auto"/>
    </w:rPr>
  </w:style>
  <w:style w:type="paragraph" w:styleId="NormalIndent">
    <w:name w:val="Normal Indent"/>
    <w:basedOn w:val="Normal"/>
    <w:semiHidden/>
    <w:rsid w:val="0051003F"/>
    <w:pPr>
      <w:ind w:left="720"/>
    </w:pPr>
    <w:rPr>
      <w:rFonts w:ascii="Arial" w:hAnsi="Arial"/>
      <w:color w:val="003366"/>
      <w:sz w:val="20"/>
    </w:rPr>
  </w:style>
  <w:style w:type="paragraph" w:styleId="NoteHeading">
    <w:name w:val="Note Heading"/>
    <w:basedOn w:val="Normal"/>
    <w:next w:val="Normal"/>
    <w:link w:val="NoteHeadingChar"/>
    <w:semiHidden/>
    <w:rsid w:val="0051003F"/>
    <w:pPr>
      <w:ind w:left="397"/>
    </w:pPr>
    <w:rPr>
      <w:rFonts w:ascii="Arial" w:hAnsi="Arial"/>
      <w:color w:val="003366"/>
      <w:sz w:val="20"/>
    </w:rPr>
  </w:style>
  <w:style w:type="character" w:customStyle="1" w:styleId="NoteHeadingChar">
    <w:name w:val="Note Heading Char"/>
    <w:basedOn w:val="DefaultParagraphFont"/>
    <w:link w:val="NoteHeading"/>
    <w:semiHidden/>
    <w:rsid w:val="0051003F"/>
    <w:rPr>
      <w:rFonts w:ascii="Arial" w:eastAsia="Times New Roman" w:hAnsi="Arial" w:cs="Times New Roman"/>
      <w:color w:val="003366"/>
      <w:sz w:val="20"/>
      <w:szCs w:val="24"/>
    </w:rPr>
  </w:style>
  <w:style w:type="paragraph" w:customStyle="1" w:styleId="Outline1">
    <w:name w:val="Outline1"/>
    <w:basedOn w:val="Normal"/>
    <w:next w:val="Normal"/>
    <w:semiHidden/>
    <w:rsid w:val="0051003F"/>
    <w:pPr>
      <w:keepNext/>
      <w:tabs>
        <w:tab w:val="num" w:pos="360"/>
        <w:tab w:val="num" w:pos="1440"/>
      </w:tabs>
      <w:spacing w:before="240"/>
      <w:ind w:left="360" w:hanging="360"/>
    </w:pPr>
    <w:rPr>
      <w:rFonts w:ascii="Arial" w:hAnsi="Arial" w:cs="Arial"/>
      <w:color w:val="003366"/>
      <w:kern w:val="28"/>
      <w:sz w:val="18"/>
      <w:szCs w:val="18"/>
    </w:rPr>
  </w:style>
  <w:style w:type="paragraph" w:customStyle="1" w:styleId="Outline2">
    <w:name w:val="Outline2"/>
    <w:basedOn w:val="Normal"/>
    <w:semiHidden/>
    <w:rsid w:val="0051003F"/>
    <w:pPr>
      <w:tabs>
        <w:tab w:val="num" w:pos="360"/>
        <w:tab w:val="num" w:pos="864"/>
        <w:tab w:val="num" w:pos="1440"/>
      </w:tabs>
      <w:spacing w:before="240"/>
      <w:ind w:left="864" w:hanging="504"/>
    </w:pPr>
    <w:rPr>
      <w:rFonts w:ascii="Arial" w:hAnsi="Arial" w:cs="Arial"/>
      <w:color w:val="003366"/>
      <w:kern w:val="28"/>
      <w:sz w:val="18"/>
      <w:szCs w:val="18"/>
    </w:rPr>
  </w:style>
  <w:style w:type="character" w:styleId="PageNumber">
    <w:name w:val="page number"/>
    <w:basedOn w:val="DefaultParagraphFont"/>
    <w:semiHidden/>
    <w:rsid w:val="0051003F"/>
  </w:style>
  <w:style w:type="paragraph" w:styleId="PlainText">
    <w:name w:val="Plain Text"/>
    <w:basedOn w:val="Normal"/>
    <w:link w:val="PlainTextChar"/>
    <w:semiHidden/>
    <w:rsid w:val="0051003F"/>
    <w:pPr>
      <w:ind w:left="397"/>
    </w:pPr>
    <w:rPr>
      <w:rFonts w:ascii="Courier New" w:hAnsi="Courier New" w:cs="Courier New"/>
      <w:color w:val="003366"/>
      <w:sz w:val="20"/>
      <w:szCs w:val="20"/>
    </w:rPr>
  </w:style>
  <w:style w:type="character" w:customStyle="1" w:styleId="PlainTextChar">
    <w:name w:val="Plain Text Char"/>
    <w:basedOn w:val="DefaultParagraphFont"/>
    <w:link w:val="PlainText"/>
    <w:semiHidden/>
    <w:rsid w:val="0051003F"/>
    <w:rPr>
      <w:rFonts w:ascii="Courier New" w:eastAsia="Times New Roman" w:hAnsi="Courier New" w:cs="Courier New"/>
      <w:color w:val="003366"/>
      <w:sz w:val="20"/>
      <w:szCs w:val="20"/>
    </w:rPr>
  </w:style>
  <w:style w:type="paragraph" w:styleId="Salutation">
    <w:name w:val="Salutation"/>
    <w:basedOn w:val="Normal"/>
    <w:next w:val="Normal"/>
    <w:link w:val="SalutationChar"/>
    <w:semiHidden/>
    <w:rsid w:val="0051003F"/>
    <w:pPr>
      <w:ind w:left="397"/>
    </w:pPr>
    <w:rPr>
      <w:rFonts w:ascii="Arial" w:hAnsi="Arial"/>
      <w:color w:val="003366"/>
      <w:sz w:val="20"/>
    </w:rPr>
  </w:style>
  <w:style w:type="character" w:customStyle="1" w:styleId="SalutationChar">
    <w:name w:val="Salutation Char"/>
    <w:basedOn w:val="DefaultParagraphFont"/>
    <w:link w:val="Salutation"/>
    <w:semiHidden/>
    <w:rsid w:val="0051003F"/>
    <w:rPr>
      <w:rFonts w:ascii="Arial" w:eastAsia="Times New Roman" w:hAnsi="Arial" w:cs="Times New Roman"/>
      <w:color w:val="003366"/>
      <w:sz w:val="20"/>
      <w:szCs w:val="24"/>
    </w:rPr>
  </w:style>
  <w:style w:type="paragraph" w:styleId="Signature">
    <w:name w:val="Signature"/>
    <w:basedOn w:val="Normal"/>
    <w:link w:val="SignatureChar"/>
    <w:semiHidden/>
    <w:rsid w:val="0051003F"/>
    <w:pPr>
      <w:ind w:left="4252"/>
    </w:pPr>
    <w:rPr>
      <w:rFonts w:ascii="Arial" w:hAnsi="Arial"/>
      <w:color w:val="003366"/>
      <w:sz w:val="20"/>
    </w:rPr>
  </w:style>
  <w:style w:type="character" w:customStyle="1" w:styleId="SignatureChar">
    <w:name w:val="Signature Char"/>
    <w:basedOn w:val="DefaultParagraphFont"/>
    <w:link w:val="Signature"/>
    <w:semiHidden/>
    <w:rsid w:val="0051003F"/>
    <w:rPr>
      <w:rFonts w:ascii="Arial" w:eastAsia="Times New Roman" w:hAnsi="Arial" w:cs="Times New Roman"/>
      <w:color w:val="003366"/>
      <w:sz w:val="20"/>
      <w:szCs w:val="24"/>
    </w:rPr>
  </w:style>
  <w:style w:type="paragraph" w:customStyle="1" w:styleId="Smallarrows">
    <w:name w:val="Small arrows"/>
    <w:basedOn w:val="Normal"/>
    <w:rsid w:val="0051003F"/>
    <w:pPr>
      <w:tabs>
        <w:tab w:val="num" w:pos="1304"/>
      </w:tabs>
      <w:spacing w:before="120"/>
      <w:ind w:left="1304" w:hanging="377"/>
    </w:pPr>
    <w:rPr>
      <w:rFonts w:ascii="Arial Narrow" w:hAnsi="Arial Narrow"/>
      <w:color w:val="754E01"/>
      <w:szCs w:val="20"/>
    </w:rPr>
  </w:style>
  <w:style w:type="character" w:styleId="Strong">
    <w:name w:val="Strong"/>
    <w:basedOn w:val="DefaultParagraphFont"/>
    <w:qFormat/>
    <w:rsid w:val="0051003F"/>
    <w:rPr>
      <w:b/>
      <w:bCs/>
    </w:rPr>
  </w:style>
  <w:style w:type="paragraph" w:customStyle="1" w:styleId="StyleHeading3CenturyGothic12pt">
    <w:name w:val="Style Heading 3 + Century Gothic 12 pt"/>
    <w:basedOn w:val="Heading3"/>
    <w:rsid w:val="0051003F"/>
    <w:pPr>
      <w:keepLines w:val="0"/>
      <w:numPr>
        <w:ilvl w:val="2"/>
      </w:numPr>
      <w:tabs>
        <w:tab w:val="num" w:pos="720"/>
      </w:tabs>
      <w:spacing w:before="160" w:after="120" w:line="240" w:lineRule="auto"/>
      <w:ind w:left="720" w:hanging="720"/>
    </w:pPr>
    <w:rPr>
      <w:rFonts w:ascii="Century Gothic" w:eastAsia="Calibri" w:hAnsi="Century Gothic" w:cs="Arial"/>
      <w:bCs/>
      <w:color w:val="FFFFFF"/>
      <w:sz w:val="24"/>
      <w:szCs w:val="26"/>
      <w:lang w:val="en-US"/>
    </w:rPr>
  </w:style>
  <w:style w:type="paragraph" w:styleId="Subtitle">
    <w:name w:val="Subtitle"/>
    <w:basedOn w:val="Normal"/>
    <w:link w:val="SubtitleChar"/>
    <w:qFormat/>
    <w:rsid w:val="0051003F"/>
    <w:pPr>
      <w:spacing w:after="60"/>
      <w:ind w:left="397"/>
      <w:jc w:val="center"/>
      <w:outlineLvl w:val="1"/>
    </w:pPr>
    <w:rPr>
      <w:rFonts w:ascii="Arial" w:hAnsi="Arial" w:cs="Arial"/>
      <w:color w:val="003366"/>
      <w:sz w:val="20"/>
    </w:rPr>
  </w:style>
  <w:style w:type="character" w:customStyle="1" w:styleId="SubtitleChar">
    <w:name w:val="Subtitle Char"/>
    <w:basedOn w:val="DefaultParagraphFont"/>
    <w:link w:val="Subtitle"/>
    <w:rsid w:val="0051003F"/>
    <w:rPr>
      <w:rFonts w:ascii="Arial" w:eastAsia="Times New Roman" w:hAnsi="Arial" w:cs="Arial"/>
      <w:color w:val="003366"/>
      <w:sz w:val="20"/>
      <w:szCs w:val="24"/>
    </w:rPr>
  </w:style>
  <w:style w:type="table" w:styleId="Table3Deffects1">
    <w:name w:val="Table 3D effects 1"/>
    <w:basedOn w:val="TableNormal"/>
    <w:semiHidden/>
    <w:rsid w:val="0051003F"/>
    <w:pPr>
      <w:spacing w:after="0" w:line="240" w:lineRule="auto"/>
    </w:pPr>
    <w:rPr>
      <w:rFonts w:ascii="Times New Roman" w:eastAsia="Times New Roma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1003F"/>
    <w:pPr>
      <w:spacing w:after="0" w:line="240" w:lineRule="auto"/>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1003F"/>
    <w:pPr>
      <w:spacing w:after="0" w:line="240" w:lineRule="auto"/>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1003F"/>
    <w:pPr>
      <w:spacing w:after="0" w:line="240" w:lineRule="auto"/>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1003F"/>
    <w:pPr>
      <w:spacing w:after="0" w:line="240" w:lineRule="auto"/>
    </w:pPr>
    <w:rPr>
      <w:rFonts w:ascii="Times New Roman" w:eastAsia="Times New Roma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1003F"/>
    <w:pPr>
      <w:spacing w:after="0" w:line="240" w:lineRule="auto"/>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1003F"/>
    <w:pPr>
      <w:spacing w:after="0" w:line="240" w:lineRule="auto"/>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6">
    <w:name w:val="Table List 6"/>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Normal"/>
    <w:next w:val="Normal"/>
    <w:semiHidden/>
    <w:rsid w:val="0051003F"/>
    <w:pPr>
      <w:ind w:left="397" w:right="794"/>
    </w:pPr>
    <w:rPr>
      <w:rFonts w:ascii="Arial" w:hAnsi="Arial"/>
      <w:color w:val="003366"/>
      <w:sz w:val="20"/>
    </w:rPr>
  </w:style>
  <w:style w:type="table" w:styleId="TableProfessional">
    <w:name w:val="Table Professional"/>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1003F"/>
    <w:pPr>
      <w:spacing w:after="0" w:line="240" w:lineRule="auto"/>
    </w:pPr>
    <w:rPr>
      <w:rFonts w:ascii="Times New Roman" w:eastAsia="Times New Roma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Normal"/>
    <w:semiHidden/>
    <w:rsid w:val="0051003F"/>
    <w:pPr>
      <w:spacing w:before="60"/>
      <w:ind w:left="397"/>
    </w:pPr>
    <w:rPr>
      <w:rFonts w:ascii="Arial" w:hAnsi="Arial" w:cs="Arial"/>
      <w:color w:val="003366"/>
      <w:spacing w:val="-5"/>
      <w:sz w:val="16"/>
      <w:szCs w:val="16"/>
    </w:rPr>
  </w:style>
  <w:style w:type="table" w:styleId="TableTheme">
    <w:name w:val="Table Theme"/>
    <w:basedOn w:val="TableNormal"/>
    <w:semiHidden/>
    <w:rsid w:val="0051003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1003F"/>
    <w:pPr>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1003F"/>
    <w:pPr>
      <w:spacing w:after="0" w:line="240" w:lineRule="auto"/>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1003F"/>
    <w:pPr>
      <w:spacing w:after="0" w:line="240" w:lineRule="auto"/>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51003F"/>
    <w:pPr>
      <w:ind w:left="397"/>
      <w:jc w:val="center"/>
    </w:pPr>
    <w:rPr>
      <w:rFonts w:ascii="Arial" w:hAnsi="Arial" w:cs="Arial"/>
      <w:b/>
      <w:bCs/>
      <w:color w:val="003366"/>
      <w:sz w:val="20"/>
    </w:rPr>
  </w:style>
  <w:style w:type="character" w:customStyle="1" w:styleId="TitleChar">
    <w:name w:val="Title Char"/>
    <w:basedOn w:val="DefaultParagraphFont"/>
    <w:link w:val="Title"/>
    <w:rsid w:val="0051003F"/>
    <w:rPr>
      <w:rFonts w:ascii="Arial" w:eastAsia="Times New Roman" w:hAnsi="Arial" w:cs="Arial"/>
      <w:b/>
      <w:bCs/>
      <w:color w:val="003366"/>
      <w:sz w:val="20"/>
      <w:szCs w:val="24"/>
    </w:rPr>
  </w:style>
  <w:style w:type="paragraph" w:styleId="TOC4">
    <w:name w:val="toc 4"/>
    <w:basedOn w:val="Normal"/>
    <w:next w:val="Normal"/>
    <w:autoRedefine/>
    <w:semiHidden/>
    <w:rsid w:val="0051003F"/>
    <w:pPr>
      <w:tabs>
        <w:tab w:val="right" w:leader="dot" w:pos="8820"/>
      </w:tabs>
      <w:ind w:left="720"/>
    </w:pPr>
    <w:rPr>
      <w:rFonts w:ascii="Arial" w:hAnsi="Arial"/>
      <w:color w:val="003366"/>
      <w:sz w:val="20"/>
    </w:rPr>
  </w:style>
  <w:style w:type="paragraph" w:styleId="TOC5">
    <w:name w:val="toc 5"/>
    <w:basedOn w:val="Normal"/>
    <w:next w:val="Normal"/>
    <w:autoRedefine/>
    <w:semiHidden/>
    <w:rsid w:val="0051003F"/>
    <w:pPr>
      <w:tabs>
        <w:tab w:val="right" w:leader="dot" w:pos="9000"/>
      </w:tabs>
      <w:ind w:left="960"/>
    </w:pPr>
    <w:rPr>
      <w:rFonts w:ascii="Arial" w:hAnsi="Arial"/>
      <w:color w:val="003366"/>
      <w:sz w:val="20"/>
    </w:rPr>
  </w:style>
  <w:style w:type="paragraph" w:styleId="TOC6">
    <w:name w:val="toc 6"/>
    <w:basedOn w:val="Normal"/>
    <w:next w:val="Normal"/>
    <w:autoRedefine/>
    <w:semiHidden/>
    <w:rsid w:val="0051003F"/>
    <w:pPr>
      <w:tabs>
        <w:tab w:val="right" w:leader="dot" w:pos="8820"/>
      </w:tabs>
      <w:ind w:left="1200"/>
    </w:pPr>
    <w:rPr>
      <w:rFonts w:ascii="Arial" w:hAnsi="Arial"/>
      <w:color w:val="003366"/>
      <w:sz w:val="20"/>
    </w:rPr>
  </w:style>
  <w:style w:type="paragraph" w:styleId="TOC7">
    <w:name w:val="toc 7"/>
    <w:basedOn w:val="Normal"/>
    <w:next w:val="Normal"/>
    <w:autoRedefine/>
    <w:semiHidden/>
    <w:rsid w:val="0051003F"/>
    <w:pPr>
      <w:ind w:left="1440"/>
    </w:pPr>
    <w:rPr>
      <w:rFonts w:ascii="Arial" w:hAnsi="Arial"/>
      <w:color w:val="003366"/>
      <w:sz w:val="20"/>
    </w:rPr>
  </w:style>
  <w:style w:type="paragraph" w:styleId="TOC8">
    <w:name w:val="toc 8"/>
    <w:basedOn w:val="Normal"/>
    <w:next w:val="Normal"/>
    <w:autoRedefine/>
    <w:semiHidden/>
    <w:rsid w:val="0051003F"/>
    <w:pPr>
      <w:ind w:left="1680"/>
    </w:pPr>
    <w:rPr>
      <w:rFonts w:ascii="Arial" w:hAnsi="Arial"/>
      <w:color w:val="003366"/>
      <w:sz w:val="20"/>
    </w:rPr>
  </w:style>
  <w:style w:type="paragraph" w:styleId="TOC9">
    <w:name w:val="toc 9"/>
    <w:basedOn w:val="Normal"/>
    <w:next w:val="Normal"/>
    <w:autoRedefine/>
    <w:semiHidden/>
    <w:rsid w:val="0051003F"/>
    <w:pPr>
      <w:ind w:left="1920"/>
    </w:pPr>
    <w:rPr>
      <w:rFonts w:ascii="Arial" w:hAnsi="Arial"/>
      <w:color w:val="003366"/>
      <w:sz w:val="20"/>
    </w:rPr>
  </w:style>
  <w:style w:type="paragraph" w:customStyle="1" w:styleId="TOCBase">
    <w:name w:val="TOC Base"/>
    <w:basedOn w:val="Normal"/>
    <w:rsid w:val="0051003F"/>
    <w:pPr>
      <w:tabs>
        <w:tab w:val="right" w:leader="dot" w:pos="6480"/>
      </w:tabs>
      <w:spacing w:after="240" w:line="240" w:lineRule="atLeast"/>
      <w:ind w:left="397"/>
    </w:pPr>
    <w:rPr>
      <w:rFonts w:ascii="Arial" w:hAnsi="Arial" w:cs="Arial"/>
      <w:color w:val="003366"/>
      <w:spacing w:val="-5"/>
      <w:szCs w:val="22"/>
    </w:rPr>
  </w:style>
  <w:style w:type="paragraph" w:customStyle="1" w:styleId="StyleCaption">
    <w:name w:val="Style Caption +"/>
    <w:basedOn w:val="Caption"/>
    <w:rsid w:val="0051003F"/>
  </w:style>
  <w:style w:type="paragraph" w:customStyle="1" w:styleId="StyleCenturyGothic11ptBoldCentered">
    <w:name w:val="Style Century Gothic 11 pt Bold Centered"/>
    <w:basedOn w:val="Normal"/>
    <w:rsid w:val="0051003F"/>
    <w:pPr>
      <w:shd w:val="clear" w:color="auto" w:fill="E6C574"/>
      <w:ind w:left="397"/>
      <w:jc w:val="center"/>
    </w:pPr>
    <w:rPr>
      <w:rFonts w:ascii="Century Gothic" w:hAnsi="Century Gothic"/>
      <w:b/>
      <w:bCs/>
      <w:color w:val="003366"/>
      <w:szCs w:val="20"/>
    </w:rPr>
  </w:style>
  <w:style w:type="paragraph" w:customStyle="1" w:styleId="StyleStyleCenturyGothic11ptBoldCentered">
    <w:name w:val="Style Style Century Gothic 11 pt Bold Centered +"/>
    <w:basedOn w:val="StyleCenturyGothic11ptBoldCentered"/>
    <w:rsid w:val="0051003F"/>
    <w:pPr>
      <w:shd w:val="clear" w:color="auto" w:fill="606060"/>
    </w:pPr>
    <w:rPr>
      <w:color w:val="FFFFFF"/>
    </w:rPr>
  </w:style>
  <w:style w:type="paragraph" w:customStyle="1" w:styleId="StyleStyleStyleCenturyGothic11ptBoldCentered">
    <w:name w:val="Style Style Style Century Gothic 11 pt Bold Centered + +"/>
    <w:basedOn w:val="StyleStyleCenturyGothic11ptBoldCentered"/>
    <w:rsid w:val="0051003F"/>
    <w:rPr>
      <w:b w:val="0"/>
    </w:rPr>
  </w:style>
  <w:style w:type="paragraph" w:customStyle="1" w:styleId="StyleHeading2">
    <w:name w:val="Style Heading 2"/>
    <w:basedOn w:val="Heading2"/>
    <w:rsid w:val="0051003F"/>
    <w:pPr>
      <w:keepLines w:val="0"/>
      <w:tabs>
        <w:tab w:val="num" w:pos="340"/>
      </w:tabs>
      <w:spacing w:after="120" w:line="240" w:lineRule="auto"/>
      <w:ind w:left="338" w:right="567" w:hanging="338"/>
    </w:pPr>
    <w:rPr>
      <w:rFonts w:ascii="Lucida Sans Unicode" w:eastAsia="Gulim" w:hAnsi="Lucida Sans Unicode" w:cs="Arial"/>
      <w:b w:val="0"/>
      <w:bCs/>
      <w:i/>
      <w:iCs/>
      <w:caps/>
      <w:color w:val="333333"/>
      <w:kern w:val="32"/>
      <w:lang w:val="en-US"/>
    </w:rPr>
  </w:style>
  <w:style w:type="paragraph" w:customStyle="1" w:styleId="StyleStyleHeading2">
    <w:name w:val="Style Style Heading 2"/>
    <w:basedOn w:val="StyleHeading2"/>
    <w:rsid w:val="0051003F"/>
    <w:rPr>
      <w:bCs w:val="0"/>
      <w:color w:val="auto"/>
    </w:rPr>
  </w:style>
  <w:style w:type="paragraph" w:customStyle="1" w:styleId="Heading1M">
    <w:name w:val="Heading 1M"/>
    <w:basedOn w:val="Heading1"/>
    <w:link w:val="Heading1MChar"/>
    <w:rsid w:val="0051003F"/>
    <w:pPr>
      <w:keepLines w:val="0"/>
      <w:pBdr>
        <w:bottom w:val="single" w:sz="12" w:space="1" w:color="auto"/>
      </w:pBdr>
      <w:spacing w:after="60" w:line="240" w:lineRule="auto"/>
      <w:jc w:val="left"/>
    </w:pPr>
    <w:rPr>
      <w:rFonts w:ascii="Arial" w:eastAsia="Calibri" w:hAnsi="Arial" w:cs="Times New Roman"/>
      <w:b w:val="0"/>
      <w:caps/>
      <w:color w:val="auto"/>
      <w:kern w:val="32"/>
      <w:sz w:val="32"/>
      <w:szCs w:val="20"/>
      <w:lang w:val="en-US"/>
    </w:rPr>
  </w:style>
  <w:style w:type="paragraph" w:customStyle="1" w:styleId="CaptionTable">
    <w:name w:val="Caption Table"/>
    <w:basedOn w:val="Normal"/>
    <w:rsid w:val="0051003F"/>
    <w:pPr>
      <w:ind w:left="360"/>
    </w:pPr>
    <w:rPr>
      <w:rFonts w:ascii="Arial" w:eastAsia="Calibri" w:hAnsi="Arial"/>
      <w:color w:val="808080"/>
      <w:sz w:val="20"/>
      <w:szCs w:val="20"/>
    </w:rPr>
  </w:style>
  <w:style w:type="paragraph" w:customStyle="1" w:styleId="Style10ptAutoLeftRight0cm">
    <w:name w:val="Style 10 pt Auto Left Right:  0 cm"/>
    <w:basedOn w:val="Normal"/>
    <w:rsid w:val="0051003F"/>
    <w:pPr>
      <w:ind w:left="397"/>
    </w:pPr>
    <w:rPr>
      <w:rFonts w:ascii="Arial" w:hAnsi="Arial"/>
      <w:sz w:val="20"/>
      <w:szCs w:val="20"/>
    </w:rPr>
  </w:style>
  <w:style w:type="paragraph" w:customStyle="1" w:styleId="BodyTextNumbered">
    <w:name w:val="Body Text Numbered"/>
    <w:basedOn w:val="BodyText"/>
    <w:rsid w:val="0051003F"/>
    <w:pPr>
      <w:numPr>
        <w:numId w:val="19"/>
      </w:numPr>
      <w:tabs>
        <w:tab w:val="left" w:pos="468"/>
      </w:tabs>
      <w:spacing w:after="0"/>
    </w:pPr>
    <w:rPr>
      <w:rFonts w:ascii="Century Gothic" w:hAnsi="Century Gothic"/>
      <w:color w:val="auto"/>
      <w:sz w:val="20"/>
      <w:szCs w:val="24"/>
    </w:rPr>
  </w:style>
  <w:style w:type="character" w:customStyle="1" w:styleId="Heading1MChar">
    <w:name w:val="Heading 1M Char"/>
    <w:basedOn w:val="Heading1Char"/>
    <w:link w:val="Heading1M"/>
    <w:rsid w:val="0051003F"/>
    <w:rPr>
      <w:rFonts w:ascii="Arial" w:eastAsia="Calibri" w:hAnsi="Arial" w:cs="Times New Roman"/>
      <w:b/>
      <w:caps/>
      <w:color w:val="365F91" w:themeColor="accent1" w:themeShade="BF"/>
      <w:kern w:val="32"/>
      <w:sz w:val="32"/>
      <w:szCs w:val="20"/>
      <w:lang w:val="en-GB"/>
    </w:rPr>
  </w:style>
  <w:style w:type="paragraph" w:styleId="EndnoteText">
    <w:name w:val="endnote text"/>
    <w:basedOn w:val="Normal"/>
    <w:link w:val="EndnoteTextChar"/>
    <w:semiHidden/>
    <w:rsid w:val="0051003F"/>
    <w:pPr>
      <w:ind w:left="397"/>
    </w:pPr>
    <w:rPr>
      <w:rFonts w:ascii="Arial" w:hAnsi="Arial"/>
      <w:color w:val="003366"/>
      <w:sz w:val="20"/>
      <w:szCs w:val="20"/>
    </w:rPr>
  </w:style>
  <w:style w:type="character" w:customStyle="1" w:styleId="EndnoteTextChar">
    <w:name w:val="Endnote Text Char"/>
    <w:basedOn w:val="DefaultParagraphFont"/>
    <w:link w:val="EndnoteText"/>
    <w:semiHidden/>
    <w:rsid w:val="0051003F"/>
    <w:rPr>
      <w:rFonts w:ascii="Arial" w:eastAsia="Times New Roman" w:hAnsi="Arial" w:cs="Times New Roman"/>
      <w:color w:val="003366"/>
      <w:sz w:val="20"/>
      <w:szCs w:val="20"/>
    </w:rPr>
  </w:style>
  <w:style w:type="character" w:styleId="EndnoteReference">
    <w:name w:val="endnote reference"/>
    <w:basedOn w:val="DefaultParagraphFont"/>
    <w:semiHidden/>
    <w:rsid w:val="0051003F"/>
    <w:rPr>
      <w:vertAlign w:val="superscript"/>
    </w:rPr>
  </w:style>
  <w:style w:type="table" w:customStyle="1" w:styleId="TableGrid10">
    <w:name w:val="Table Grid1"/>
    <w:basedOn w:val="TableNormal"/>
    <w:next w:val="TableGrid"/>
    <w:uiPriority w:val="59"/>
    <w:rsid w:val="00320EA4"/>
    <w:pPr>
      <w:spacing w:after="0" w:line="240" w:lineRule="auto"/>
    </w:pPr>
    <w:rPr>
      <w:rFonts w:eastAsiaTheme="minorEastAsia"/>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320EA4"/>
    <w:pPr>
      <w:jc w:val="center"/>
    </w:pPr>
    <w:rPr>
      <w:rFonts w:ascii="Times New Roman" w:hAnsi="Times New Roman"/>
      <w:noProof/>
      <w:sz w:val="24"/>
    </w:rPr>
  </w:style>
  <w:style w:type="character" w:customStyle="1" w:styleId="EndNoteBibliographyTitleChar">
    <w:name w:val="EndNote Bibliography Title Char"/>
    <w:basedOn w:val="DefaultParagraphFont"/>
    <w:link w:val="EndNoteBibliographyTitle"/>
    <w:rsid w:val="00320EA4"/>
    <w:rPr>
      <w:rFonts w:ascii="Times New Roman" w:eastAsia="Times New Roman" w:hAnsi="Times New Roman" w:cs="Times New Roman"/>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294">
      <w:bodyDiv w:val="1"/>
      <w:marLeft w:val="0"/>
      <w:marRight w:val="0"/>
      <w:marTop w:val="0"/>
      <w:marBottom w:val="0"/>
      <w:divBdr>
        <w:top w:val="none" w:sz="0" w:space="0" w:color="auto"/>
        <w:left w:val="none" w:sz="0" w:space="0" w:color="auto"/>
        <w:bottom w:val="none" w:sz="0" w:space="0" w:color="auto"/>
        <w:right w:val="none" w:sz="0" w:space="0" w:color="auto"/>
      </w:divBdr>
    </w:div>
    <w:div w:id="10493248">
      <w:bodyDiv w:val="1"/>
      <w:marLeft w:val="0"/>
      <w:marRight w:val="0"/>
      <w:marTop w:val="0"/>
      <w:marBottom w:val="0"/>
      <w:divBdr>
        <w:top w:val="none" w:sz="0" w:space="0" w:color="auto"/>
        <w:left w:val="none" w:sz="0" w:space="0" w:color="auto"/>
        <w:bottom w:val="none" w:sz="0" w:space="0" w:color="auto"/>
        <w:right w:val="none" w:sz="0" w:space="0" w:color="auto"/>
      </w:divBdr>
    </w:div>
    <w:div w:id="54279566">
      <w:bodyDiv w:val="1"/>
      <w:marLeft w:val="0"/>
      <w:marRight w:val="0"/>
      <w:marTop w:val="0"/>
      <w:marBottom w:val="0"/>
      <w:divBdr>
        <w:top w:val="none" w:sz="0" w:space="0" w:color="auto"/>
        <w:left w:val="none" w:sz="0" w:space="0" w:color="auto"/>
        <w:bottom w:val="none" w:sz="0" w:space="0" w:color="auto"/>
        <w:right w:val="none" w:sz="0" w:space="0" w:color="auto"/>
      </w:divBdr>
    </w:div>
    <w:div w:id="81731074">
      <w:bodyDiv w:val="1"/>
      <w:marLeft w:val="0"/>
      <w:marRight w:val="0"/>
      <w:marTop w:val="0"/>
      <w:marBottom w:val="0"/>
      <w:divBdr>
        <w:top w:val="none" w:sz="0" w:space="0" w:color="auto"/>
        <w:left w:val="none" w:sz="0" w:space="0" w:color="auto"/>
        <w:bottom w:val="none" w:sz="0" w:space="0" w:color="auto"/>
        <w:right w:val="none" w:sz="0" w:space="0" w:color="auto"/>
      </w:divBdr>
    </w:div>
    <w:div w:id="167447112">
      <w:bodyDiv w:val="1"/>
      <w:marLeft w:val="0"/>
      <w:marRight w:val="0"/>
      <w:marTop w:val="0"/>
      <w:marBottom w:val="0"/>
      <w:divBdr>
        <w:top w:val="none" w:sz="0" w:space="0" w:color="auto"/>
        <w:left w:val="none" w:sz="0" w:space="0" w:color="auto"/>
        <w:bottom w:val="none" w:sz="0" w:space="0" w:color="auto"/>
        <w:right w:val="none" w:sz="0" w:space="0" w:color="auto"/>
      </w:divBdr>
    </w:div>
    <w:div w:id="171989196">
      <w:bodyDiv w:val="1"/>
      <w:marLeft w:val="0"/>
      <w:marRight w:val="0"/>
      <w:marTop w:val="0"/>
      <w:marBottom w:val="0"/>
      <w:divBdr>
        <w:top w:val="none" w:sz="0" w:space="0" w:color="auto"/>
        <w:left w:val="none" w:sz="0" w:space="0" w:color="auto"/>
        <w:bottom w:val="none" w:sz="0" w:space="0" w:color="auto"/>
        <w:right w:val="none" w:sz="0" w:space="0" w:color="auto"/>
      </w:divBdr>
    </w:div>
    <w:div w:id="191378750">
      <w:bodyDiv w:val="1"/>
      <w:marLeft w:val="0"/>
      <w:marRight w:val="0"/>
      <w:marTop w:val="0"/>
      <w:marBottom w:val="0"/>
      <w:divBdr>
        <w:top w:val="none" w:sz="0" w:space="0" w:color="auto"/>
        <w:left w:val="none" w:sz="0" w:space="0" w:color="auto"/>
        <w:bottom w:val="none" w:sz="0" w:space="0" w:color="auto"/>
        <w:right w:val="none" w:sz="0" w:space="0" w:color="auto"/>
      </w:divBdr>
    </w:div>
    <w:div w:id="211499650">
      <w:bodyDiv w:val="1"/>
      <w:marLeft w:val="0"/>
      <w:marRight w:val="0"/>
      <w:marTop w:val="0"/>
      <w:marBottom w:val="0"/>
      <w:divBdr>
        <w:top w:val="none" w:sz="0" w:space="0" w:color="auto"/>
        <w:left w:val="none" w:sz="0" w:space="0" w:color="auto"/>
        <w:bottom w:val="none" w:sz="0" w:space="0" w:color="auto"/>
        <w:right w:val="none" w:sz="0" w:space="0" w:color="auto"/>
      </w:divBdr>
    </w:div>
    <w:div w:id="214320262">
      <w:bodyDiv w:val="1"/>
      <w:marLeft w:val="0"/>
      <w:marRight w:val="0"/>
      <w:marTop w:val="0"/>
      <w:marBottom w:val="0"/>
      <w:divBdr>
        <w:top w:val="none" w:sz="0" w:space="0" w:color="auto"/>
        <w:left w:val="none" w:sz="0" w:space="0" w:color="auto"/>
        <w:bottom w:val="none" w:sz="0" w:space="0" w:color="auto"/>
        <w:right w:val="none" w:sz="0" w:space="0" w:color="auto"/>
      </w:divBdr>
    </w:div>
    <w:div w:id="248927480">
      <w:bodyDiv w:val="1"/>
      <w:marLeft w:val="0"/>
      <w:marRight w:val="0"/>
      <w:marTop w:val="0"/>
      <w:marBottom w:val="0"/>
      <w:divBdr>
        <w:top w:val="none" w:sz="0" w:space="0" w:color="auto"/>
        <w:left w:val="none" w:sz="0" w:space="0" w:color="auto"/>
        <w:bottom w:val="none" w:sz="0" w:space="0" w:color="auto"/>
        <w:right w:val="none" w:sz="0" w:space="0" w:color="auto"/>
      </w:divBdr>
    </w:div>
    <w:div w:id="312685087">
      <w:bodyDiv w:val="1"/>
      <w:marLeft w:val="0"/>
      <w:marRight w:val="0"/>
      <w:marTop w:val="0"/>
      <w:marBottom w:val="0"/>
      <w:divBdr>
        <w:top w:val="none" w:sz="0" w:space="0" w:color="auto"/>
        <w:left w:val="none" w:sz="0" w:space="0" w:color="auto"/>
        <w:bottom w:val="none" w:sz="0" w:space="0" w:color="auto"/>
        <w:right w:val="none" w:sz="0" w:space="0" w:color="auto"/>
      </w:divBdr>
    </w:div>
    <w:div w:id="416948073">
      <w:bodyDiv w:val="1"/>
      <w:marLeft w:val="0"/>
      <w:marRight w:val="0"/>
      <w:marTop w:val="0"/>
      <w:marBottom w:val="0"/>
      <w:divBdr>
        <w:top w:val="none" w:sz="0" w:space="0" w:color="auto"/>
        <w:left w:val="none" w:sz="0" w:space="0" w:color="auto"/>
        <w:bottom w:val="none" w:sz="0" w:space="0" w:color="auto"/>
        <w:right w:val="none" w:sz="0" w:space="0" w:color="auto"/>
      </w:divBdr>
    </w:div>
    <w:div w:id="467749607">
      <w:bodyDiv w:val="1"/>
      <w:marLeft w:val="0"/>
      <w:marRight w:val="0"/>
      <w:marTop w:val="0"/>
      <w:marBottom w:val="0"/>
      <w:divBdr>
        <w:top w:val="none" w:sz="0" w:space="0" w:color="auto"/>
        <w:left w:val="none" w:sz="0" w:space="0" w:color="auto"/>
        <w:bottom w:val="none" w:sz="0" w:space="0" w:color="auto"/>
        <w:right w:val="none" w:sz="0" w:space="0" w:color="auto"/>
      </w:divBdr>
    </w:div>
    <w:div w:id="515340245">
      <w:bodyDiv w:val="1"/>
      <w:marLeft w:val="0"/>
      <w:marRight w:val="0"/>
      <w:marTop w:val="0"/>
      <w:marBottom w:val="0"/>
      <w:divBdr>
        <w:top w:val="none" w:sz="0" w:space="0" w:color="auto"/>
        <w:left w:val="none" w:sz="0" w:space="0" w:color="auto"/>
        <w:bottom w:val="none" w:sz="0" w:space="0" w:color="auto"/>
        <w:right w:val="none" w:sz="0" w:space="0" w:color="auto"/>
      </w:divBdr>
    </w:div>
    <w:div w:id="534585760">
      <w:bodyDiv w:val="1"/>
      <w:marLeft w:val="0"/>
      <w:marRight w:val="0"/>
      <w:marTop w:val="0"/>
      <w:marBottom w:val="0"/>
      <w:divBdr>
        <w:top w:val="none" w:sz="0" w:space="0" w:color="auto"/>
        <w:left w:val="none" w:sz="0" w:space="0" w:color="auto"/>
        <w:bottom w:val="none" w:sz="0" w:space="0" w:color="auto"/>
        <w:right w:val="none" w:sz="0" w:space="0" w:color="auto"/>
      </w:divBdr>
    </w:div>
    <w:div w:id="631794311">
      <w:bodyDiv w:val="1"/>
      <w:marLeft w:val="0"/>
      <w:marRight w:val="0"/>
      <w:marTop w:val="0"/>
      <w:marBottom w:val="0"/>
      <w:divBdr>
        <w:top w:val="none" w:sz="0" w:space="0" w:color="auto"/>
        <w:left w:val="none" w:sz="0" w:space="0" w:color="auto"/>
        <w:bottom w:val="none" w:sz="0" w:space="0" w:color="auto"/>
        <w:right w:val="none" w:sz="0" w:space="0" w:color="auto"/>
      </w:divBdr>
    </w:div>
    <w:div w:id="677927295">
      <w:bodyDiv w:val="1"/>
      <w:marLeft w:val="0"/>
      <w:marRight w:val="0"/>
      <w:marTop w:val="0"/>
      <w:marBottom w:val="0"/>
      <w:divBdr>
        <w:top w:val="none" w:sz="0" w:space="0" w:color="auto"/>
        <w:left w:val="none" w:sz="0" w:space="0" w:color="auto"/>
        <w:bottom w:val="none" w:sz="0" w:space="0" w:color="auto"/>
        <w:right w:val="none" w:sz="0" w:space="0" w:color="auto"/>
      </w:divBdr>
    </w:div>
    <w:div w:id="700933623">
      <w:bodyDiv w:val="1"/>
      <w:marLeft w:val="0"/>
      <w:marRight w:val="0"/>
      <w:marTop w:val="0"/>
      <w:marBottom w:val="0"/>
      <w:divBdr>
        <w:top w:val="none" w:sz="0" w:space="0" w:color="auto"/>
        <w:left w:val="none" w:sz="0" w:space="0" w:color="auto"/>
        <w:bottom w:val="none" w:sz="0" w:space="0" w:color="auto"/>
        <w:right w:val="none" w:sz="0" w:space="0" w:color="auto"/>
      </w:divBdr>
    </w:div>
    <w:div w:id="736052991">
      <w:bodyDiv w:val="1"/>
      <w:marLeft w:val="0"/>
      <w:marRight w:val="0"/>
      <w:marTop w:val="0"/>
      <w:marBottom w:val="0"/>
      <w:divBdr>
        <w:top w:val="none" w:sz="0" w:space="0" w:color="auto"/>
        <w:left w:val="none" w:sz="0" w:space="0" w:color="auto"/>
        <w:bottom w:val="none" w:sz="0" w:space="0" w:color="auto"/>
        <w:right w:val="none" w:sz="0" w:space="0" w:color="auto"/>
      </w:divBdr>
    </w:div>
    <w:div w:id="802506205">
      <w:bodyDiv w:val="1"/>
      <w:marLeft w:val="0"/>
      <w:marRight w:val="0"/>
      <w:marTop w:val="0"/>
      <w:marBottom w:val="0"/>
      <w:divBdr>
        <w:top w:val="none" w:sz="0" w:space="0" w:color="auto"/>
        <w:left w:val="none" w:sz="0" w:space="0" w:color="auto"/>
        <w:bottom w:val="none" w:sz="0" w:space="0" w:color="auto"/>
        <w:right w:val="none" w:sz="0" w:space="0" w:color="auto"/>
      </w:divBdr>
    </w:div>
    <w:div w:id="821045421">
      <w:bodyDiv w:val="1"/>
      <w:marLeft w:val="0"/>
      <w:marRight w:val="0"/>
      <w:marTop w:val="0"/>
      <w:marBottom w:val="0"/>
      <w:divBdr>
        <w:top w:val="none" w:sz="0" w:space="0" w:color="auto"/>
        <w:left w:val="none" w:sz="0" w:space="0" w:color="auto"/>
        <w:bottom w:val="none" w:sz="0" w:space="0" w:color="auto"/>
        <w:right w:val="none" w:sz="0" w:space="0" w:color="auto"/>
      </w:divBdr>
    </w:div>
    <w:div w:id="854611478">
      <w:bodyDiv w:val="1"/>
      <w:marLeft w:val="0"/>
      <w:marRight w:val="0"/>
      <w:marTop w:val="0"/>
      <w:marBottom w:val="0"/>
      <w:divBdr>
        <w:top w:val="none" w:sz="0" w:space="0" w:color="auto"/>
        <w:left w:val="none" w:sz="0" w:space="0" w:color="auto"/>
        <w:bottom w:val="none" w:sz="0" w:space="0" w:color="auto"/>
        <w:right w:val="none" w:sz="0" w:space="0" w:color="auto"/>
      </w:divBdr>
    </w:div>
    <w:div w:id="918750616">
      <w:bodyDiv w:val="1"/>
      <w:marLeft w:val="0"/>
      <w:marRight w:val="0"/>
      <w:marTop w:val="0"/>
      <w:marBottom w:val="0"/>
      <w:divBdr>
        <w:top w:val="none" w:sz="0" w:space="0" w:color="auto"/>
        <w:left w:val="none" w:sz="0" w:space="0" w:color="auto"/>
        <w:bottom w:val="none" w:sz="0" w:space="0" w:color="auto"/>
        <w:right w:val="none" w:sz="0" w:space="0" w:color="auto"/>
      </w:divBdr>
    </w:div>
    <w:div w:id="923762239">
      <w:bodyDiv w:val="1"/>
      <w:marLeft w:val="0"/>
      <w:marRight w:val="0"/>
      <w:marTop w:val="0"/>
      <w:marBottom w:val="0"/>
      <w:divBdr>
        <w:top w:val="none" w:sz="0" w:space="0" w:color="auto"/>
        <w:left w:val="none" w:sz="0" w:space="0" w:color="auto"/>
        <w:bottom w:val="none" w:sz="0" w:space="0" w:color="auto"/>
        <w:right w:val="none" w:sz="0" w:space="0" w:color="auto"/>
      </w:divBdr>
    </w:div>
    <w:div w:id="967393783">
      <w:bodyDiv w:val="1"/>
      <w:marLeft w:val="0"/>
      <w:marRight w:val="0"/>
      <w:marTop w:val="0"/>
      <w:marBottom w:val="0"/>
      <w:divBdr>
        <w:top w:val="none" w:sz="0" w:space="0" w:color="auto"/>
        <w:left w:val="none" w:sz="0" w:space="0" w:color="auto"/>
        <w:bottom w:val="none" w:sz="0" w:space="0" w:color="auto"/>
        <w:right w:val="none" w:sz="0" w:space="0" w:color="auto"/>
      </w:divBdr>
    </w:div>
    <w:div w:id="1016076254">
      <w:bodyDiv w:val="1"/>
      <w:marLeft w:val="0"/>
      <w:marRight w:val="0"/>
      <w:marTop w:val="0"/>
      <w:marBottom w:val="0"/>
      <w:divBdr>
        <w:top w:val="none" w:sz="0" w:space="0" w:color="auto"/>
        <w:left w:val="none" w:sz="0" w:space="0" w:color="auto"/>
        <w:bottom w:val="none" w:sz="0" w:space="0" w:color="auto"/>
        <w:right w:val="none" w:sz="0" w:space="0" w:color="auto"/>
      </w:divBdr>
    </w:div>
    <w:div w:id="1035498278">
      <w:bodyDiv w:val="1"/>
      <w:marLeft w:val="0"/>
      <w:marRight w:val="0"/>
      <w:marTop w:val="0"/>
      <w:marBottom w:val="0"/>
      <w:divBdr>
        <w:top w:val="none" w:sz="0" w:space="0" w:color="auto"/>
        <w:left w:val="none" w:sz="0" w:space="0" w:color="auto"/>
        <w:bottom w:val="none" w:sz="0" w:space="0" w:color="auto"/>
        <w:right w:val="none" w:sz="0" w:space="0" w:color="auto"/>
      </w:divBdr>
    </w:div>
    <w:div w:id="1035959081">
      <w:bodyDiv w:val="1"/>
      <w:marLeft w:val="0"/>
      <w:marRight w:val="0"/>
      <w:marTop w:val="0"/>
      <w:marBottom w:val="0"/>
      <w:divBdr>
        <w:top w:val="none" w:sz="0" w:space="0" w:color="auto"/>
        <w:left w:val="none" w:sz="0" w:space="0" w:color="auto"/>
        <w:bottom w:val="none" w:sz="0" w:space="0" w:color="auto"/>
        <w:right w:val="none" w:sz="0" w:space="0" w:color="auto"/>
      </w:divBdr>
    </w:div>
    <w:div w:id="1046492413">
      <w:bodyDiv w:val="1"/>
      <w:marLeft w:val="0"/>
      <w:marRight w:val="0"/>
      <w:marTop w:val="0"/>
      <w:marBottom w:val="0"/>
      <w:divBdr>
        <w:top w:val="none" w:sz="0" w:space="0" w:color="auto"/>
        <w:left w:val="none" w:sz="0" w:space="0" w:color="auto"/>
        <w:bottom w:val="none" w:sz="0" w:space="0" w:color="auto"/>
        <w:right w:val="none" w:sz="0" w:space="0" w:color="auto"/>
      </w:divBdr>
    </w:div>
    <w:div w:id="1163083117">
      <w:bodyDiv w:val="1"/>
      <w:marLeft w:val="0"/>
      <w:marRight w:val="0"/>
      <w:marTop w:val="0"/>
      <w:marBottom w:val="0"/>
      <w:divBdr>
        <w:top w:val="none" w:sz="0" w:space="0" w:color="auto"/>
        <w:left w:val="none" w:sz="0" w:space="0" w:color="auto"/>
        <w:bottom w:val="none" w:sz="0" w:space="0" w:color="auto"/>
        <w:right w:val="none" w:sz="0" w:space="0" w:color="auto"/>
      </w:divBdr>
    </w:div>
    <w:div w:id="1167593303">
      <w:bodyDiv w:val="1"/>
      <w:marLeft w:val="0"/>
      <w:marRight w:val="0"/>
      <w:marTop w:val="0"/>
      <w:marBottom w:val="0"/>
      <w:divBdr>
        <w:top w:val="none" w:sz="0" w:space="0" w:color="auto"/>
        <w:left w:val="none" w:sz="0" w:space="0" w:color="auto"/>
        <w:bottom w:val="none" w:sz="0" w:space="0" w:color="auto"/>
        <w:right w:val="none" w:sz="0" w:space="0" w:color="auto"/>
      </w:divBdr>
    </w:div>
    <w:div w:id="1172142052">
      <w:bodyDiv w:val="1"/>
      <w:marLeft w:val="0"/>
      <w:marRight w:val="0"/>
      <w:marTop w:val="0"/>
      <w:marBottom w:val="0"/>
      <w:divBdr>
        <w:top w:val="none" w:sz="0" w:space="0" w:color="auto"/>
        <w:left w:val="none" w:sz="0" w:space="0" w:color="auto"/>
        <w:bottom w:val="none" w:sz="0" w:space="0" w:color="auto"/>
        <w:right w:val="none" w:sz="0" w:space="0" w:color="auto"/>
      </w:divBdr>
    </w:div>
    <w:div w:id="1207639980">
      <w:bodyDiv w:val="1"/>
      <w:marLeft w:val="0"/>
      <w:marRight w:val="0"/>
      <w:marTop w:val="0"/>
      <w:marBottom w:val="0"/>
      <w:divBdr>
        <w:top w:val="none" w:sz="0" w:space="0" w:color="auto"/>
        <w:left w:val="none" w:sz="0" w:space="0" w:color="auto"/>
        <w:bottom w:val="none" w:sz="0" w:space="0" w:color="auto"/>
        <w:right w:val="none" w:sz="0" w:space="0" w:color="auto"/>
      </w:divBdr>
    </w:div>
    <w:div w:id="1208571654">
      <w:bodyDiv w:val="1"/>
      <w:marLeft w:val="0"/>
      <w:marRight w:val="0"/>
      <w:marTop w:val="0"/>
      <w:marBottom w:val="0"/>
      <w:divBdr>
        <w:top w:val="none" w:sz="0" w:space="0" w:color="auto"/>
        <w:left w:val="none" w:sz="0" w:space="0" w:color="auto"/>
        <w:bottom w:val="none" w:sz="0" w:space="0" w:color="auto"/>
        <w:right w:val="none" w:sz="0" w:space="0" w:color="auto"/>
      </w:divBdr>
    </w:div>
    <w:div w:id="1401713253">
      <w:bodyDiv w:val="1"/>
      <w:marLeft w:val="0"/>
      <w:marRight w:val="0"/>
      <w:marTop w:val="0"/>
      <w:marBottom w:val="0"/>
      <w:divBdr>
        <w:top w:val="none" w:sz="0" w:space="0" w:color="auto"/>
        <w:left w:val="none" w:sz="0" w:space="0" w:color="auto"/>
        <w:bottom w:val="none" w:sz="0" w:space="0" w:color="auto"/>
        <w:right w:val="none" w:sz="0" w:space="0" w:color="auto"/>
      </w:divBdr>
    </w:div>
    <w:div w:id="1470054549">
      <w:bodyDiv w:val="1"/>
      <w:marLeft w:val="0"/>
      <w:marRight w:val="0"/>
      <w:marTop w:val="0"/>
      <w:marBottom w:val="0"/>
      <w:divBdr>
        <w:top w:val="none" w:sz="0" w:space="0" w:color="auto"/>
        <w:left w:val="none" w:sz="0" w:space="0" w:color="auto"/>
        <w:bottom w:val="none" w:sz="0" w:space="0" w:color="auto"/>
        <w:right w:val="none" w:sz="0" w:space="0" w:color="auto"/>
      </w:divBdr>
    </w:div>
    <w:div w:id="1472555566">
      <w:bodyDiv w:val="1"/>
      <w:marLeft w:val="0"/>
      <w:marRight w:val="0"/>
      <w:marTop w:val="0"/>
      <w:marBottom w:val="0"/>
      <w:divBdr>
        <w:top w:val="none" w:sz="0" w:space="0" w:color="auto"/>
        <w:left w:val="none" w:sz="0" w:space="0" w:color="auto"/>
        <w:bottom w:val="none" w:sz="0" w:space="0" w:color="auto"/>
        <w:right w:val="none" w:sz="0" w:space="0" w:color="auto"/>
      </w:divBdr>
    </w:div>
    <w:div w:id="1499343467">
      <w:bodyDiv w:val="1"/>
      <w:marLeft w:val="0"/>
      <w:marRight w:val="0"/>
      <w:marTop w:val="0"/>
      <w:marBottom w:val="0"/>
      <w:divBdr>
        <w:top w:val="none" w:sz="0" w:space="0" w:color="auto"/>
        <w:left w:val="none" w:sz="0" w:space="0" w:color="auto"/>
        <w:bottom w:val="none" w:sz="0" w:space="0" w:color="auto"/>
        <w:right w:val="none" w:sz="0" w:space="0" w:color="auto"/>
      </w:divBdr>
    </w:div>
    <w:div w:id="1546024092">
      <w:bodyDiv w:val="1"/>
      <w:marLeft w:val="0"/>
      <w:marRight w:val="0"/>
      <w:marTop w:val="0"/>
      <w:marBottom w:val="0"/>
      <w:divBdr>
        <w:top w:val="none" w:sz="0" w:space="0" w:color="auto"/>
        <w:left w:val="none" w:sz="0" w:space="0" w:color="auto"/>
        <w:bottom w:val="none" w:sz="0" w:space="0" w:color="auto"/>
        <w:right w:val="none" w:sz="0" w:space="0" w:color="auto"/>
      </w:divBdr>
    </w:div>
    <w:div w:id="1551264259">
      <w:bodyDiv w:val="1"/>
      <w:marLeft w:val="0"/>
      <w:marRight w:val="0"/>
      <w:marTop w:val="0"/>
      <w:marBottom w:val="0"/>
      <w:divBdr>
        <w:top w:val="none" w:sz="0" w:space="0" w:color="auto"/>
        <w:left w:val="none" w:sz="0" w:space="0" w:color="auto"/>
        <w:bottom w:val="none" w:sz="0" w:space="0" w:color="auto"/>
        <w:right w:val="none" w:sz="0" w:space="0" w:color="auto"/>
      </w:divBdr>
      <w:divsChild>
        <w:div w:id="564801009">
          <w:marLeft w:val="0"/>
          <w:marRight w:val="0"/>
          <w:marTop w:val="0"/>
          <w:marBottom w:val="0"/>
          <w:divBdr>
            <w:top w:val="none" w:sz="0" w:space="0" w:color="auto"/>
            <w:left w:val="none" w:sz="0" w:space="0" w:color="auto"/>
            <w:bottom w:val="none" w:sz="0" w:space="0" w:color="auto"/>
            <w:right w:val="none" w:sz="0" w:space="0" w:color="auto"/>
          </w:divBdr>
          <w:divsChild>
            <w:div w:id="1248926009">
              <w:marLeft w:val="0"/>
              <w:marRight w:val="0"/>
              <w:marTop w:val="0"/>
              <w:marBottom w:val="0"/>
              <w:divBdr>
                <w:top w:val="none" w:sz="0" w:space="0" w:color="auto"/>
                <w:left w:val="none" w:sz="0" w:space="0" w:color="auto"/>
                <w:bottom w:val="none" w:sz="0" w:space="0" w:color="auto"/>
                <w:right w:val="none" w:sz="0" w:space="0" w:color="auto"/>
              </w:divBdr>
              <w:divsChild>
                <w:div w:id="229966730">
                  <w:marLeft w:val="0"/>
                  <w:marRight w:val="0"/>
                  <w:marTop w:val="0"/>
                  <w:marBottom w:val="0"/>
                  <w:divBdr>
                    <w:top w:val="none" w:sz="0" w:space="0" w:color="auto"/>
                    <w:left w:val="none" w:sz="0" w:space="0" w:color="auto"/>
                    <w:bottom w:val="none" w:sz="0" w:space="0" w:color="auto"/>
                    <w:right w:val="none" w:sz="0" w:space="0" w:color="auto"/>
                  </w:divBdr>
                  <w:divsChild>
                    <w:div w:id="547499752">
                      <w:marLeft w:val="0"/>
                      <w:marRight w:val="0"/>
                      <w:marTop w:val="0"/>
                      <w:marBottom w:val="0"/>
                      <w:divBdr>
                        <w:top w:val="none" w:sz="0" w:space="0" w:color="auto"/>
                        <w:left w:val="none" w:sz="0" w:space="0" w:color="auto"/>
                        <w:bottom w:val="none" w:sz="0" w:space="0" w:color="auto"/>
                        <w:right w:val="none" w:sz="0" w:space="0" w:color="auto"/>
                      </w:divBdr>
                      <w:divsChild>
                        <w:div w:id="1601646869">
                          <w:marLeft w:val="0"/>
                          <w:marRight w:val="0"/>
                          <w:marTop w:val="0"/>
                          <w:marBottom w:val="0"/>
                          <w:divBdr>
                            <w:top w:val="none" w:sz="0" w:space="0" w:color="auto"/>
                            <w:left w:val="none" w:sz="0" w:space="0" w:color="auto"/>
                            <w:bottom w:val="none" w:sz="0" w:space="0" w:color="auto"/>
                            <w:right w:val="none" w:sz="0" w:space="0" w:color="auto"/>
                          </w:divBdr>
                          <w:divsChild>
                            <w:div w:id="71776857">
                              <w:marLeft w:val="0"/>
                              <w:marRight w:val="0"/>
                              <w:marTop w:val="0"/>
                              <w:marBottom w:val="0"/>
                              <w:divBdr>
                                <w:top w:val="none" w:sz="0" w:space="0" w:color="auto"/>
                                <w:left w:val="none" w:sz="0" w:space="0" w:color="auto"/>
                                <w:bottom w:val="none" w:sz="0" w:space="0" w:color="auto"/>
                                <w:right w:val="none" w:sz="0" w:space="0" w:color="auto"/>
                              </w:divBdr>
                            </w:div>
                            <w:div w:id="15022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610933">
          <w:marLeft w:val="0"/>
          <w:marRight w:val="0"/>
          <w:marTop w:val="0"/>
          <w:marBottom w:val="0"/>
          <w:divBdr>
            <w:top w:val="none" w:sz="0" w:space="0" w:color="auto"/>
            <w:left w:val="none" w:sz="0" w:space="0" w:color="auto"/>
            <w:bottom w:val="none" w:sz="0" w:space="0" w:color="auto"/>
            <w:right w:val="none" w:sz="0" w:space="0" w:color="auto"/>
          </w:divBdr>
        </w:div>
      </w:divsChild>
    </w:div>
    <w:div w:id="1557159391">
      <w:bodyDiv w:val="1"/>
      <w:marLeft w:val="0"/>
      <w:marRight w:val="0"/>
      <w:marTop w:val="0"/>
      <w:marBottom w:val="0"/>
      <w:divBdr>
        <w:top w:val="none" w:sz="0" w:space="0" w:color="auto"/>
        <w:left w:val="none" w:sz="0" w:space="0" w:color="auto"/>
        <w:bottom w:val="none" w:sz="0" w:space="0" w:color="auto"/>
        <w:right w:val="none" w:sz="0" w:space="0" w:color="auto"/>
      </w:divBdr>
    </w:div>
    <w:div w:id="1659651200">
      <w:bodyDiv w:val="1"/>
      <w:marLeft w:val="0"/>
      <w:marRight w:val="0"/>
      <w:marTop w:val="0"/>
      <w:marBottom w:val="0"/>
      <w:divBdr>
        <w:top w:val="none" w:sz="0" w:space="0" w:color="auto"/>
        <w:left w:val="none" w:sz="0" w:space="0" w:color="auto"/>
        <w:bottom w:val="none" w:sz="0" w:space="0" w:color="auto"/>
        <w:right w:val="none" w:sz="0" w:space="0" w:color="auto"/>
      </w:divBdr>
    </w:div>
    <w:div w:id="1668748775">
      <w:bodyDiv w:val="1"/>
      <w:marLeft w:val="0"/>
      <w:marRight w:val="0"/>
      <w:marTop w:val="0"/>
      <w:marBottom w:val="0"/>
      <w:divBdr>
        <w:top w:val="none" w:sz="0" w:space="0" w:color="auto"/>
        <w:left w:val="none" w:sz="0" w:space="0" w:color="auto"/>
        <w:bottom w:val="none" w:sz="0" w:space="0" w:color="auto"/>
        <w:right w:val="none" w:sz="0" w:space="0" w:color="auto"/>
      </w:divBdr>
    </w:div>
    <w:div w:id="1681735110">
      <w:bodyDiv w:val="1"/>
      <w:marLeft w:val="0"/>
      <w:marRight w:val="0"/>
      <w:marTop w:val="0"/>
      <w:marBottom w:val="0"/>
      <w:divBdr>
        <w:top w:val="none" w:sz="0" w:space="0" w:color="auto"/>
        <w:left w:val="none" w:sz="0" w:space="0" w:color="auto"/>
        <w:bottom w:val="none" w:sz="0" w:space="0" w:color="auto"/>
        <w:right w:val="none" w:sz="0" w:space="0" w:color="auto"/>
      </w:divBdr>
    </w:div>
    <w:div w:id="1683510888">
      <w:bodyDiv w:val="1"/>
      <w:marLeft w:val="0"/>
      <w:marRight w:val="0"/>
      <w:marTop w:val="0"/>
      <w:marBottom w:val="0"/>
      <w:divBdr>
        <w:top w:val="none" w:sz="0" w:space="0" w:color="auto"/>
        <w:left w:val="none" w:sz="0" w:space="0" w:color="auto"/>
        <w:bottom w:val="none" w:sz="0" w:space="0" w:color="auto"/>
        <w:right w:val="none" w:sz="0" w:space="0" w:color="auto"/>
      </w:divBdr>
    </w:div>
    <w:div w:id="1745373852">
      <w:bodyDiv w:val="1"/>
      <w:marLeft w:val="0"/>
      <w:marRight w:val="0"/>
      <w:marTop w:val="0"/>
      <w:marBottom w:val="0"/>
      <w:divBdr>
        <w:top w:val="none" w:sz="0" w:space="0" w:color="auto"/>
        <w:left w:val="none" w:sz="0" w:space="0" w:color="auto"/>
        <w:bottom w:val="none" w:sz="0" w:space="0" w:color="auto"/>
        <w:right w:val="none" w:sz="0" w:space="0" w:color="auto"/>
      </w:divBdr>
      <w:divsChild>
        <w:div w:id="1170490305">
          <w:marLeft w:val="276"/>
          <w:marRight w:val="0"/>
          <w:marTop w:val="0"/>
          <w:marBottom w:val="0"/>
          <w:divBdr>
            <w:top w:val="none" w:sz="0" w:space="0" w:color="auto"/>
            <w:left w:val="none" w:sz="0" w:space="0" w:color="auto"/>
            <w:bottom w:val="none" w:sz="0" w:space="0" w:color="auto"/>
            <w:right w:val="none" w:sz="0" w:space="0" w:color="auto"/>
          </w:divBdr>
        </w:div>
      </w:divsChild>
    </w:div>
    <w:div w:id="1790201023">
      <w:bodyDiv w:val="1"/>
      <w:marLeft w:val="0"/>
      <w:marRight w:val="0"/>
      <w:marTop w:val="0"/>
      <w:marBottom w:val="0"/>
      <w:divBdr>
        <w:top w:val="none" w:sz="0" w:space="0" w:color="auto"/>
        <w:left w:val="none" w:sz="0" w:space="0" w:color="auto"/>
        <w:bottom w:val="none" w:sz="0" w:space="0" w:color="auto"/>
        <w:right w:val="none" w:sz="0" w:space="0" w:color="auto"/>
      </w:divBdr>
    </w:div>
    <w:div w:id="1792363798">
      <w:bodyDiv w:val="1"/>
      <w:marLeft w:val="0"/>
      <w:marRight w:val="0"/>
      <w:marTop w:val="0"/>
      <w:marBottom w:val="0"/>
      <w:divBdr>
        <w:top w:val="none" w:sz="0" w:space="0" w:color="auto"/>
        <w:left w:val="none" w:sz="0" w:space="0" w:color="auto"/>
        <w:bottom w:val="none" w:sz="0" w:space="0" w:color="auto"/>
        <w:right w:val="none" w:sz="0" w:space="0" w:color="auto"/>
      </w:divBdr>
    </w:div>
    <w:div w:id="1798378211">
      <w:bodyDiv w:val="1"/>
      <w:marLeft w:val="0"/>
      <w:marRight w:val="0"/>
      <w:marTop w:val="0"/>
      <w:marBottom w:val="0"/>
      <w:divBdr>
        <w:top w:val="none" w:sz="0" w:space="0" w:color="auto"/>
        <w:left w:val="none" w:sz="0" w:space="0" w:color="auto"/>
        <w:bottom w:val="none" w:sz="0" w:space="0" w:color="auto"/>
        <w:right w:val="none" w:sz="0" w:space="0" w:color="auto"/>
      </w:divBdr>
    </w:div>
    <w:div w:id="1830051918">
      <w:bodyDiv w:val="1"/>
      <w:marLeft w:val="0"/>
      <w:marRight w:val="0"/>
      <w:marTop w:val="0"/>
      <w:marBottom w:val="0"/>
      <w:divBdr>
        <w:top w:val="none" w:sz="0" w:space="0" w:color="auto"/>
        <w:left w:val="none" w:sz="0" w:space="0" w:color="auto"/>
        <w:bottom w:val="none" w:sz="0" w:space="0" w:color="auto"/>
        <w:right w:val="none" w:sz="0" w:space="0" w:color="auto"/>
      </w:divBdr>
    </w:div>
    <w:div w:id="1866752329">
      <w:bodyDiv w:val="1"/>
      <w:marLeft w:val="0"/>
      <w:marRight w:val="0"/>
      <w:marTop w:val="0"/>
      <w:marBottom w:val="0"/>
      <w:divBdr>
        <w:top w:val="none" w:sz="0" w:space="0" w:color="auto"/>
        <w:left w:val="none" w:sz="0" w:space="0" w:color="auto"/>
        <w:bottom w:val="none" w:sz="0" w:space="0" w:color="auto"/>
        <w:right w:val="none" w:sz="0" w:space="0" w:color="auto"/>
      </w:divBdr>
    </w:div>
    <w:div w:id="1877428320">
      <w:bodyDiv w:val="1"/>
      <w:marLeft w:val="0"/>
      <w:marRight w:val="0"/>
      <w:marTop w:val="0"/>
      <w:marBottom w:val="0"/>
      <w:divBdr>
        <w:top w:val="none" w:sz="0" w:space="0" w:color="auto"/>
        <w:left w:val="none" w:sz="0" w:space="0" w:color="auto"/>
        <w:bottom w:val="none" w:sz="0" w:space="0" w:color="auto"/>
        <w:right w:val="none" w:sz="0" w:space="0" w:color="auto"/>
      </w:divBdr>
    </w:div>
    <w:div w:id="1879470189">
      <w:bodyDiv w:val="1"/>
      <w:marLeft w:val="0"/>
      <w:marRight w:val="0"/>
      <w:marTop w:val="0"/>
      <w:marBottom w:val="0"/>
      <w:divBdr>
        <w:top w:val="none" w:sz="0" w:space="0" w:color="auto"/>
        <w:left w:val="none" w:sz="0" w:space="0" w:color="auto"/>
        <w:bottom w:val="none" w:sz="0" w:space="0" w:color="auto"/>
        <w:right w:val="none" w:sz="0" w:space="0" w:color="auto"/>
      </w:divBdr>
    </w:div>
    <w:div w:id="1908565654">
      <w:bodyDiv w:val="1"/>
      <w:marLeft w:val="0"/>
      <w:marRight w:val="0"/>
      <w:marTop w:val="0"/>
      <w:marBottom w:val="0"/>
      <w:divBdr>
        <w:top w:val="none" w:sz="0" w:space="0" w:color="auto"/>
        <w:left w:val="none" w:sz="0" w:space="0" w:color="auto"/>
        <w:bottom w:val="none" w:sz="0" w:space="0" w:color="auto"/>
        <w:right w:val="none" w:sz="0" w:space="0" w:color="auto"/>
      </w:divBdr>
      <w:divsChild>
        <w:div w:id="1692488072">
          <w:marLeft w:val="276"/>
          <w:marRight w:val="0"/>
          <w:marTop w:val="0"/>
          <w:marBottom w:val="0"/>
          <w:divBdr>
            <w:top w:val="none" w:sz="0" w:space="0" w:color="auto"/>
            <w:left w:val="none" w:sz="0" w:space="0" w:color="auto"/>
            <w:bottom w:val="none" w:sz="0" w:space="0" w:color="auto"/>
            <w:right w:val="none" w:sz="0" w:space="0" w:color="auto"/>
          </w:divBdr>
        </w:div>
      </w:divsChild>
    </w:div>
    <w:div w:id="1937783042">
      <w:bodyDiv w:val="1"/>
      <w:marLeft w:val="0"/>
      <w:marRight w:val="0"/>
      <w:marTop w:val="0"/>
      <w:marBottom w:val="0"/>
      <w:divBdr>
        <w:top w:val="none" w:sz="0" w:space="0" w:color="auto"/>
        <w:left w:val="none" w:sz="0" w:space="0" w:color="auto"/>
        <w:bottom w:val="none" w:sz="0" w:space="0" w:color="auto"/>
        <w:right w:val="none" w:sz="0" w:space="0" w:color="auto"/>
      </w:divBdr>
    </w:div>
    <w:div w:id="1973049295">
      <w:bodyDiv w:val="1"/>
      <w:marLeft w:val="0"/>
      <w:marRight w:val="0"/>
      <w:marTop w:val="0"/>
      <w:marBottom w:val="0"/>
      <w:divBdr>
        <w:top w:val="none" w:sz="0" w:space="0" w:color="auto"/>
        <w:left w:val="none" w:sz="0" w:space="0" w:color="auto"/>
        <w:bottom w:val="none" w:sz="0" w:space="0" w:color="auto"/>
        <w:right w:val="none" w:sz="0" w:space="0" w:color="auto"/>
      </w:divBdr>
    </w:div>
    <w:div w:id="2031487141">
      <w:bodyDiv w:val="1"/>
      <w:marLeft w:val="0"/>
      <w:marRight w:val="0"/>
      <w:marTop w:val="0"/>
      <w:marBottom w:val="0"/>
      <w:divBdr>
        <w:top w:val="none" w:sz="0" w:space="0" w:color="auto"/>
        <w:left w:val="none" w:sz="0" w:space="0" w:color="auto"/>
        <w:bottom w:val="none" w:sz="0" w:space="0" w:color="auto"/>
        <w:right w:val="none" w:sz="0" w:space="0" w:color="auto"/>
      </w:divBdr>
    </w:div>
    <w:div w:id="2041126898">
      <w:bodyDiv w:val="1"/>
      <w:marLeft w:val="0"/>
      <w:marRight w:val="0"/>
      <w:marTop w:val="0"/>
      <w:marBottom w:val="0"/>
      <w:divBdr>
        <w:top w:val="none" w:sz="0" w:space="0" w:color="auto"/>
        <w:left w:val="none" w:sz="0" w:space="0" w:color="auto"/>
        <w:bottom w:val="none" w:sz="0" w:space="0" w:color="auto"/>
        <w:right w:val="none" w:sz="0" w:space="0" w:color="auto"/>
      </w:divBdr>
    </w:div>
    <w:div w:id="20481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Tag</b:Tag>
    <b:SourceType>Report</b:SourceType>
    <b:Guid>{DCCD306C-4E2E-473C-8EF3-2F2C259D583A}</b:Guid>
    <b:Author>
      <b:Author>
        <b:NameList>
          <b:Person>
            <b:Last>Taghreed&amp;al</b:Last>
          </b:Person>
        </b:NameList>
      </b:Author>
    </b:Author>
    <b:Title>Methods for the Costing Component of the Multi-Country Evaluation of IMCI</b:Title>
    <b:Year>2004</b:Year>
    <b:Publisher>World Health Organisation</b:Publisher>
    <b:RefOrder>1</b:RefOrder>
  </b:Source>
</b:Sources>
</file>

<file path=customXml/itemProps1.xml><?xml version="1.0" encoding="utf-8"?>
<ds:datastoreItem xmlns:ds="http://schemas.openxmlformats.org/officeDocument/2006/customXml" ds:itemID="{4C0ADA25-5E6F-445B-B1C3-B9E950795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6045</Words>
  <Characters>34463</Characters>
  <Application>Microsoft Office Word</Application>
  <DocSecurity>0</DocSecurity>
  <Lines>287</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London School of Hygiene &amp; Tropical Medicine</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Hoviyeh Afnan-Holmes</dc:creator>
  <cp:lastModifiedBy>Manuel Buraglia Manrique</cp:lastModifiedBy>
  <cp:revision>2</cp:revision>
  <cp:lastPrinted>2014-09-29T16:51:00Z</cp:lastPrinted>
  <dcterms:created xsi:type="dcterms:W3CDTF">2016-06-30T10:47:00Z</dcterms:created>
  <dcterms:modified xsi:type="dcterms:W3CDTF">2016-06-30T10:47:00Z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flevira@hotmail.com@www.mendeley.com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http://www.zotero.org/styles/bmc-bioinformatics</vt:lpwstr>
  </property>
  <property fmtid="{D5CDD505-2E9C-101B-9397-08002B2CF9AE}" pid="14" name="Mendeley Recent Style Name 4_1">
    <vt:lpwstr>BMC Bioinformatics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http://www.zotero.org/styles/national-library-of-medicine</vt:lpwstr>
  </property>
  <property fmtid="{D5CDD505-2E9C-101B-9397-08002B2CF9AE}" pid="22" name="Mendeley Recent Style Name 8_1">
    <vt:lpwstr>National Library of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