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AA7" w:rsidRPr="00693E0B" w:rsidRDefault="00E863D4" w:rsidP="00786AA7">
      <w:pPr>
        <w:spacing w:line="360" w:lineRule="auto"/>
        <w:jc w:val="both"/>
        <w:rPr>
          <w:rFonts w:ascii="Arial" w:hAnsi="Arial" w:cs="Tahoma"/>
          <w:sz w:val="20"/>
          <w:szCs w:val="20"/>
          <w:lang w:val="en-GB"/>
        </w:rPr>
      </w:pPr>
      <w:r>
        <w:rPr>
          <w:rFonts w:ascii="Arial" w:hAnsi="Arial" w:cs="Tahoma"/>
          <w:b/>
          <w:sz w:val="20"/>
          <w:szCs w:val="20"/>
          <w:lang w:val="en-GB"/>
        </w:rPr>
        <w:t xml:space="preserve">Supplementary </w:t>
      </w:r>
      <w:r w:rsidR="00786AA7" w:rsidRPr="00693E0B">
        <w:rPr>
          <w:rFonts w:ascii="Arial" w:hAnsi="Arial" w:cs="Tahoma"/>
          <w:b/>
          <w:sz w:val="20"/>
          <w:szCs w:val="20"/>
          <w:lang w:val="en-GB"/>
        </w:rPr>
        <w:t xml:space="preserve">Table </w:t>
      </w:r>
      <w:r w:rsidR="00786AA7">
        <w:rPr>
          <w:rFonts w:ascii="Arial" w:hAnsi="Arial" w:cs="Tahoma"/>
          <w:b/>
          <w:sz w:val="20"/>
          <w:szCs w:val="20"/>
          <w:lang w:val="en-GB"/>
        </w:rPr>
        <w:t>S</w:t>
      </w:r>
      <w:r w:rsidR="00504631">
        <w:rPr>
          <w:rFonts w:ascii="Arial" w:hAnsi="Arial" w:cs="Tahoma"/>
          <w:b/>
          <w:sz w:val="20"/>
          <w:szCs w:val="20"/>
          <w:lang w:val="en-GB"/>
        </w:rPr>
        <w:t>5</w:t>
      </w:r>
      <w:bookmarkStart w:id="0" w:name="_GoBack"/>
      <w:bookmarkEnd w:id="0"/>
      <w:r w:rsidR="00786AA7" w:rsidRPr="00693E0B">
        <w:rPr>
          <w:rFonts w:ascii="Arial" w:hAnsi="Arial" w:cs="Tahoma"/>
          <w:b/>
          <w:sz w:val="20"/>
          <w:szCs w:val="20"/>
          <w:lang w:val="en-GB"/>
        </w:rPr>
        <w:t>.</w:t>
      </w:r>
      <w:r w:rsidR="00786AA7" w:rsidRPr="00693E0B">
        <w:rPr>
          <w:rFonts w:ascii="Arial" w:hAnsi="Arial" w:cs="Tahoma"/>
          <w:sz w:val="20"/>
          <w:szCs w:val="20"/>
          <w:lang w:val="en-GB"/>
        </w:rPr>
        <w:t xml:space="preserve"> Prevalence ratios (PR) of drinking at least one alcoholic beverage per week by group of age estimated with multilevel Poisson regression models with robust variance among 14-17 years-old students from 6 European cities participating in the SILNE survey, 2013.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1"/>
        <w:gridCol w:w="235"/>
        <w:gridCol w:w="639"/>
        <w:gridCol w:w="1573"/>
        <w:gridCol w:w="235"/>
        <w:gridCol w:w="806"/>
        <w:gridCol w:w="1570"/>
        <w:gridCol w:w="235"/>
        <w:gridCol w:w="639"/>
        <w:gridCol w:w="1573"/>
        <w:gridCol w:w="235"/>
        <w:gridCol w:w="806"/>
        <w:gridCol w:w="1567"/>
      </w:tblGrid>
      <w:tr w:rsidR="00786AA7" w:rsidRPr="00693E0B" w:rsidTr="00DB0F6C">
        <w:trPr>
          <w:trHeight w:val="227"/>
        </w:trPr>
        <w:tc>
          <w:tcPr>
            <w:tcW w:w="1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17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center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14-15-years-old students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17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center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16-17-years-old students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center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Step 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center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Step 3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center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Step 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center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Step 3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PR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95%CI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Parental education level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Low level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Middle level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(0.82-1.55)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(0.84-1.52)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(0.87-1.32)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(0.83-1.26)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High level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1.22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(0.88-1.69)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1.23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(0.91-1.65)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(0.81-1.44)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(0.75-1.34)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Family Affluence Scale (FAS)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0 - 2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3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(0.61-1.86)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(0.59-1.70)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0.91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(0.72-1.16)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0.91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(0.72-1.15)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4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(0.77-1.76)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(0.71-1.55)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0.93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(0.71-1.21)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(0.67-1.15)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5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(0.85-2.03)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(0.76-1.78)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1.02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(0.80-1.32)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0.95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(0.75-1.22)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6 - 7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1.43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(0.98-2.08)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(0.82-1.65)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1.25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(1.00-1.57)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(0.91-1.40)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Academic achievement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Insufficient (&lt;50%)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Low (50-59%)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(0.52-1.51)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(0.51-1.45)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0.92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(0.64-1.32)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(0.60-1.28)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Average (60-69%)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0.70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(0.43-1.13)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0.68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(0.43-1.10)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(0.58-1.35)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(0.54-1.30)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Good (70-84%)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0.49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(0.30-0.80)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0.48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(0.30-0.77)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0.74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(0.51-1.08)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0.72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(0.50-1.04)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High (&gt;85%)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0.25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(0.14-0.46)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0.26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(0.14-0.48)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0.64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(0.40-1.04)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0.62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(0.39-0.98)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Student weekly income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0 - 5 €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6 - 10 €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1.49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(1.02-2.19)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1.45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(0.98-2.15)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(0.86-1.54)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(0.86-1.55)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11 - 20 €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2.43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(1.78-3.30)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2.29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(1.68-3.12)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1.51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(1.16-1.97)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1.47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(1.11-1.95)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21 - 50 €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3.02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(2.27-4.02)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2.77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(2.09-3.66)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1.76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(1.40-2.23)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1.72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(1.36-2.16)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&gt; 50 €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4.98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(3.41-7.27)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4.65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(3.22-6.73)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2.38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(1.90-2.99)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2.31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(1.82-2.94)</w:t>
            </w:r>
          </w:p>
        </w:tc>
      </w:tr>
      <w:tr w:rsidR="00786AA7" w:rsidRPr="00693E0B" w:rsidTr="00DB0F6C">
        <w:trPr>
          <w:trHeight w:val="227"/>
        </w:trPr>
        <w:tc>
          <w:tcPr>
            <w:tcW w:w="142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b/>
                <w:bCs/>
                <w:color w:val="000000"/>
                <w:sz w:val="18"/>
                <w:szCs w:val="18"/>
                <w:lang w:val="en-GB" w:eastAsia="ca-ES"/>
              </w:rPr>
              <w:t>Variability (% change in variability)*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0.833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(-36.9)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jc w:val="right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0.308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6AA7" w:rsidRPr="00693E0B" w:rsidRDefault="00786AA7" w:rsidP="00DB0F6C">
            <w:pPr>
              <w:spacing w:after="0" w:line="240" w:lineRule="auto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(7.3)</w:t>
            </w:r>
          </w:p>
        </w:tc>
      </w:tr>
      <w:tr w:rsidR="00786AA7" w:rsidRPr="00693E0B" w:rsidTr="00DB0F6C">
        <w:trPr>
          <w:trHeight w:val="227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AA7" w:rsidRPr="00693E0B" w:rsidRDefault="00786AA7" w:rsidP="00DB0F6C">
            <w:pPr>
              <w:spacing w:line="240" w:lineRule="auto"/>
              <w:jc w:val="both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Step 2 included weekly alcohol consumption variable (</w:t>
            </w:r>
            <w:r w:rsidRPr="00693E0B">
              <w:rPr>
                <w:rFonts w:ascii="Arial" w:hAnsi="Arial" w:cs="Tahoma"/>
                <w:sz w:val="20"/>
                <w:szCs w:val="20"/>
                <w:lang w:val="en-GB"/>
              </w:rPr>
              <w:t>drinking at least one alcoholic beverage per week)</w:t>
            </w: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, one SEP indicator and was adjusted by gender and migrant background in level 1 and school in level 2. Step 3 included all SEP indicators in one model simultaneously.</w:t>
            </w:r>
          </w:p>
          <w:p w:rsidR="00786AA7" w:rsidRPr="00693E0B" w:rsidRDefault="00786AA7" w:rsidP="00DB0F6C">
            <w:pPr>
              <w:spacing w:after="0" w:line="240" w:lineRule="auto"/>
              <w:jc w:val="both"/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</w:pP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*Variability of the empty model (step 1), which included only weekly alcohol consumption variable (</w:t>
            </w:r>
            <w:r w:rsidRPr="00693E0B">
              <w:rPr>
                <w:rFonts w:ascii="Arial" w:hAnsi="Arial" w:cs="Tahoma"/>
                <w:sz w:val="20"/>
                <w:szCs w:val="20"/>
                <w:lang w:val="en-GB"/>
              </w:rPr>
              <w:t>drinking at least one alcoholic beverage per week)</w:t>
            </w:r>
            <w:r w:rsidRPr="00693E0B">
              <w:rPr>
                <w:rFonts w:ascii="Arial" w:hAnsi="Arial" w:cs="Tahoma"/>
                <w:color w:val="000000"/>
                <w:sz w:val="18"/>
                <w:szCs w:val="18"/>
                <w:lang w:val="en-GB" w:eastAsia="ca-ES"/>
              </w:rPr>
              <w:t>, was 0.608 in younger students and 0.333 in older students. % change in variability was calculated using the following formula: [(variability step 1 - variability current step)/(variability step 1)]x100</w:t>
            </w:r>
          </w:p>
        </w:tc>
      </w:tr>
    </w:tbl>
    <w:p w:rsidR="00D743B8" w:rsidRPr="00786AA7" w:rsidRDefault="00D743B8">
      <w:pPr>
        <w:rPr>
          <w:lang w:val="en-GB"/>
        </w:rPr>
      </w:pPr>
    </w:p>
    <w:sectPr w:rsidR="00D743B8" w:rsidRPr="00786AA7" w:rsidSect="00786AA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6AA7"/>
    <w:rsid w:val="00504631"/>
    <w:rsid w:val="00746DE4"/>
    <w:rsid w:val="00786AA7"/>
    <w:rsid w:val="00D743B8"/>
    <w:rsid w:val="00E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3562EF-EDB7-4FA4-9ECB-93C27EC3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AA7"/>
    <w:rPr>
      <w:rFonts w:ascii="Calibri" w:eastAsia="Times New Roman" w:hAnsi="Calibri" w:cs="Times New Roman"/>
      <w:lang w:val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Marina Bosque Prous</cp:lastModifiedBy>
  <cp:revision>3</cp:revision>
  <dcterms:created xsi:type="dcterms:W3CDTF">2016-05-31T20:04:00Z</dcterms:created>
  <dcterms:modified xsi:type="dcterms:W3CDTF">2016-11-16T10:18:00Z</dcterms:modified>
</cp:coreProperties>
</file>