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E36" w:rsidRPr="002222AF" w:rsidRDefault="00C561FB" w:rsidP="00987E36">
      <w:pPr>
        <w:rPr>
          <w:b/>
          <w:lang w:val="en-US" w:eastAsia="sv-SE"/>
        </w:rPr>
      </w:pPr>
      <w:r>
        <w:rPr>
          <w:b/>
          <w:lang w:val="en-US" w:eastAsia="sv-SE"/>
        </w:rPr>
        <w:t>Additional file 1</w:t>
      </w:r>
      <w:r w:rsidR="00987E36" w:rsidRPr="002222AF">
        <w:rPr>
          <w:b/>
          <w:lang w:val="en-US" w:eastAsia="sv-SE"/>
        </w:rPr>
        <w:t>. The Healthy Dietary Adherence Score (HDAS)</w:t>
      </w:r>
    </w:p>
    <w:p w:rsidR="00E06926" w:rsidRPr="002222AF" w:rsidRDefault="00A847B5" w:rsidP="00E06926">
      <w:pPr>
        <w:spacing w:line="360" w:lineRule="auto"/>
        <w:rPr>
          <w:lang w:val="en-US" w:eastAsia="sv-SE"/>
        </w:rPr>
      </w:pPr>
      <w:r w:rsidRPr="002222AF">
        <w:rPr>
          <w:lang w:val="en-US" w:eastAsia="sv-SE"/>
        </w:rPr>
        <w:t xml:space="preserve">The HDAS was developed using total weekly frequency of specific foods </w:t>
      </w:r>
      <w:r w:rsidR="00447749" w:rsidRPr="002222AF">
        <w:rPr>
          <w:lang w:val="en-US" w:eastAsia="sv-SE"/>
        </w:rPr>
        <w:t>and/</w:t>
      </w:r>
      <w:r w:rsidRPr="002222AF">
        <w:rPr>
          <w:lang w:val="en-US" w:eastAsia="sv-SE"/>
        </w:rPr>
        <w:t>or beverages divided by the child’s total reported consumption frequency of all foods and</w:t>
      </w:r>
      <w:r w:rsidR="00447749" w:rsidRPr="002222AF">
        <w:rPr>
          <w:lang w:val="en-US" w:eastAsia="sv-SE"/>
        </w:rPr>
        <w:t>/or</w:t>
      </w:r>
      <w:r w:rsidRPr="002222AF">
        <w:rPr>
          <w:lang w:val="en-US" w:eastAsia="sv-SE"/>
        </w:rPr>
        <w:t xml:space="preserve"> beverages. This provides standardization on number of foods and beverages reported and consumption frequency, avoiding misclassification of children into low or high adherence because they consume all types of food frequently. Moreover, this corrects for variation in eating occasions away from home that </w:t>
      </w:r>
      <w:r w:rsidR="00852E32" w:rsidRPr="002222AF">
        <w:rPr>
          <w:lang w:val="en-US" w:eastAsia="sv-SE"/>
        </w:rPr>
        <w:t>were</w:t>
      </w:r>
      <w:r w:rsidRPr="002222AF">
        <w:rPr>
          <w:lang w:val="en-US" w:eastAsia="sv-SE"/>
        </w:rPr>
        <w:t xml:space="preserve"> not captured in the FFQ.</w:t>
      </w:r>
      <w:r w:rsidR="00E83110" w:rsidRPr="002222AF">
        <w:rPr>
          <w:lang w:val="en-US" w:eastAsia="sv-SE"/>
        </w:rPr>
        <w:t xml:space="preserve"> </w:t>
      </w:r>
      <w:r w:rsidR="00903A1B" w:rsidRPr="002222AF">
        <w:rPr>
          <w:lang w:val="en-US" w:eastAsia="sv-SE"/>
        </w:rPr>
        <w:t xml:space="preserve">Based on answers to the question “How often does your child usually eat at home or at other people’s home?” </w:t>
      </w:r>
      <w:r w:rsidR="006352AE" w:rsidRPr="002222AF">
        <w:rPr>
          <w:lang w:val="en-US" w:eastAsia="sv-SE"/>
        </w:rPr>
        <w:t>r</w:t>
      </w:r>
      <w:r w:rsidR="00F8495F" w:rsidRPr="002222AF">
        <w:rPr>
          <w:lang w:val="en-US" w:eastAsia="sv-SE"/>
        </w:rPr>
        <w:t xml:space="preserve">eports of less than 3 meals per week were excluded. </w:t>
      </w:r>
      <w:bookmarkStart w:id="0" w:name="_GoBack"/>
      <w:bookmarkEnd w:id="0"/>
      <w:r w:rsidR="00F8495F" w:rsidRPr="002222AF">
        <w:rPr>
          <w:lang w:val="en-US" w:eastAsia="sv-SE"/>
        </w:rPr>
        <w:t>The HDAS aimed to capture adherence to healthy dietary guidelines including: limit</w:t>
      </w:r>
      <w:r w:rsidR="00447749" w:rsidRPr="002222AF">
        <w:rPr>
          <w:lang w:val="en-US" w:eastAsia="sv-SE"/>
        </w:rPr>
        <w:t>ing</w:t>
      </w:r>
      <w:r w:rsidR="00F8495F" w:rsidRPr="002222AF">
        <w:rPr>
          <w:lang w:val="en-US" w:eastAsia="sv-SE"/>
        </w:rPr>
        <w:t xml:space="preserve"> the intake of refined sugars, reduc</w:t>
      </w:r>
      <w:r w:rsidR="00447749" w:rsidRPr="002222AF">
        <w:rPr>
          <w:lang w:val="en-US" w:eastAsia="sv-SE"/>
        </w:rPr>
        <w:t>ing</w:t>
      </w:r>
      <w:r w:rsidR="00F8495F" w:rsidRPr="002222AF">
        <w:rPr>
          <w:lang w:val="en-US" w:eastAsia="sv-SE"/>
        </w:rPr>
        <w:t xml:space="preserve"> fat intake, especially of saturated fat, choos</w:t>
      </w:r>
      <w:r w:rsidR="00447749" w:rsidRPr="002222AF">
        <w:rPr>
          <w:lang w:val="en-US" w:eastAsia="sv-SE"/>
        </w:rPr>
        <w:t>ing</w:t>
      </w:r>
      <w:r w:rsidR="00F8495F" w:rsidRPr="002222AF">
        <w:rPr>
          <w:lang w:val="en-US" w:eastAsia="sv-SE"/>
        </w:rPr>
        <w:t xml:space="preserve"> whole meal when possible, consum</w:t>
      </w:r>
      <w:r w:rsidR="00447749" w:rsidRPr="002222AF">
        <w:rPr>
          <w:lang w:val="en-US" w:eastAsia="sv-SE"/>
        </w:rPr>
        <w:t>ing</w:t>
      </w:r>
      <w:r w:rsidR="00F8495F" w:rsidRPr="002222AF">
        <w:rPr>
          <w:lang w:val="en-US" w:eastAsia="sv-SE"/>
        </w:rPr>
        <w:t xml:space="preserve"> 400-500 gram of fruits &amp; vegetables per day and fish 2-3 times per week. Hence, it contains five components: sugar, fat, whole meal, fruits &amp; vegetables, and fish. Each component has a minimum score of 0 and a maximum score of 10. </w:t>
      </w:r>
      <w:r w:rsidR="00E06926" w:rsidRPr="002222AF">
        <w:rPr>
          <w:lang w:val="en-US" w:eastAsia="sv-SE"/>
        </w:rPr>
        <w:t xml:space="preserve">To obtain the total HDAS, scores for all five food groups were summed up to a maximum score of 50, where the highest score indicates the highest possible adherence to the dietary guidelines. </w:t>
      </w:r>
    </w:p>
    <w:p w:rsidR="00F8495F" w:rsidRPr="002222AF" w:rsidRDefault="00987E36" w:rsidP="00C83749">
      <w:pPr>
        <w:spacing w:line="360" w:lineRule="auto"/>
        <w:rPr>
          <w:lang w:val="en-US" w:eastAsia="sv-SE"/>
        </w:rPr>
      </w:pPr>
      <w:r w:rsidRPr="002222AF">
        <w:rPr>
          <w:lang w:val="en-US" w:eastAsia="sv-SE"/>
        </w:rPr>
        <w:t>Sugar</w:t>
      </w:r>
      <w:r w:rsidR="003D1EAD" w:rsidRPr="002222AF">
        <w:rPr>
          <w:lang w:val="en-US" w:eastAsia="sv-SE"/>
        </w:rPr>
        <w:t xml:space="preserve"> component</w:t>
      </w:r>
      <w:r w:rsidRPr="002222AF">
        <w:rPr>
          <w:lang w:val="en-US" w:eastAsia="sv-SE"/>
        </w:rPr>
        <w:t>: To calculate the intake of sugar we used the sugar propensity score developed earlier in IDEFICS</w:t>
      </w:r>
      <w:r w:rsidR="00C83749" w:rsidRPr="002222AF">
        <w:rPr>
          <w:rStyle w:val="FootnoteReference"/>
          <w:lang w:val="en-US" w:eastAsia="sv-SE"/>
        </w:rPr>
        <w:footnoteReference w:id="1"/>
      </w:r>
      <w:r w:rsidR="006352AE" w:rsidRPr="002222AF">
        <w:rPr>
          <w:lang w:val="en-US" w:eastAsia="sv-SE"/>
        </w:rPr>
        <w:t xml:space="preserve">. </w:t>
      </w:r>
      <w:r w:rsidRPr="002222AF">
        <w:rPr>
          <w:lang w:val="en-US" w:eastAsia="sv-SE"/>
        </w:rPr>
        <w:t xml:space="preserve">The intake frequency of all food items containing sugar (sweetened breakfast cereals, sweetened drinks, fruit juices, sweetened milk, sweet yoghurt and fermented milk beverages, fruits with added sugar, jam and honey, chocolate or nut based chocolate, candy bars, loose candies, marshmallows, biscuits, cakes, pastries, puddings, ice cream, milk or fruit based bars) have been summed up and divided by the total intake frequency of all food items reported. At the time of the development of the HDAS, the </w:t>
      </w:r>
      <w:r w:rsidR="00C83749" w:rsidRPr="002222AF">
        <w:rPr>
          <w:lang w:val="en-US" w:eastAsia="sv-SE"/>
        </w:rPr>
        <w:t>World Health Organization (</w:t>
      </w:r>
      <w:r w:rsidRPr="002222AF">
        <w:rPr>
          <w:lang w:val="en-US" w:eastAsia="sv-SE"/>
        </w:rPr>
        <w:t>WHO</w:t>
      </w:r>
      <w:r w:rsidR="00C83749" w:rsidRPr="002222AF">
        <w:rPr>
          <w:lang w:val="en-US" w:eastAsia="sv-SE"/>
        </w:rPr>
        <w:t>)</w:t>
      </w:r>
      <w:r w:rsidRPr="002222AF">
        <w:rPr>
          <w:lang w:val="en-US" w:eastAsia="sv-SE"/>
        </w:rPr>
        <w:t xml:space="preserve"> stated that the intake should be less than 10E% from refined sugars. </w:t>
      </w:r>
      <w:r w:rsidR="006352AE" w:rsidRPr="002222AF">
        <w:rPr>
          <w:lang w:val="en-US" w:eastAsia="sv-SE"/>
        </w:rPr>
        <w:t>I</w:t>
      </w:r>
      <w:r w:rsidRPr="002222AF">
        <w:rPr>
          <w:lang w:val="en-US" w:eastAsia="sv-SE"/>
        </w:rPr>
        <w:t xml:space="preserve">t was decided to set the </w:t>
      </w:r>
      <w:r w:rsidR="00D01982" w:rsidRPr="002222AF">
        <w:rPr>
          <w:lang w:val="en-US" w:eastAsia="sv-SE"/>
        </w:rPr>
        <w:t xml:space="preserve">highest </w:t>
      </w:r>
      <w:r w:rsidRPr="002222AF">
        <w:rPr>
          <w:lang w:val="en-US" w:eastAsia="sv-SE"/>
        </w:rPr>
        <w:t xml:space="preserve">score </w:t>
      </w:r>
      <w:r w:rsidR="00D01982" w:rsidRPr="002222AF">
        <w:rPr>
          <w:lang w:val="en-US" w:eastAsia="sv-SE"/>
        </w:rPr>
        <w:t xml:space="preserve">of </w:t>
      </w:r>
      <w:r w:rsidRPr="002222AF">
        <w:rPr>
          <w:lang w:val="en-US" w:eastAsia="sv-SE"/>
        </w:rPr>
        <w:t xml:space="preserve">10 if the intake frequency of sugar containing food items was 10% of the total intake frequency or less. The quartiles of the sugar propensity score were </w:t>
      </w:r>
      <w:r w:rsidR="00F1585C" w:rsidRPr="002222AF">
        <w:rPr>
          <w:lang w:val="en-US" w:eastAsia="sv-SE"/>
        </w:rPr>
        <w:t>counted</w:t>
      </w:r>
      <w:r w:rsidRPr="002222AF">
        <w:rPr>
          <w:lang w:val="en-US" w:eastAsia="sv-SE"/>
        </w:rPr>
        <w:t>. The upper limit of the lowest quartile (15.7%) was used to establish the score of “0”. The scores between 10% and 15.7% were equally distributed in steps by 0.6%. Children with a sugar propensity score above the first quartile (15.7%) received the score of zero (Table A1).</w:t>
      </w:r>
    </w:p>
    <w:tbl>
      <w:tblPr>
        <w:tblW w:w="6340" w:type="dxa"/>
        <w:tblInd w:w="55" w:type="dxa"/>
        <w:tblCellMar>
          <w:left w:w="70" w:type="dxa"/>
          <w:right w:w="70" w:type="dxa"/>
        </w:tblCellMar>
        <w:tblLook w:val="04A0"/>
      </w:tblPr>
      <w:tblGrid>
        <w:gridCol w:w="4940"/>
        <w:gridCol w:w="1400"/>
      </w:tblGrid>
      <w:tr w:rsidR="00987E36" w:rsidRPr="002222AF" w:rsidTr="00C40294">
        <w:trPr>
          <w:trHeight w:val="396"/>
        </w:trPr>
        <w:tc>
          <w:tcPr>
            <w:tcW w:w="6340" w:type="dxa"/>
            <w:gridSpan w:val="2"/>
            <w:tcBorders>
              <w:top w:val="nil"/>
              <w:left w:val="nil"/>
              <w:bottom w:val="single" w:sz="8" w:space="0" w:color="000000"/>
              <w:right w:val="nil"/>
            </w:tcBorders>
            <w:shd w:val="clear" w:color="auto" w:fill="auto"/>
            <w:vAlign w:val="bottom"/>
            <w:hideMark/>
          </w:tcPr>
          <w:p w:rsidR="00987E36" w:rsidRPr="002222AF" w:rsidRDefault="00987E36" w:rsidP="00E06926">
            <w:pPr>
              <w:spacing w:after="120"/>
              <w:rPr>
                <w:lang w:val="en-US" w:eastAsia="sv-SE"/>
              </w:rPr>
            </w:pPr>
            <w:r w:rsidRPr="002222AF">
              <w:rPr>
                <w:b/>
                <w:lang w:val="en-US" w:eastAsia="sv-SE"/>
              </w:rPr>
              <w:t>Table A1</w:t>
            </w:r>
            <w:r w:rsidR="00C83749" w:rsidRPr="002222AF">
              <w:rPr>
                <w:b/>
                <w:lang w:val="en-US" w:eastAsia="sv-SE"/>
              </w:rPr>
              <w:t>.</w:t>
            </w:r>
            <w:r w:rsidR="00E06926" w:rsidRPr="002222AF">
              <w:rPr>
                <w:lang w:val="en-US" w:eastAsia="sv-SE"/>
              </w:rPr>
              <w:t xml:space="preserve"> Scoring of the </w:t>
            </w:r>
            <w:r w:rsidRPr="002222AF">
              <w:rPr>
                <w:lang w:val="en-US" w:eastAsia="sv-SE"/>
              </w:rPr>
              <w:t xml:space="preserve">sugar </w:t>
            </w:r>
            <w:r w:rsidR="00E06926" w:rsidRPr="002222AF">
              <w:rPr>
                <w:lang w:val="en-US" w:eastAsia="sv-SE"/>
              </w:rPr>
              <w:t>component</w:t>
            </w:r>
          </w:p>
        </w:tc>
      </w:tr>
      <w:tr w:rsidR="00987E36" w:rsidRPr="002222AF" w:rsidTr="00C40294">
        <w:trPr>
          <w:trHeight w:val="339"/>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Proportion of sugar containing food items</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Score</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&lt;= 10%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10</w:t>
            </w:r>
          </w:p>
        </w:tc>
      </w:tr>
      <w:tr w:rsidR="00987E36" w:rsidRPr="002222AF" w:rsidTr="00C40294">
        <w:trPr>
          <w:trHeight w:val="348"/>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10% to </w:t>
            </w:r>
            <w:r w:rsidR="00F1585C" w:rsidRPr="002222AF">
              <w:rPr>
                <w:rFonts w:cs="Times New Roman"/>
                <w:lang w:val="en-US" w:eastAsia="sv-SE"/>
              </w:rPr>
              <w:t>&lt;</w:t>
            </w:r>
            <w:r w:rsidRPr="002222AF">
              <w:rPr>
                <w:lang w:val="en-US" w:eastAsia="sv-SE"/>
              </w:rPr>
              <w:t>10.6%</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9</w:t>
            </w:r>
          </w:p>
        </w:tc>
      </w:tr>
      <w:tr w:rsidR="00987E36" w:rsidRPr="002222AF" w:rsidTr="00C40294">
        <w:trPr>
          <w:trHeight w:val="348"/>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lastRenderedPageBreak/>
              <w:t xml:space="preserve">&gt;= 10.6% to </w:t>
            </w:r>
            <w:r w:rsidR="00F1585C" w:rsidRPr="002222AF">
              <w:rPr>
                <w:rFonts w:cs="Times New Roman"/>
                <w:lang w:val="en-US" w:eastAsia="sv-SE"/>
              </w:rPr>
              <w:t>&lt;</w:t>
            </w:r>
            <w:r w:rsidRPr="002222AF">
              <w:rPr>
                <w:lang w:val="en-US" w:eastAsia="sv-SE"/>
              </w:rPr>
              <w:t>11.3%</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8</w:t>
            </w:r>
          </w:p>
        </w:tc>
      </w:tr>
      <w:tr w:rsidR="00987E36" w:rsidRPr="002222AF" w:rsidTr="00C40294">
        <w:trPr>
          <w:trHeight w:val="312"/>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11.3% to </w:t>
            </w:r>
            <w:r w:rsidR="00F1585C" w:rsidRPr="002222AF">
              <w:rPr>
                <w:rFonts w:cs="Times New Roman"/>
                <w:lang w:val="en-US" w:eastAsia="sv-SE"/>
              </w:rPr>
              <w:t>&lt;</w:t>
            </w:r>
            <w:r w:rsidRPr="002222AF">
              <w:rPr>
                <w:lang w:val="en-US" w:eastAsia="sv-SE"/>
              </w:rPr>
              <w:t>11.9%</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7</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11.9% to </w:t>
            </w:r>
            <w:r w:rsidR="00F1585C" w:rsidRPr="002222AF">
              <w:rPr>
                <w:rFonts w:cs="Times New Roman"/>
                <w:lang w:val="en-US" w:eastAsia="sv-SE"/>
              </w:rPr>
              <w:t>&lt;</w:t>
            </w:r>
            <w:r w:rsidRPr="002222AF">
              <w:rPr>
                <w:lang w:val="en-US" w:eastAsia="sv-SE"/>
              </w:rPr>
              <w:t>12.6%</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6</w:t>
            </w:r>
          </w:p>
        </w:tc>
      </w:tr>
      <w:tr w:rsidR="00987E36" w:rsidRPr="002222AF" w:rsidTr="00C40294">
        <w:trPr>
          <w:trHeight w:val="288"/>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12.6% to </w:t>
            </w:r>
            <w:r w:rsidR="00F1585C" w:rsidRPr="002222AF">
              <w:rPr>
                <w:rFonts w:cs="Times New Roman"/>
                <w:lang w:val="en-US" w:eastAsia="sv-SE"/>
              </w:rPr>
              <w:t>&lt;</w:t>
            </w:r>
            <w:r w:rsidRPr="002222AF">
              <w:rPr>
                <w:lang w:val="en-US" w:eastAsia="sv-SE"/>
              </w:rPr>
              <w:t>13.2%</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5</w:t>
            </w:r>
          </w:p>
        </w:tc>
      </w:tr>
      <w:tr w:rsidR="00987E36" w:rsidRPr="002222AF" w:rsidTr="00C40294">
        <w:trPr>
          <w:trHeight w:val="324"/>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13.2% to </w:t>
            </w:r>
            <w:r w:rsidR="00F1585C" w:rsidRPr="002222AF">
              <w:rPr>
                <w:rFonts w:cs="Times New Roman"/>
                <w:lang w:val="en-US" w:eastAsia="sv-SE"/>
              </w:rPr>
              <w:t>&lt;</w:t>
            </w:r>
            <w:r w:rsidRPr="002222AF">
              <w:rPr>
                <w:lang w:val="en-US" w:eastAsia="sv-SE"/>
              </w:rPr>
              <w:t>13.8%</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4</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13.8% to </w:t>
            </w:r>
            <w:r w:rsidR="00F1585C" w:rsidRPr="002222AF">
              <w:rPr>
                <w:rFonts w:cs="Times New Roman"/>
                <w:lang w:val="en-US" w:eastAsia="sv-SE"/>
              </w:rPr>
              <w:t>&lt;</w:t>
            </w:r>
            <w:r w:rsidRPr="002222AF">
              <w:rPr>
                <w:lang w:val="en-US" w:eastAsia="sv-SE"/>
              </w:rPr>
              <w:t>14.5%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3</w:t>
            </w:r>
          </w:p>
        </w:tc>
      </w:tr>
      <w:tr w:rsidR="00987E36" w:rsidRPr="002222AF" w:rsidTr="00C40294">
        <w:trPr>
          <w:trHeight w:val="324"/>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14.5% to </w:t>
            </w:r>
            <w:r w:rsidR="00F1585C" w:rsidRPr="002222AF">
              <w:rPr>
                <w:rFonts w:cs="Times New Roman"/>
                <w:lang w:val="en-US" w:eastAsia="sv-SE"/>
              </w:rPr>
              <w:t>&lt;</w:t>
            </w:r>
            <w:r w:rsidRPr="002222AF">
              <w:rPr>
                <w:lang w:val="en-US" w:eastAsia="sv-SE"/>
              </w:rPr>
              <w:t>15.1%</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2</w:t>
            </w:r>
          </w:p>
        </w:tc>
      </w:tr>
      <w:tr w:rsidR="00987E36" w:rsidRPr="002222AF" w:rsidTr="00C40294">
        <w:trPr>
          <w:trHeight w:val="324"/>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15.1% to </w:t>
            </w:r>
            <w:r w:rsidR="00F1585C" w:rsidRPr="002222AF">
              <w:rPr>
                <w:rFonts w:cs="Times New Roman"/>
                <w:lang w:val="en-US" w:eastAsia="sv-SE"/>
              </w:rPr>
              <w:t>&lt;</w:t>
            </w:r>
            <w:r w:rsidRPr="002222AF">
              <w:rPr>
                <w:lang w:val="en-US" w:eastAsia="sv-SE"/>
              </w:rPr>
              <w:t>15.7%</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1</w:t>
            </w:r>
          </w:p>
        </w:tc>
      </w:tr>
      <w:tr w:rsidR="00987E36" w:rsidRPr="002222AF" w:rsidTr="00C40294">
        <w:trPr>
          <w:trHeight w:val="36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15.7%</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0</w:t>
            </w:r>
          </w:p>
        </w:tc>
      </w:tr>
    </w:tbl>
    <w:p w:rsidR="00987E36" w:rsidRPr="002222AF" w:rsidRDefault="00987E36" w:rsidP="00987E36">
      <w:pPr>
        <w:rPr>
          <w:lang w:val="en-US" w:eastAsia="sv-SE"/>
        </w:rPr>
      </w:pPr>
    </w:p>
    <w:p w:rsidR="00987E36" w:rsidRPr="002222AF" w:rsidRDefault="00987E36" w:rsidP="00C83749">
      <w:pPr>
        <w:spacing w:line="360" w:lineRule="auto"/>
        <w:rPr>
          <w:lang w:val="en-US" w:eastAsia="sv-SE"/>
        </w:rPr>
      </w:pPr>
      <w:r w:rsidRPr="002222AF">
        <w:rPr>
          <w:lang w:val="en-US" w:eastAsia="sv-SE"/>
        </w:rPr>
        <w:t>Fat</w:t>
      </w:r>
      <w:r w:rsidR="003D1EAD" w:rsidRPr="002222AF">
        <w:rPr>
          <w:lang w:val="en-US" w:eastAsia="sv-SE"/>
        </w:rPr>
        <w:t xml:space="preserve"> component</w:t>
      </w:r>
      <w:r w:rsidRPr="002222AF">
        <w:rPr>
          <w:lang w:val="en-US" w:eastAsia="sv-SE"/>
        </w:rPr>
        <w:t xml:space="preserve">: </w:t>
      </w:r>
      <w:r w:rsidR="003D1EAD" w:rsidRPr="002222AF">
        <w:rPr>
          <w:lang w:val="en-US" w:eastAsia="sv-SE"/>
        </w:rPr>
        <w:t xml:space="preserve">The principle is that healthier </w:t>
      </w:r>
      <w:r w:rsidR="00903A1B" w:rsidRPr="002222AF">
        <w:rPr>
          <w:lang w:val="en-US" w:eastAsia="sv-SE"/>
        </w:rPr>
        <w:t xml:space="preserve">low fat </w:t>
      </w:r>
      <w:r w:rsidR="003D1EAD" w:rsidRPr="002222AF">
        <w:rPr>
          <w:lang w:val="en-US" w:eastAsia="sv-SE"/>
        </w:rPr>
        <w:t xml:space="preserve">versions of food items are set in relation to less healthier versions. </w:t>
      </w:r>
      <w:r w:rsidRPr="002222AF">
        <w:rPr>
          <w:lang w:val="en-US" w:eastAsia="sv-SE"/>
        </w:rPr>
        <w:t xml:space="preserve">The intake frequencies of food </w:t>
      </w:r>
      <w:r w:rsidR="003D1EAD" w:rsidRPr="002222AF">
        <w:rPr>
          <w:lang w:val="en-US" w:eastAsia="sv-SE"/>
        </w:rPr>
        <w:t>items</w:t>
      </w:r>
      <w:r w:rsidRPr="002222AF">
        <w:rPr>
          <w:lang w:val="en-US" w:eastAsia="sv-SE"/>
        </w:rPr>
        <w:t xml:space="preserve"> </w:t>
      </w:r>
      <w:r w:rsidR="00447749" w:rsidRPr="002222AF">
        <w:rPr>
          <w:lang w:val="en-US" w:eastAsia="sv-SE"/>
        </w:rPr>
        <w:t xml:space="preserve">generally </w:t>
      </w:r>
      <w:r w:rsidRPr="002222AF">
        <w:rPr>
          <w:lang w:val="en-US" w:eastAsia="sv-SE"/>
        </w:rPr>
        <w:t xml:space="preserve">low in fat (cooked vegetables, eggs, fish, meat and low fat dairy products and spread) was summed up. This sum was set in relation to the total intake frequency of both cooked and fried vegetables, eggs, fish, meat and low </w:t>
      </w:r>
      <w:r w:rsidR="003C70C5" w:rsidRPr="002222AF">
        <w:rPr>
          <w:lang w:val="en-US" w:eastAsia="sv-SE"/>
        </w:rPr>
        <w:t xml:space="preserve">and high </w:t>
      </w:r>
      <w:r w:rsidRPr="002222AF">
        <w:rPr>
          <w:lang w:val="en-US" w:eastAsia="sv-SE"/>
        </w:rPr>
        <w:t>fat dairy products and spread. The proportion of the total intake frequency of low fat food items/week of the total intake frequency of food items containing fat per week was calculated according to the formula ‘total intake frequency of healthy food items a week / total intake frequency of all food items a week x 100’. For 100% low fat food items the score 10 was given and for less than 10% the score 0 was given. The scores between zero and 10 were distributed over equidistant categories of the healthy food item score (Table A2).</w:t>
      </w:r>
    </w:p>
    <w:p w:rsidR="00987E36" w:rsidRPr="002222AF" w:rsidRDefault="00987E36" w:rsidP="00C83749">
      <w:pPr>
        <w:spacing w:line="360" w:lineRule="auto"/>
        <w:rPr>
          <w:lang w:val="en-US" w:eastAsia="sv-SE"/>
        </w:rPr>
      </w:pPr>
      <w:r w:rsidRPr="002222AF">
        <w:rPr>
          <w:lang w:val="en-US" w:eastAsia="sv-SE"/>
        </w:rPr>
        <w:t>Whole meal</w:t>
      </w:r>
      <w:r w:rsidR="00E06926" w:rsidRPr="002222AF">
        <w:rPr>
          <w:lang w:val="en-US" w:eastAsia="sv-SE"/>
        </w:rPr>
        <w:t xml:space="preserve"> component</w:t>
      </w:r>
      <w:r w:rsidRPr="002222AF">
        <w:rPr>
          <w:lang w:val="en-US" w:eastAsia="sv-SE"/>
        </w:rPr>
        <w:t xml:space="preserve">: The proportion of the total intake frequency of “whole meal bread, dark roll, dark crispbread” of the total intake frequency of bread (“white bread, white roll, white crispbread” + “whole meal bread, dark roll, dark crispbread”) was counted. The scoring was done in the same way as for fat, i.e. for 100% whole meal food items the score 10 was given and 0 for less than 10%. Similar to the fat score, the whole meal scores between zero and 10 were distributed over equidistant categories of the healthy food item score (Table A2). </w:t>
      </w:r>
    </w:p>
    <w:tbl>
      <w:tblPr>
        <w:tblW w:w="6340" w:type="dxa"/>
        <w:tblInd w:w="55" w:type="dxa"/>
        <w:tblCellMar>
          <w:left w:w="70" w:type="dxa"/>
          <w:right w:w="70" w:type="dxa"/>
        </w:tblCellMar>
        <w:tblLook w:val="04A0"/>
      </w:tblPr>
      <w:tblGrid>
        <w:gridCol w:w="4940"/>
        <w:gridCol w:w="1400"/>
      </w:tblGrid>
      <w:tr w:rsidR="00987E36" w:rsidRPr="002222AF" w:rsidTr="00C40294">
        <w:trPr>
          <w:trHeight w:val="372"/>
        </w:trPr>
        <w:tc>
          <w:tcPr>
            <w:tcW w:w="6340" w:type="dxa"/>
            <w:gridSpan w:val="2"/>
            <w:tcBorders>
              <w:left w:val="nil"/>
              <w:bottom w:val="single" w:sz="8" w:space="0" w:color="000000"/>
              <w:right w:val="nil"/>
            </w:tcBorders>
            <w:shd w:val="clear" w:color="auto" w:fill="auto"/>
            <w:vAlign w:val="bottom"/>
            <w:hideMark/>
          </w:tcPr>
          <w:p w:rsidR="00987E36" w:rsidRPr="002222AF" w:rsidRDefault="00987E36" w:rsidP="00E06926">
            <w:pPr>
              <w:spacing w:after="120"/>
              <w:rPr>
                <w:lang w:val="en-US" w:eastAsia="sv-SE"/>
              </w:rPr>
            </w:pPr>
            <w:r w:rsidRPr="002222AF">
              <w:rPr>
                <w:b/>
                <w:lang w:val="en-US" w:eastAsia="sv-SE"/>
              </w:rPr>
              <w:t>Table A2</w:t>
            </w:r>
            <w:r w:rsidR="00C83749" w:rsidRPr="002222AF">
              <w:rPr>
                <w:b/>
                <w:lang w:val="en-US" w:eastAsia="sv-SE"/>
              </w:rPr>
              <w:t>.</w:t>
            </w:r>
            <w:r w:rsidR="00E06926" w:rsidRPr="002222AF">
              <w:rPr>
                <w:lang w:val="en-US" w:eastAsia="sv-SE"/>
              </w:rPr>
              <w:t xml:space="preserve"> Scoring of the </w:t>
            </w:r>
            <w:r w:rsidRPr="002222AF">
              <w:rPr>
                <w:lang w:val="en-US" w:eastAsia="sv-SE"/>
              </w:rPr>
              <w:t>fat and whole meal</w:t>
            </w:r>
            <w:r w:rsidR="00E06926" w:rsidRPr="002222AF">
              <w:rPr>
                <w:lang w:val="en-US" w:eastAsia="sv-SE"/>
              </w:rPr>
              <w:t xml:space="preserve"> components</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Proportion of healthy food items</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Score</w:t>
            </w:r>
          </w:p>
        </w:tc>
      </w:tr>
      <w:tr w:rsidR="00987E36" w:rsidRPr="002222AF" w:rsidTr="00C40294">
        <w:trPr>
          <w:trHeight w:val="324"/>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100%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10</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90% to &lt; 100%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9</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80% to &lt; 90%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8</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70% to &lt; 80%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7</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60% to &lt; 70%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6</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50% to &lt; 60%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5</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lastRenderedPageBreak/>
              <w:t>&gt;= 40% to &lt; 50%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4</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30% to &lt; 40%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3</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20% to &lt; 30%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2</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10% to &lt; 20%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1</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&lt; 10%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0</w:t>
            </w:r>
          </w:p>
        </w:tc>
      </w:tr>
    </w:tbl>
    <w:p w:rsidR="00987E36" w:rsidRPr="002222AF" w:rsidRDefault="00987E36" w:rsidP="00987E36">
      <w:pPr>
        <w:rPr>
          <w:lang w:val="en-US" w:eastAsia="sv-SE"/>
        </w:rPr>
      </w:pPr>
    </w:p>
    <w:p w:rsidR="00987E36" w:rsidRPr="002222AF" w:rsidRDefault="00987E36" w:rsidP="00C83749">
      <w:pPr>
        <w:spacing w:line="360" w:lineRule="auto"/>
        <w:rPr>
          <w:lang w:val="en-US" w:eastAsia="sv-SE"/>
        </w:rPr>
      </w:pPr>
      <w:r w:rsidRPr="002222AF">
        <w:rPr>
          <w:lang w:val="en-US" w:eastAsia="sv-SE"/>
        </w:rPr>
        <w:t>Fruits and vegetables</w:t>
      </w:r>
      <w:r w:rsidR="00903A1B" w:rsidRPr="002222AF">
        <w:rPr>
          <w:lang w:val="en-US" w:eastAsia="sv-SE"/>
        </w:rPr>
        <w:t xml:space="preserve"> component</w:t>
      </w:r>
      <w:r w:rsidRPr="002222AF">
        <w:rPr>
          <w:lang w:val="en-US" w:eastAsia="sv-SE"/>
        </w:rPr>
        <w:t xml:space="preserve">: The total fruit and vegetable intake frequency was calculated as the intake frequency of fresh fruits without added sugar + half of the intake frequency of fresh fruits with added sugar + cooked vegetables, potatoes and beans + legumes + raw vegetables. Because parents had no control over meals eaten at </w:t>
      </w:r>
      <w:r w:rsidR="00903A1B" w:rsidRPr="002222AF">
        <w:rPr>
          <w:lang w:val="en-US" w:eastAsia="sv-SE"/>
        </w:rPr>
        <w:t>pre-school</w:t>
      </w:r>
      <w:r w:rsidR="00E06926" w:rsidRPr="002222AF">
        <w:rPr>
          <w:lang w:val="en-US" w:eastAsia="sv-SE"/>
        </w:rPr>
        <w:t>s</w:t>
      </w:r>
      <w:r w:rsidR="00903A1B" w:rsidRPr="002222AF">
        <w:rPr>
          <w:lang w:val="en-US" w:eastAsia="sv-SE"/>
        </w:rPr>
        <w:t xml:space="preserve"> and </w:t>
      </w:r>
      <w:r w:rsidRPr="002222AF">
        <w:rPr>
          <w:lang w:val="en-US" w:eastAsia="sv-SE"/>
        </w:rPr>
        <w:t xml:space="preserve">schools </w:t>
      </w:r>
      <w:r w:rsidR="00903A1B" w:rsidRPr="002222AF">
        <w:rPr>
          <w:lang w:val="en-US" w:eastAsia="sv-SE"/>
        </w:rPr>
        <w:t xml:space="preserve">estimations were made </w:t>
      </w:r>
      <w:r w:rsidRPr="002222AF">
        <w:rPr>
          <w:lang w:val="en-US" w:eastAsia="sv-SE"/>
        </w:rPr>
        <w:t xml:space="preserve">for these missing meals. According to the question “How often does your child usually eat at pre-school or school meals?” the amount of meals eaten at pre-school or school was calculated. </w:t>
      </w:r>
      <w:r w:rsidR="00D22197" w:rsidRPr="002222AF">
        <w:rPr>
          <w:lang w:val="en-US" w:eastAsia="sv-SE"/>
        </w:rPr>
        <w:t xml:space="preserve">The assumption was that </w:t>
      </w:r>
      <w:r w:rsidRPr="002222AF">
        <w:rPr>
          <w:lang w:val="en-US" w:eastAsia="sv-SE"/>
        </w:rPr>
        <w:t>child</w:t>
      </w:r>
      <w:r w:rsidR="00D22197" w:rsidRPr="002222AF">
        <w:rPr>
          <w:lang w:val="en-US" w:eastAsia="sv-SE"/>
        </w:rPr>
        <w:t>ren eat</w:t>
      </w:r>
      <w:r w:rsidRPr="002222AF">
        <w:rPr>
          <w:lang w:val="en-US" w:eastAsia="sv-SE"/>
        </w:rPr>
        <w:t xml:space="preserve"> breakfast, lunch, dinner and at least one snack during the day, which adds up to 28 meals a week. The intake frequency per week reported in the FFQ was set in relation to the missing meals eaten in </w:t>
      </w:r>
      <w:r w:rsidR="00D22197" w:rsidRPr="002222AF">
        <w:rPr>
          <w:lang w:val="en-US" w:eastAsia="sv-SE"/>
        </w:rPr>
        <w:t>pre-school or school</w:t>
      </w:r>
      <w:r w:rsidRPr="002222AF">
        <w:rPr>
          <w:lang w:val="en-US" w:eastAsia="sv-SE"/>
        </w:rPr>
        <w:t xml:space="preserve"> and converted into the amount the child would have eaten if school meals were included. The rationale behind the scoring for fruit and vegetables was that the recommendation for fruits and vegetables are five portions a day, i.e. 35 portions a week. The number of 35 portions or more was considered as optimal and received the highest score of 10. Less than </w:t>
      </w:r>
      <w:r w:rsidR="00E83110" w:rsidRPr="002222AF">
        <w:rPr>
          <w:lang w:val="en-US" w:eastAsia="sv-SE"/>
        </w:rPr>
        <w:t xml:space="preserve">two </w:t>
      </w:r>
      <w:r w:rsidRPr="002222AF">
        <w:rPr>
          <w:lang w:val="en-US" w:eastAsia="sv-SE"/>
        </w:rPr>
        <w:t>portion</w:t>
      </w:r>
      <w:r w:rsidR="00E83110" w:rsidRPr="002222AF">
        <w:rPr>
          <w:lang w:val="en-US" w:eastAsia="sv-SE"/>
        </w:rPr>
        <w:t>s</w:t>
      </w:r>
      <w:r w:rsidRPr="002222AF">
        <w:rPr>
          <w:lang w:val="en-US" w:eastAsia="sv-SE"/>
        </w:rPr>
        <w:t xml:space="preserve"> per week was scored as zero. The scores between zero and 10 were distributed over equidistant categories of the healthy food item score (Table A3). </w:t>
      </w:r>
    </w:p>
    <w:tbl>
      <w:tblPr>
        <w:tblW w:w="6340" w:type="dxa"/>
        <w:tblInd w:w="55" w:type="dxa"/>
        <w:tblCellMar>
          <w:left w:w="70" w:type="dxa"/>
          <w:right w:w="70" w:type="dxa"/>
        </w:tblCellMar>
        <w:tblLook w:val="04A0"/>
      </w:tblPr>
      <w:tblGrid>
        <w:gridCol w:w="4940"/>
        <w:gridCol w:w="1400"/>
      </w:tblGrid>
      <w:tr w:rsidR="00987E36" w:rsidRPr="002222AF" w:rsidTr="00C40294">
        <w:trPr>
          <w:trHeight w:val="408"/>
        </w:trPr>
        <w:tc>
          <w:tcPr>
            <w:tcW w:w="6340" w:type="dxa"/>
            <w:gridSpan w:val="2"/>
            <w:tcBorders>
              <w:bottom w:val="single" w:sz="8" w:space="0" w:color="000000"/>
            </w:tcBorders>
            <w:shd w:val="clear" w:color="auto" w:fill="auto"/>
            <w:vAlign w:val="bottom"/>
            <w:hideMark/>
          </w:tcPr>
          <w:p w:rsidR="00987E36" w:rsidRPr="002222AF" w:rsidRDefault="00987E36" w:rsidP="00E06926">
            <w:pPr>
              <w:spacing w:after="120"/>
              <w:rPr>
                <w:lang w:val="en-US" w:eastAsia="sv-SE"/>
              </w:rPr>
            </w:pPr>
            <w:r w:rsidRPr="002222AF">
              <w:rPr>
                <w:b/>
                <w:lang w:val="en-US" w:eastAsia="sv-SE"/>
              </w:rPr>
              <w:t>Table A3</w:t>
            </w:r>
            <w:r w:rsidR="00C83749" w:rsidRPr="002222AF">
              <w:rPr>
                <w:b/>
                <w:lang w:val="en-US" w:eastAsia="sv-SE"/>
              </w:rPr>
              <w:t>.</w:t>
            </w:r>
            <w:r w:rsidR="00E06926" w:rsidRPr="002222AF">
              <w:rPr>
                <w:lang w:val="en-US" w:eastAsia="sv-SE"/>
              </w:rPr>
              <w:t xml:space="preserve"> Scoring of the </w:t>
            </w:r>
            <w:r w:rsidRPr="002222AF">
              <w:rPr>
                <w:lang w:val="en-US" w:eastAsia="sv-SE"/>
              </w:rPr>
              <w:t>fruits &amp; vegetables</w:t>
            </w:r>
            <w:r w:rsidR="00E06926" w:rsidRPr="002222AF">
              <w:rPr>
                <w:lang w:val="en-US" w:eastAsia="sv-SE"/>
              </w:rPr>
              <w:t xml:space="preserve"> component</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Intake frequency of fruits &amp; vegetables per week</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Score</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35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10</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31.4 to &lt; 35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9</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27.6 to &lt; 31.4</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8</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24 to &lt; 27.6</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7</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20.4 to &lt; 24</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6</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16.8 to &lt; 20.4</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5</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13 to &lt; 16.8</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4</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9.4 to &lt; 13</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3</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5.8 to &lt; 9.4</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2</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2.0 to &lt; 5.8</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1</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&lt; 2.0</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0</w:t>
            </w:r>
          </w:p>
        </w:tc>
      </w:tr>
    </w:tbl>
    <w:p w:rsidR="00987E36" w:rsidRPr="002222AF" w:rsidRDefault="00987E36" w:rsidP="00987E36">
      <w:pPr>
        <w:rPr>
          <w:lang w:val="en-US" w:eastAsia="sv-SE"/>
        </w:rPr>
      </w:pPr>
    </w:p>
    <w:p w:rsidR="00987E36" w:rsidRPr="002222AF" w:rsidRDefault="00987E36" w:rsidP="00C83749">
      <w:pPr>
        <w:spacing w:line="360" w:lineRule="auto"/>
        <w:rPr>
          <w:lang w:val="en-US" w:eastAsia="sv-SE"/>
        </w:rPr>
      </w:pPr>
      <w:r w:rsidRPr="002222AF">
        <w:rPr>
          <w:lang w:val="en-US" w:eastAsia="sv-SE"/>
        </w:rPr>
        <w:lastRenderedPageBreak/>
        <w:t>Fish</w:t>
      </w:r>
      <w:r w:rsidR="00E06926" w:rsidRPr="002222AF">
        <w:rPr>
          <w:lang w:val="en-US" w:eastAsia="sv-SE"/>
        </w:rPr>
        <w:t xml:space="preserve"> component</w:t>
      </w:r>
      <w:r w:rsidRPr="002222AF">
        <w:rPr>
          <w:lang w:val="en-US" w:eastAsia="sv-SE"/>
        </w:rPr>
        <w:t xml:space="preserve">: The total intake frequency for fish was calculated in a similar way as for fruits and vegetables. The parents reported the intake of cooked and fried fish which was added and extrapolated for the missing meals. </w:t>
      </w:r>
      <w:r w:rsidR="00E06926" w:rsidRPr="002222AF">
        <w:rPr>
          <w:lang w:val="en-US" w:eastAsia="sv-SE"/>
        </w:rPr>
        <w:t>F</w:t>
      </w:r>
      <w:r w:rsidRPr="002222AF">
        <w:rPr>
          <w:lang w:val="en-US" w:eastAsia="sv-SE"/>
        </w:rPr>
        <w:t>ish intake was scored as the highest at an intake of 2.5 times/week; a value which corresponds to the recommendation</w:t>
      </w:r>
      <w:r w:rsidR="00E06926" w:rsidRPr="002222AF">
        <w:rPr>
          <w:lang w:val="en-US" w:eastAsia="sv-SE"/>
        </w:rPr>
        <w:t xml:space="preserve"> of 2-3 portions a week</w:t>
      </w:r>
      <w:r w:rsidRPr="002222AF">
        <w:rPr>
          <w:lang w:val="en-US" w:eastAsia="sv-SE"/>
        </w:rPr>
        <w:t xml:space="preserve">. Zero fish intake was scored as zero. The remaining interval between 0 and 2.5 times/week was subdivided into nine intervals of size 0.3 times/week (Table A4). </w:t>
      </w:r>
    </w:p>
    <w:tbl>
      <w:tblPr>
        <w:tblW w:w="6340" w:type="dxa"/>
        <w:tblInd w:w="55" w:type="dxa"/>
        <w:tblCellMar>
          <w:left w:w="70" w:type="dxa"/>
          <w:right w:w="70" w:type="dxa"/>
        </w:tblCellMar>
        <w:tblLook w:val="04A0"/>
      </w:tblPr>
      <w:tblGrid>
        <w:gridCol w:w="4940"/>
        <w:gridCol w:w="1400"/>
      </w:tblGrid>
      <w:tr w:rsidR="00987E36" w:rsidRPr="002222AF" w:rsidTr="00C40294">
        <w:trPr>
          <w:trHeight w:val="444"/>
        </w:trPr>
        <w:tc>
          <w:tcPr>
            <w:tcW w:w="6340" w:type="dxa"/>
            <w:gridSpan w:val="2"/>
            <w:tcBorders>
              <w:bottom w:val="single" w:sz="8" w:space="0" w:color="000000"/>
            </w:tcBorders>
            <w:shd w:val="clear" w:color="auto" w:fill="auto"/>
            <w:vAlign w:val="bottom"/>
            <w:hideMark/>
          </w:tcPr>
          <w:p w:rsidR="00987E36" w:rsidRPr="002222AF" w:rsidRDefault="00987E36" w:rsidP="00E06926">
            <w:pPr>
              <w:spacing w:after="120"/>
              <w:rPr>
                <w:lang w:val="en-US" w:eastAsia="sv-SE"/>
              </w:rPr>
            </w:pPr>
            <w:r w:rsidRPr="002222AF">
              <w:rPr>
                <w:b/>
                <w:lang w:val="en-US" w:eastAsia="sv-SE"/>
              </w:rPr>
              <w:t>Table A4</w:t>
            </w:r>
            <w:r w:rsidR="00C83749" w:rsidRPr="002222AF">
              <w:rPr>
                <w:b/>
                <w:lang w:val="en-US" w:eastAsia="sv-SE"/>
              </w:rPr>
              <w:t>.</w:t>
            </w:r>
            <w:r w:rsidR="00E06926" w:rsidRPr="002222AF">
              <w:rPr>
                <w:lang w:val="en-US" w:eastAsia="sv-SE"/>
              </w:rPr>
              <w:t xml:space="preserve"> Scoring of the </w:t>
            </w:r>
            <w:r w:rsidRPr="002222AF">
              <w:rPr>
                <w:lang w:val="en-US" w:eastAsia="sv-SE"/>
              </w:rPr>
              <w:t>fish</w:t>
            </w:r>
            <w:r w:rsidR="00E06926" w:rsidRPr="002222AF">
              <w:rPr>
                <w:lang w:val="en-US" w:eastAsia="sv-SE"/>
              </w:rPr>
              <w:t xml:space="preserve"> component</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Intake frequency of fish/week</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Score</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&gt;= 2.5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10</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2.25 to </w:t>
            </w:r>
            <w:r w:rsidR="00E83110" w:rsidRPr="002222AF">
              <w:rPr>
                <w:lang w:val="en-US" w:eastAsia="sv-SE"/>
              </w:rPr>
              <w:t xml:space="preserve">&lt; </w:t>
            </w:r>
            <w:r w:rsidRPr="002222AF">
              <w:rPr>
                <w:lang w:val="en-US" w:eastAsia="sv-SE"/>
              </w:rPr>
              <w:t>2.5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9</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2 to </w:t>
            </w:r>
            <w:r w:rsidR="00E83110" w:rsidRPr="002222AF">
              <w:rPr>
                <w:lang w:val="en-US" w:eastAsia="sv-SE"/>
              </w:rPr>
              <w:t xml:space="preserve">&lt; </w:t>
            </w:r>
            <w:r w:rsidRPr="002222AF">
              <w:rPr>
                <w:lang w:val="en-US" w:eastAsia="sv-SE"/>
              </w:rPr>
              <w:t>2.25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8</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1.75 to </w:t>
            </w:r>
            <w:r w:rsidR="00E83110" w:rsidRPr="002222AF">
              <w:rPr>
                <w:lang w:val="en-US" w:eastAsia="sv-SE"/>
              </w:rPr>
              <w:t xml:space="preserve">&lt; </w:t>
            </w:r>
            <w:r w:rsidRPr="002222AF">
              <w:rPr>
                <w:lang w:val="en-US" w:eastAsia="sv-SE"/>
              </w:rPr>
              <w:t>2</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7</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1.5 to </w:t>
            </w:r>
            <w:r w:rsidR="00E83110" w:rsidRPr="002222AF">
              <w:rPr>
                <w:lang w:val="en-US" w:eastAsia="sv-SE"/>
              </w:rPr>
              <w:t xml:space="preserve">&lt; </w:t>
            </w:r>
            <w:r w:rsidRPr="002222AF">
              <w:rPr>
                <w:lang w:val="en-US" w:eastAsia="sv-SE"/>
              </w:rPr>
              <w:t>1.75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6</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1.25 to </w:t>
            </w:r>
            <w:r w:rsidR="00E83110" w:rsidRPr="002222AF">
              <w:rPr>
                <w:lang w:val="en-US" w:eastAsia="sv-SE"/>
              </w:rPr>
              <w:t xml:space="preserve">&lt; </w:t>
            </w:r>
            <w:r w:rsidRPr="002222AF">
              <w:rPr>
                <w:lang w:val="en-US" w:eastAsia="sv-SE"/>
              </w:rPr>
              <w:t>1.5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5</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1 to </w:t>
            </w:r>
            <w:r w:rsidR="00E83110" w:rsidRPr="002222AF">
              <w:rPr>
                <w:lang w:val="en-US" w:eastAsia="sv-SE"/>
              </w:rPr>
              <w:t xml:space="preserve">&lt; </w:t>
            </w:r>
            <w:r w:rsidRPr="002222AF">
              <w:rPr>
                <w:lang w:val="en-US" w:eastAsia="sv-SE"/>
              </w:rPr>
              <w:t>1.25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4</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0.75 to </w:t>
            </w:r>
            <w:r w:rsidR="00E83110" w:rsidRPr="002222AF">
              <w:rPr>
                <w:lang w:val="en-US" w:eastAsia="sv-SE"/>
              </w:rPr>
              <w:t xml:space="preserve">&lt; </w:t>
            </w:r>
            <w:r w:rsidRPr="002222AF">
              <w:rPr>
                <w:lang w:val="en-US" w:eastAsia="sv-SE"/>
              </w:rPr>
              <w:t>1</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3</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0.5 to </w:t>
            </w:r>
            <w:r w:rsidR="00E83110" w:rsidRPr="002222AF">
              <w:rPr>
                <w:lang w:val="en-US" w:eastAsia="sv-SE"/>
              </w:rPr>
              <w:t xml:space="preserve">&lt; </w:t>
            </w:r>
            <w:r w:rsidRPr="002222AF">
              <w:rPr>
                <w:lang w:val="en-US" w:eastAsia="sv-SE"/>
              </w:rPr>
              <w:t>0.75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2</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 xml:space="preserve">&gt;= 0.25 to </w:t>
            </w:r>
            <w:r w:rsidR="00E83110" w:rsidRPr="002222AF">
              <w:rPr>
                <w:lang w:val="en-US" w:eastAsia="sv-SE"/>
              </w:rPr>
              <w:t xml:space="preserve">&lt; </w:t>
            </w:r>
            <w:r w:rsidRPr="002222AF">
              <w:rPr>
                <w:lang w:val="en-US" w:eastAsia="sv-SE"/>
              </w:rPr>
              <w:t>0.5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1</w:t>
            </w:r>
          </w:p>
        </w:tc>
      </w:tr>
      <w:tr w:rsidR="00987E36" w:rsidRPr="002222AF" w:rsidTr="00C40294">
        <w:trPr>
          <w:trHeight w:val="300"/>
        </w:trPr>
        <w:tc>
          <w:tcPr>
            <w:tcW w:w="4940" w:type="dxa"/>
            <w:tcBorders>
              <w:top w:val="nil"/>
              <w:left w:val="single" w:sz="8" w:space="0" w:color="000000"/>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&lt; 0.25</w:t>
            </w:r>
          </w:p>
        </w:tc>
        <w:tc>
          <w:tcPr>
            <w:tcW w:w="1400" w:type="dxa"/>
            <w:tcBorders>
              <w:top w:val="nil"/>
              <w:left w:val="nil"/>
              <w:bottom w:val="single" w:sz="8" w:space="0" w:color="000000"/>
              <w:right w:val="single" w:sz="8" w:space="0" w:color="000000"/>
            </w:tcBorders>
            <w:shd w:val="clear" w:color="auto" w:fill="auto"/>
            <w:vAlign w:val="bottom"/>
            <w:hideMark/>
          </w:tcPr>
          <w:p w:rsidR="00987E36" w:rsidRPr="002222AF" w:rsidRDefault="00987E36" w:rsidP="00C83749">
            <w:pPr>
              <w:spacing w:after="120"/>
              <w:rPr>
                <w:lang w:val="en-US" w:eastAsia="sv-SE"/>
              </w:rPr>
            </w:pPr>
            <w:r w:rsidRPr="002222AF">
              <w:rPr>
                <w:lang w:val="en-US" w:eastAsia="sv-SE"/>
              </w:rPr>
              <w:t>0</w:t>
            </w:r>
          </w:p>
        </w:tc>
      </w:tr>
    </w:tbl>
    <w:p w:rsidR="00987E36" w:rsidRPr="002222AF" w:rsidRDefault="00987E36" w:rsidP="00987E36">
      <w:pPr>
        <w:rPr>
          <w:lang w:val="en-US" w:eastAsia="sv-SE"/>
        </w:rPr>
      </w:pPr>
    </w:p>
    <w:p w:rsidR="005C685B" w:rsidRPr="00987E36" w:rsidRDefault="007D351D">
      <w:pPr>
        <w:rPr>
          <w:lang w:val="en-US"/>
        </w:rPr>
      </w:pPr>
      <w:r w:rsidRPr="002222AF">
        <w:rPr>
          <w:lang w:val="en-US"/>
        </w:rPr>
        <w:fldChar w:fldCharType="begin"/>
      </w:r>
      <w:r w:rsidR="00C83749" w:rsidRPr="002222AF">
        <w:rPr>
          <w:lang w:val="en-US"/>
        </w:rPr>
        <w:instrText xml:space="preserve"> ADDIN EN.REFLIST </w:instrText>
      </w:r>
      <w:r w:rsidRPr="002222AF">
        <w:rPr>
          <w:lang w:val="en-US"/>
        </w:rPr>
        <w:fldChar w:fldCharType="end"/>
      </w:r>
    </w:p>
    <w:sectPr w:rsidR="005C685B" w:rsidRPr="00987E36" w:rsidSect="007D351D">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0F90B1" w15:done="0"/>
  <w15:commentEx w15:paraId="452EBA1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2A1" w:rsidRDefault="004F22A1" w:rsidP="00C83749">
      <w:pPr>
        <w:spacing w:after="0" w:line="240" w:lineRule="auto"/>
      </w:pPr>
      <w:r>
        <w:separator/>
      </w:r>
    </w:p>
  </w:endnote>
  <w:endnote w:type="continuationSeparator" w:id="0">
    <w:p w:rsidR="004F22A1" w:rsidRDefault="004F22A1" w:rsidP="00C837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2A1" w:rsidRDefault="004F22A1" w:rsidP="00C83749">
      <w:pPr>
        <w:spacing w:after="0" w:line="240" w:lineRule="auto"/>
      </w:pPr>
      <w:r>
        <w:separator/>
      </w:r>
    </w:p>
  </w:footnote>
  <w:footnote w:type="continuationSeparator" w:id="0">
    <w:p w:rsidR="004F22A1" w:rsidRDefault="004F22A1" w:rsidP="00C83749">
      <w:pPr>
        <w:spacing w:after="0" w:line="240" w:lineRule="auto"/>
      </w:pPr>
      <w:r>
        <w:continuationSeparator/>
      </w:r>
    </w:p>
  </w:footnote>
  <w:footnote w:id="1">
    <w:p w:rsidR="00C83749" w:rsidRPr="00C83749" w:rsidRDefault="00C83749">
      <w:pPr>
        <w:pStyle w:val="FootnoteText"/>
        <w:rPr>
          <w:lang w:val="en-US"/>
        </w:rPr>
      </w:pPr>
      <w:r>
        <w:rPr>
          <w:rStyle w:val="FootnoteReference"/>
        </w:rPr>
        <w:footnoteRef/>
      </w:r>
      <w:r w:rsidRPr="00C83749">
        <w:rPr>
          <w:lang w:val="en-US"/>
        </w:rPr>
        <w:t xml:space="preserve">Lanfer A, Knof K, Barba G, Veidebaum T, Papoutsou S, de Henauw S, Soos T, Moreno LA, Ahrens W, Lissner L: </w:t>
      </w:r>
      <w:r w:rsidRPr="00C83749">
        <w:rPr>
          <w:b/>
          <w:lang w:val="en-US"/>
        </w:rPr>
        <w:t>Taste preferences in association with dietary habits and weight status in European children: results from the IDEFICS study</w:t>
      </w:r>
      <w:r w:rsidRPr="00C83749">
        <w:rPr>
          <w:lang w:val="en-US"/>
        </w:rPr>
        <w:t xml:space="preserve">. </w:t>
      </w:r>
      <w:r w:rsidRPr="00C83749">
        <w:rPr>
          <w:i/>
          <w:lang w:val="en-US"/>
        </w:rPr>
        <w:t xml:space="preserve">International journal of obesity </w:t>
      </w:r>
      <w:r w:rsidRPr="00C83749">
        <w:rPr>
          <w:lang w:val="en-US"/>
        </w:rPr>
        <w:t xml:space="preserve">2012, </w:t>
      </w:r>
      <w:r w:rsidRPr="00C83749">
        <w:rPr>
          <w:b/>
          <w:lang w:val="en-US"/>
        </w:rPr>
        <w:t>36</w:t>
      </w:r>
      <w:r w:rsidRPr="00C83749">
        <w:rPr>
          <w:lang w:val="en-US"/>
        </w:rPr>
        <w:t>(1):27-34.</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briele Eiben">
    <w15:presenceInfo w15:providerId="AD" w15:userId="S-1-5-21-1453882016-3398588568-228745471-14249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1304"/>
  <w:hyphenationZone w:val="425"/>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wvs9t2032w2eqeewpyvppwf2vtfaavavz9s&quot;&gt;My EndNote Library&lt;record-ids&gt;&lt;item&gt;63&lt;/item&gt;&lt;/record-ids&gt;&lt;/item&gt;&lt;/Libraries&gt;"/>
    <w:docVar w:name="Total_Editing_Time" w:val="8"/>
  </w:docVars>
  <w:rsids>
    <w:rsidRoot w:val="00987E36"/>
    <w:rsid w:val="0005117F"/>
    <w:rsid w:val="000843AB"/>
    <w:rsid w:val="002222AF"/>
    <w:rsid w:val="003C6FB2"/>
    <w:rsid w:val="003C70C5"/>
    <w:rsid w:val="003D1EAD"/>
    <w:rsid w:val="0044258A"/>
    <w:rsid w:val="00447749"/>
    <w:rsid w:val="004A7E6F"/>
    <w:rsid w:val="004B0805"/>
    <w:rsid w:val="004F22A1"/>
    <w:rsid w:val="00507899"/>
    <w:rsid w:val="0055108C"/>
    <w:rsid w:val="005C685B"/>
    <w:rsid w:val="006352AE"/>
    <w:rsid w:val="0069027F"/>
    <w:rsid w:val="00750D5E"/>
    <w:rsid w:val="007844EF"/>
    <w:rsid w:val="007C2FDA"/>
    <w:rsid w:val="007D351D"/>
    <w:rsid w:val="007E1697"/>
    <w:rsid w:val="00852E32"/>
    <w:rsid w:val="00903A1B"/>
    <w:rsid w:val="00987E36"/>
    <w:rsid w:val="009F6698"/>
    <w:rsid w:val="00A146F6"/>
    <w:rsid w:val="00A57A58"/>
    <w:rsid w:val="00A847B5"/>
    <w:rsid w:val="00AB625C"/>
    <w:rsid w:val="00BC3F30"/>
    <w:rsid w:val="00C561FB"/>
    <w:rsid w:val="00C83749"/>
    <w:rsid w:val="00D01982"/>
    <w:rsid w:val="00D22197"/>
    <w:rsid w:val="00E06926"/>
    <w:rsid w:val="00E7500F"/>
    <w:rsid w:val="00E83110"/>
    <w:rsid w:val="00EC5C31"/>
    <w:rsid w:val="00EC7DA0"/>
    <w:rsid w:val="00F1585C"/>
    <w:rsid w:val="00F849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E36"/>
    <w:pPr>
      <w:spacing w:after="240" w:line="260" w:lineRule="exact"/>
      <w:jc w:val="both"/>
    </w:pPr>
    <w:rPr>
      <w:rFonts w:ascii="Times New Roman" w:hAnsi="Times New Roman"/>
    </w:rPr>
  </w:style>
  <w:style w:type="paragraph" w:styleId="Heading4">
    <w:name w:val="heading 4"/>
    <w:basedOn w:val="Normal"/>
    <w:next w:val="Normal"/>
    <w:link w:val="Heading4Char"/>
    <w:uiPriority w:val="9"/>
    <w:semiHidden/>
    <w:unhideWhenUsed/>
    <w:qFormat/>
    <w:rsid w:val="00987E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987E36"/>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unhideWhenUsed/>
    <w:rsid w:val="00C837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3749"/>
    <w:rPr>
      <w:rFonts w:ascii="Times New Roman" w:hAnsi="Times New Roman"/>
      <w:sz w:val="20"/>
      <w:szCs w:val="20"/>
    </w:rPr>
  </w:style>
  <w:style w:type="character" w:styleId="FootnoteReference">
    <w:name w:val="footnote reference"/>
    <w:basedOn w:val="DefaultParagraphFont"/>
    <w:uiPriority w:val="99"/>
    <w:semiHidden/>
    <w:unhideWhenUsed/>
    <w:rsid w:val="00C83749"/>
    <w:rPr>
      <w:vertAlign w:val="superscript"/>
    </w:rPr>
  </w:style>
  <w:style w:type="character" w:styleId="Hyperlink">
    <w:name w:val="Hyperlink"/>
    <w:basedOn w:val="DefaultParagraphFont"/>
    <w:uiPriority w:val="99"/>
    <w:unhideWhenUsed/>
    <w:rsid w:val="00C83749"/>
    <w:rPr>
      <w:color w:val="0000FF" w:themeColor="hyperlink"/>
      <w:u w:val="single"/>
    </w:rPr>
  </w:style>
  <w:style w:type="paragraph" w:styleId="BalloonText">
    <w:name w:val="Balloon Text"/>
    <w:basedOn w:val="Normal"/>
    <w:link w:val="BalloonTextChar"/>
    <w:uiPriority w:val="99"/>
    <w:semiHidden/>
    <w:unhideWhenUsed/>
    <w:rsid w:val="004A7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E6F"/>
    <w:rPr>
      <w:rFonts w:ascii="Tahoma" w:hAnsi="Tahoma" w:cs="Tahoma"/>
      <w:sz w:val="16"/>
      <w:szCs w:val="16"/>
    </w:rPr>
  </w:style>
  <w:style w:type="character" w:styleId="CommentReference">
    <w:name w:val="annotation reference"/>
    <w:basedOn w:val="DefaultParagraphFont"/>
    <w:uiPriority w:val="99"/>
    <w:semiHidden/>
    <w:unhideWhenUsed/>
    <w:rsid w:val="00E7500F"/>
    <w:rPr>
      <w:sz w:val="16"/>
      <w:szCs w:val="16"/>
    </w:rPr>
  </w:style>
  <w:style w:type="paragraph" w:styleId="CommentText">
    <w:name w:val="annotation text"/>
    <w:basedOn w:val="Normal"/>
    <w:link w:val="CommentTextChar"/>
    <w:uiPriority w:val="99"/>
    <w:semiHidden/>
    <w:unhideWhenUsed/>
    <w:rsid w:val="00E7500F"/>
    <w:pPr>
      <w:spacing w:line="240" w:lineRule="auto"/>
    </w:pPr>
    <w:rPr>
      <w:sz w:val="20"/>
      <w:szCs w:val="20"/>
    </w:rPr>
  </w:style>
  <w:style w:type="character" w:customStyle="1" w:styleId="CommentTextChar">
    <w:name w:val="Comment Text Char"/>
    <w:basedOn w:val="DefaultParagraphFont"/>
    <w:link w:val="CommentText"/>
    <w:uiPriority w:val="99"/>
    <w:semiHidden/>
    <w:rsid w:val="00E7500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7500F"/>
    <w:rPr>
      <w:b/>
      <w:bCs/>
    </w:rPr>
  </w:style>
  <w:style w:type="character" w:customStyle="1" w:styleId="CommentSubjectChar">
    <w:name w:val="Comment Subject Char"/>
    <w:basedOn w:val="CommentTextChar"/>
    <w:link w:val="CommentSubject"/>
    <w:uiPriority w:val="99"/>
    <w:semiHidden/>
    <w:rsid w:val="00E7500F"/>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E36"/>
    <w:pPr>
      <w:spacing w:after="240" w:line="260" w:lineRule="exact"/>
      <w:jc w:val="both"/>
    </w:pPr>
    <w:rPr>
      <w:rFonts w:ascii="Times New Roman" w:hAnsi="Times New Roman"/>
    </w:rPr>
  </w:style>
  <w:style w:type="paragraph" w:styleId="Rubrik4">
    <w:name w:val="heading 4"/>
    <w:basedOn w:val="Normal"/>
    <w:next w:val="Normal"/>
    <w:link w:val="Rubrik4Char"/>
    <w:uiPriority w:val="9"/>
    <w:semiHidden/>
    <w:unhideWhenUsed/>
    <w:qFormat/>
    <w:rsid w:val="00987E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semiHidden/>
    <w:rsid w:val="00987E36"/>
    <w:rPr>
      <w:rFonts w:asciiTheme="majorHAnsi" w:eastAsiaTheme="majorEastAsia" w:hAnsiTheme="majorHAnsi" w:cstheme="majorBidi"/>
      <w:b/>
      <w:bCs/>
      <w:i/>
      <w:iCs/>
      <w:color w:val="4F81BD" w:themeColor="accent1"/>
    </w:rPr>
  </w:style>
  <w:style w:type="paragraph" w:styleId="Fotnotstext">
    <w:name w:val="footnote text"/>
    <w:basedOn w:val="Normal"/>
    <w:link w:val="FotnotstextChar"/>
    <w:uiPriority w:val="99"/>
    <w:semiHidden/>
    <w:unhideWhenUsed/>
    <w:rsid w:val="00C83749"/>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83749"/>
    <w:rPr>
      <w:rFonts w:ascii="Times New Roman" w:hAnsi="Times New Roman"/>
      <w:sz w:val="20"/>
      <w:szCs w:val="20"/>
    </w:rPr>
  </w:style>
  <w:style w:type="character" w:styleId="Fotnotsreferens">
    <w:name w:val="footnote reference"/>
    <w:basedOn w:val="Standardstycketeckensnitt"/>
    <w:uiPriority w:val="99"/>
    <w:semiHidden/>
    <w:unhideWhenUsed/>
    <w:rsid w:val="00C83749"/>
    <w:rPr>
      <w:vertAlign w:val="superscript"/>
    </w:rPr>
  </w:style>
  <w:style w:type="character" w:styleId="Hyperlnk">
    <w:name w:val="Hyperlink"/>
    <w:basedOn w:val="Standardstycketeckensnitt"/>
    <w:uiPriority w:val="99"/>
    <w:unhideWhenUsed/>
    <w:rsid w:val="00C83749"/>
    <w:rPr>
      <w:color w:val="0000FF" w:themeColor="hyperlink"/>
      <w:u w:val="single"/>
    </w:rPr>
  </w:style>
  <w:style w:type="paragraph" w:styleId="Ballongtext">
    <w:name w:val="Balloon Text"/>
    <w:basedOn w:val="Normal"/>
    <w:link w:val="BallongtextChar"/>
    <w:uiPriority w:val="99"/>
    <w:semiHidden/>
    <w:unhideWhenUsed/>
    <w:rsid w:val="004A7E6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A7E6F"/>
    <w:rPr>
      <w:rFonts w:ascii="Tahoma" w:hAnsi="Tahoma" w:cs="Tahoma"/>
      <w:sz w:val="16"/>
      <w:szCs w:val="16"/>
    </w:rPr>
  </w:style>
  <w:style w:type="character" w:styleId="Kommentarsreferens">
    <w:name w:val="annotation reference"/>
    <w:basedOn w:val="Standardstycketeckensnitt"/>
    <w:uiPriority w:val="99"/>
    <w:semiHidden/>
    <w:unhideWhenUsed/>
    <w:rsid w:val="00E7500F"/>
    <w:rPr>
      <w:sz w:val="16"/>
      <w:szCs w:val="16"/>
    </w:rPr>
  </w:style>
  <w:style w:type="paragraph" w:styleId="Kommentarer">
    <w:name w:val="annotation text"/>
    <w:basedOn w:val="Normal"/>
    <w:link w:val="KommentarerChar"/>
    <w:uiPriority w:val="99"/>
    <w:semiHidden/>
    <w:unhideWhenUsed/>
    <w:rsid w:val="00E7500F"/>
    <w:pPr>
      <w:spacing w:line="240" w:lineRule="auto"/>
    </w:pPr>
    <w:rPr>
      <w:sz w:val="20"/>
      <w:szCs w:val="20"/>
    </w:rPr>
  </w:style>
  <w:style w:type="character" w:customStyle="1" w:styleId="KommentarerChar">
    <w:name w:val="Kommentarer Char"/>
    <w:basedOn w:val="Standardstycketeckensnitt"/>
    <w:link w:val="Kommentarer"/>
    <w:uiPriority w:val="99"/>
    <w:semiHidden/>
    <w:rsid w:val="00E7500F"/>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E7500F"/>
    <w:rPr>
      <w:b/>
      <w:bCs/>
    </w:rPr>
  </w:style>
  <w:style w:type="character" w:customStyle="1" w:styleId="KommentarsmneChar">
    <w:name w:val="Kommentarsämne Char"/>
    <w:basedOn w:val="KommentarerChar"/>
    <w:link w:val="Kommentarsmne"/>
    <w:uiPriority w:val="99"/>
    <w:semiHidden/>
    <w:rsid w:val="00E7500F"/>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5104BE5-7029-439F-A6D1-52D8B0154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1301</Words>
  <Characters>5832</Characters>
  <Application>Microsoft Office Word</Application>
  <DocSecurity>0</DocSecurity>
  <Lines>171</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Gothenburg University</Company>
  <LinksUpToDate>false</LinksUpToDate>
  <CharactersWithSpaces>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Arvidsson</dc:creator>
  <cp:lastModifiedBy>S3G_Apply_Fixed_Case</cp:lastModifiedBy>
  <cp:revision>9</cp:revision>
  <cp:lastPrinted>2017-06-21T08:54:00Z</cp:lastPrinted>
  <dcterms:created xsi:type="dcterms:W3CDTF">2017-06-28T10:22:00Z</dcterms:created>
  <dcterms:modified xsi:type="dcterms:W3CDTF">2017-11-17T20:19:00Z</dcterms:modified>
</cp:coreProperties>
</file>