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6BE" w:rsidRPr="003E23BB" w:rsidRDefault="003E23BB" w:rsidP="003E23BB">
      <w:pPr>
        <w:spacing w:line="480" w:lineRule="auto"/>
        <w:jc w:val="center"/>
        <w:rPr>
          <w:rFonts w:ascii="Times New Roman" w:hAnsi="Times New Roman" w:cs="Times New Roman"/>
          <w:b/>
          <w:sz w:val="36"/>
          <w:szCs w:val="36"/>
        </w:rPr>
      </w:pPr>
      <w:r w:rsidRPr="003E23BB">
        <w:rPr>
          <w:rFonts w:ascii="Times New Roman" w:hAnsi="Times New Roman" w:cs="Times New Roman" w:hint="eastAsia"/>
          <w:b/>
          <w:sz w:val="36"/>
          <w:szCs w:val="36"/>
        </w:rPr>
        <w:t xml:space="preserve">Appendix </w:t>
      </w:r>
      <w:r w:rsidR="007A5486">
        <w:rPr>
          <w:rFonts w:ascii="Times New Roman" w:hAnsi="Times New Roman" w:cs="Times New Roman" w:hint="eastAsia"/>
          <w:b/>
          <w:sz w:val="36"/>
          <w:szCs w:val="36"/>
        </w:rPr>
        <w:t>2</w:t>
      </w:r>
      <w:r w:rsidRPr="003E23BB">
        <w:rPr>
          <w:rFonts w:ascii="Times New Roman" w:hAnsi="Times New Roman" w:cs="Times New Roman" w:hint="eastAsia"/>
          <w:b/>
          <w:sz w:val="36"/>
          <w:szCs w:val="36"/>
        </w:rPr>
        <w:t xml:space="preserve">. </w:t>
      </w:r>
      <w:r w:rsidR="00E846BE" w:rsidRPr="003E23BB">
        <w:rPr>
          <w:rFonts w:ascii="Times New Roman" w:hAnsi="Times New Roman" w:cs="Times New Roman"/>
          <w:b/>
          <w:sz w:val="36"/>
          <w:szCs w:val="36"/>
        </w:rPr>
        <w:t>Spatial effect modeling</w:t>
      </w:r>
      <w:r w:rsidR="008D50D4">
        <w:rPr>
          <w:rFonts w:ascii="Times New Roman" w:hAnsi="Times New Roman" w:cs="Times New Roman" w:hint="eastAsia"/>
          <w:b/>
          <w:sz w:val="36"/>
          <w:szCs w:val="36"/>
        </w:rPr>
        <w:t xml:space="preserve">  </w:t>
      </w:r>
      <w:bookmarkStart w:id="0" w:name="_GoBack"/>
      <w:bookmarkEnd w:id="0"/>
    </w:p>
    <w:p w:rsidR="00E846BE" w:rsidRPr="001564E1" w:rsidRDefault="00E846BE" w:rsidP="00EE0F3A">
      <w:pPr>
        <w:spacing w:line="480" w:lineRule="auto"/>
        <w:rPr>
          <w:rFonts w:ascii="Times New Roman" w:hAnsi="Times New Roman" w:cs="Times New Roman"/>
          <w:b/>
        </w:rPr>
      </w:pPr>
      <w:r w:rsidRPr="001564E1">
        <w:rPr>
          <w:rFonts w:ascii="Times New Roman" w:hAnsi="Times New Roman" w:cs="Times New Roman"/>
        </w:rPr>
        <w:t xml:space="preserve">In our model, the spatial effects were modeled using the following formulas for spatially structured (5) and spatially unstructured effects (6): </w:t>
      </w:r>
    </w:p>
    <w:p w:rsidR="00E846BE" w:rsidRPr="001564E1" w:rsidRDefault="00EE0F3A" w:rsidP="00EE0F3A">
      <w:pPr>
        <w:spacing w:line="480" w:lineRule="auto"/>
        <w:rPr>
          <w:rFonts w:ascii="Times New Roman" w:hAnsi="Times New Roman" w:cs="Times New Roman"/>
        </w:rPr>
      </w:pPr>
      <w:r w:rsidRPr="001564E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r</m:t>
            </m:r>
            <m:d>
              <m:dPr>
                <m:ctrlPr>
                  <w:rPr>
                    <w:rFonts w:ascii="Cambria Math" w:hAnsi="Cambria Math" w:cs="Times New Roman"/>
                    <w:i/>
                  </w:rPr>
                </m:ctrlPr>
              </m:dPr>
              <m:e>
                <m:r>
                  <w:rPr>
                    <w:rFonts w:ascii="Cambria Math" w:hAnsi="Cambria Math" w:cs="Times New Roman"/>
                  </w:rPr>
                  <m:t>s</m:t>
                </m:r>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r>
          <w:rPr>
            <w:rFonts w:ascii="Cambria Math" w:hAnsi="Cambria Math" w:cs="Times New Roman"/>
          </w:rPr>
          <m:t>≠r~N(</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den>
        </m:f>
        <m:nary>
          <m:naryPr>
            <m:chr m:val="∑"/>
            <m:supHide m:val="1"/>
            <m:ctrlPr>
              <w:rPr>
                <w:rFonts w:ascii="Cambria Math" w:hAnsi="Cambria Math" w:cs="Times New Roman"/>
                <w:i/>
              </w:rPr>
            </m:ctrlPr>
          </m:naryPr>
          <m:sub>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r</m:t>
                </m:r>
              </m:sub>
            </m:sSub>
          </m:sub>
          <m:sup/>
          <m:e>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m:t>
                </m:r>
              </m:sub>
            </m:sSub>
          </m:e>
        </m:nary>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den>
        </m:f>
      </m:oMath>
      <w:r w:rsidR="00E846BE" w:rsidRPr="001564E1">
        <w:rPr>
          <w:rFonts w:ascii="Times New Roman" w:hAnsi="Times New Roman" w:cs="Times New Roman"/>
          <w:iCs/>
        </w:rPr>
        <w:t xml:space="preserve">                   (</w:t>
      </w:r>
      <w:r w:rsidR="00D56CDA" w:rsidRPr="001564E1">
        <w:rPr>
          <w:rFonts w:ascii="Times New Roman" w:hAnsi="Times New Roman" w:cs="Times New Roman"/>
          <w:iCs/>
        </w:rPr>
        <w:t>1</w:t>
      </w:r>
      <w:r w:rsidR="00E846BE" w:rsidRPr="001564E1">
        <w:rPr>
          <w:rFonts w:ascii="Times New Roman" w:hAnsi="Times New Roman" w:cs="Times New Roman"/>
          <w:iCs/>
        </w:rPr>
        <w:t xml:space="preserve">) </w:t>
      </w:r>
    </w:p>
    <w:p w:rsidR="00E846BE" w:rsidRPr="001564E1" w:rsidRDefault="00EE0F3A" w:rsidP="00EE0F3A">
      <w:pPr>
        <w:spacing w:line="480" w:lineRule="auto"/>
        <w:rPr>
          <w:rFonts w:ascii="Times New Roman" w:hAnsi="Times New Roman" w:cs="Times New Roman"/>
        </w:rPr>
      </w:pPr>
      <w:r w:rsidRPr="001564E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re</m:t>
            </m:r>
          </m:sub>
        </m:sSub>
        <m:d>
          <m:dPr>
            <m:ctrlPr>
              <w:rPr>
                <w:rFonts w:ascii="Cambria Math" w:hAnsi="Cambria Math" w:cs="Times New Roman"/>
                <w:i/>
              </w:rPr>
            </m:ctrlPr>
          </m:dPr>
          <m:e>
            <m:r>
              <w:rPr>
                <w:rFonts w:ascii="Cambria Math" w:hAnsi="Cambria Math" w:cs="Times New Roman"/>
              </w:rPr>
              <m:t>r</m:t>
            </m:r>
            <m:d>
              <m:dPr>
                <m:ctrlPr>
                  <w:rPr>
                    <w:rFonts w:ascii="Cambria Math" w:hAnsi="Cambria Math" w:cs="Times New Roman"/>
                    <w:i/>
                  </w:rPr>
                </m:ctrlPr>
              </m:dPr>
              <m:e>
                <m:r>
                  <w:rPr>
                    <w:rFonts w:ascii="Cambria Math" w:hAnsi="Cambria Math" w:cs="Times New Roman"/>
                  </w:rPr>
                  <m:t>s</m:t>
                </m:r>
              </m:e>
            </m:d>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re</m:t>
            </m:r>
          </m:sub>
        </m:sSub>
        <m:r>
          <w:rPr>
            <w:rFonts w:ascii="Cambria Math" w:hAnsi="Cambria Math" w:cs="Times New Roman"/>
          </w:rPr>
          <m:t>~N(0,</m:t>
        </m:r>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2</m:t>
            </m:r>
          </m:sup>
        </m:sSup>
        <m:r>
          <w:rPr>
            <w:rFonts w:ascii="Cambria Math" w:hAnsi="Cambria Math" w:cs="Times New Roman"/>
          </w:rPr>
          <m:t>)</m:t>
        </m:r>
      </m:oMath>
      <w:r w:rsidR="00E846BE" w:rsidRPr="001564E1">
        <w:rPr>
          <w:rFonts w:ascii="Times New Roman" w:hAnsi="Times New Roman" w:cs="Times New Roman"/>
          <w:iCs/>
        </w:rPr>
        <w:t xml:space="preserve">          </w:t>
      </w:r>
      <w:r w:rsidR="00D56CDA" w:rsidRPr="001564E1">
        <w:rPr>
          <w:rFonts w:ascii="Times New Roman" w:hAnsi="Times New Roman" w:cs="Times New Roman"/>
          <w:iCs/>
        </w:rPr>
        <w:t xml:space="preserve">            (2</w:t>
      </w:r>
      <w:r w:rsidR="00E846BE" w:rsidRPr="001564E1">
        <w:rPr>
          <w:rFonts w:ascii="Times New Roman" w:hAnsi="Times New Roman" w:cs="Times New Roman"/>
          <w:iCs/>
        </w:rPr>
        <w:t>)</w:t>
      </w:r>
    </w:p>
    <w:p w:rsidR="00E846BE" w:rsidRPr="001564E1" w:rsidRDefault="00E846BE" w:rsidP="00EE0F3A">
      <w:pPr>
        <w:spacing w:line="480" w:lineRule="auto"/>
        <w:rPr>
          <w:rFonts w:ascii="Times New Roman" w:hAnsi="Times New Roman" w:cs="Times New Roman"/>
          <w:iCs/>
        </w:rPr>
      </w:pPr>
      <w:r w:rsidRPr="001564E1">
        <w:rPr>
          <w:rFonts w:ascii="Times New Roman" w:hAnsi="Times New Roman" w:cs="Times New Roman"/>
        </w:rPr>
        <w:t xml:space="preserve">where </w:t>
      </w:r>
      <w:r w:rsidRPr="001564E1">
        <w:rPr>
          <w:rFonts w:ascii="Times New Roman" w:hAnsi="Times New Roman" w:cs="Times New Roman"/>
          <w:i/>
          <w:iCs/>
        </w:rPr>
        <w:t>r</w:t>
      </w:r>
      <w:r w:rsidRPr="001564E1">
        <w:rPr>
          <w:rFonts w:ascii="Times New Roman" w:hAnsi="Times New Roman" w:cs="Times New Roman"/>
        </w:rPr>
        <w:t>(</w:t>
      </w:r>
      <w:r w:rsidRPr="001564E1">
        <w:rPr>
          <w:rFonts w:ascii="Times New Roman" w:hAnsi="Times New Roman" w:cs="Times New Roman"/>
          <w:i/>
          <w:iCs/>
        </w:rPr>
        <w:t>s</w:t>
      </w:r>
      <w:r w:rsidRPr="001564E1">
        <w:rPr>
          <w:rFonts w:ascii="Times New Roman" w:hAnsi="Times New Roman" w:cs="Times New Roman"/>
        </w:rPr>
        <w:t xml:space="preserve">) is the region in which the observed incidence rate </w:t>
      </w:r>
      <w:r w:rsidRPr="001564E1">
        <w:rPr>
          <w:rFonts w:ascii="Times New Roman" w:hAnsi="Times New Roman" w:cs="Times New Roman"/>
          <w:i/>
          <w:iCs/>
        </w:rPr>
        <w:t>y</w:t>
      </w:r>
      <w:r w:rsidRPr="001564E1">
        <w:rPr>
          <w:rFonts w:ascii="Times New Roman" w:hAnsi="Times New Roman" w:cs="Times New Roman"/>
        </w:rPr>
        <w:t>(</w:t>
      </w:r>
      <w:r w:rsidRPr="001564E1">
        <w:rPr>
          <w:rFonts w:ascii="Times New Roman" w:hAnsi="Times New Roman" w:cs="Times New Roman"/>
          <w:i/>
          <w:iCs/>
        </w:rPr>
        <w:t>s</w:t>
      </w:r>
      <w:r w:rsidRPr="001564E1">
        <w:rPr>
          <w:rFonts w:ascii="Times New Roman" w:hAnsi="Times New Roman" w:cs="Times New Roman"/>
        </w:rPr>
        <w:t>,</w:t>
      </w:r>
      <w:r w:rsidRPr="001564E1">
        <w:rPr>
          <w:rFonts w:ascii="Times New Roman" w:hAnsi="Times New Roman" w:cs="Times New Roman"/>
          <w:i/>
          <w:iCs/>
        </w:rPr>
        <w:t>t</w:t>
      </w:r>
      <w:r w:rsidRPr="001564E1">
        <w:rPr>
          <w:rFonts w:ascii="Times New Roman" w:hAnsi="Times New Roman" w:cs="Times New Roman"/>
        </w:rPr>
        <w:t xml:space="preserve">) is located, </w:t>
      </w:r>
      <w:r w:rsidRPr="001564E1">
        <w:rPr>
          <w:rFonts w:ascii="Times New Roman" w:hAnsi="Times New Roman" w:cs="Times New Roman"/>
          <w:i/>
          <w:iCs/>
        </w:rPr>
        <w:t>δ</w:t>
      </w:r>
      <w:r w:rsidRPr="001564E1">
        <w:rPr>
          <w:rFonts w:ascii="Times New Roman" w:hAnsi="Times New Roman" w:cs="Times New Roman"/>
          <w:i/>
          <w:iCs/>
          <w:vertAlign w:val="subscript"/>
        </w:rPr>
        <w:t>r</w:t>
      </w:r>
      <w:r w:rsidRPr="001564E1">
        <w:rPr>
          <w:rFonts w:ascii="Times New Roman" w:hAnsi="Times New Roman" w:cs="Times New Roman"/>
        </w:rPr>
        <w:t xml:space="preserve"> represents a set of neighbors of region </w:t>
      </w:r>
      <w:r w:rsidRPr="001564E1">
        <w:rPr>
          <w:rFonts w:ascii="Times New Roman" w:hAnsi="Times New Roman" w:cs="Times New Roman"/>
          <w:i/>
          <w:iCs/>
        </w:rPr>
        <w:t>r</w:t>
      </w:r>
      <w:r w:rsidRPr="001564E1">
        <w:rPr>
          <w:rFonts w:ascii="Times New Roman" w:hAnsi="Times New Roman" w:cs="Times New Roman"/>
        </w:rPr>
        <w:t xml:space="preserve">, </w:t>
      </w:r>
      <w:r w:rsidRPr="001564E1">
        <w:rPr>
          <w:rFonts w:ascii="Times New Roman" w:hAnsi="Times New Roman" w:cs="Times New Roman"/>
          <w:i/>
          <w:iCs/>
        </w:rPr>
        <w:t>N</w:t>
      </w:r>
      <w:r w:rsidRPr="001564E1">
        <w:rPr>
          <w:rFonts w:ascii="Times New Roman" w:hAnsi="Times New Roman" w:cs="Times New Roman"/>
          <w:i/>
          <w:iCs/>
          <w:vertAlign w:val="subscript"/>
        </w:rPr>
        <w:t>r</w:t>
      </w:r>
      <w:r w:rsidRPr="001564E1">
        <w:rPr>
          <w:rFonts w:ascii="Times New Roman" w:hAnsi="Times New Roman" w:cs="Times New Roman"/>
        </w:rPr>
        <w:t xml:space="preserve"> is the number of neighboring regions for </w:t>
      </w:r>
      <w:r w:rsidRPr="001564E1">
        <w:rPr>
          <w:rFonts w:ascii="Times New Roman" w:hAnsi="Times New Roman" w:cs="Times New Roman"/>
          <w:i/>
          <w:iCs/>
        </w:rPr>
        <w:t>r</w:t>
      </w:r>
      <w:r w:rsidRPr="001564E1">
        <w:rPr>
          <w:rFonts w:ascii="Times New Roman" w:hAnsi="Times New Roman" w:cs="Times New Roman"/>
        </w:rPr>
        <w:t xml:space="preserve">, and </w:t>
      </w:r>
      <w:r w:rsidRPr="001564E1">
        <w:rPr>
          <w:rFonts w:ascii="Times New Roman" w:hAnsi="Times New Roman" w:cs="Times New Roman"/>
          <w:i/>
          <w:iCs/>
        </w:rPr>
        <w:t>τ</w:t>
      </w:r>
      <w:r w:rsidRPr="001564E1">
        <w:rPr>
          <w:rFonts w:ascii="Times New Roman" w:hAnsi="Times New Roman" w:cs="Times New Roman"/>
          <w:vertAlign w:val="superscript"/>
        </w:rPr>
        <w:t>2</w:t>
      </w:r>
      <w:r w:rsidRPr="001564E1">
        <w:rPr>
          <w:rFonts w:ascii="Times New Roman" w:hAnsi="Times New Roman" w:cs="Times New Roman"/>
        </w:rPr>
        <w:t xml:space="preserve"> is the variance component, </w:t>
      </w:r>
      <w:r w:rsidRPr="001564E1">
        <w:rPr>
          <w:rFonts w:ascii="Times New Roman" w:hAnsi="Times New Roman" w:cs="Times New Roman"/>
          <w:i/>
          <w:iCs/>
        </w:rPr>
        <w:t>τ</w:t>
      </w:r>
      <w:r w:rsidRPr="001564E1">
        <w:rPr>
          <w:rFonts w:ascii="Times New Roman" w:hAnsi="Times New Roman" w:cs="Times New Roman"/>
          <w:vertAlign w:val="superscript"/>
        </w:rPr>
        <w:t>2</w:t>
      </w:r>
      <w:r w:rsidRPr="001564E1">
        <w:rPr>
          <w:rFonts w:ascii="Times New Roman" w:hAnsi="Times New Roman" w:cs="Times New Roman"/>
        </w:rPr>
        <w:t xml:space="preserve"> ~IG(</w:t>
      </w:r>
      <w:r w:rsidRPr="001564E1">
        <w:rPr>
          <w:rFonts w:ascii="Times New Roman" w:hAnsi="Times New Roman" w:cs="Times New Roman"/>
          <w:i/>
          <w:iCs/>
        </w:rPr>
        <w:t>a</w:t>
      </w:r>
      <w:r w:rsidRPr="001564E1">
        <w:rPr>
          <w:rFonts w:ascii="Times New Roman" w:hAnsi="Times New Roman" w:cs="Times New Roman"/>
        </w:rPr>
        <w:t>,</w:t>
      </w:r>
      <w:r w:rsidRPr="001564E1">
        <w:rPr>
          <w:rFonts w:ascii="Times New Roman" w:hAnsi="Times New Roman" w:cs="Times New Roman"/>
          <w:i/>
          <w:iCs/>
        </w:rPr>
        <w:t>b</w:t>
      </w:r>
      <w:r w:rsidRPr="001564E1">
        <w:rPr>
          <w:rFonts w:ascii="Times New Roman" w:hAnsi="Times New Roman" w:cs="Times New Roman"/>
        </w:rPr>
        <w:t>). In (</w:t>
      </w:r>
      <w:r w:rsidR="00AA5822" w:rsidRPr="001564E1">
        <w:rPr>
          <w:rFonts w:ascii="Times New Roman" w:hAnsi="Times New Roman" w:cs="Times New Roman"/>
        </w:rPr>
        <w:t>1</w:t>
      </w:r>
      <w:r w:rsidRPr="001564E1">
        <w:rPr>
          <w:rFonts w:ascii="Times New Roman" w:hAnsi="Times New Roman" w:cs="Times New Roman"/>
        </w:rPr>
        <w:t xml:space="preserve">), </w:t>
      </w:r>
      <w:r w:rsidRPr="001564E1">
        <w:rPr>
          <w:rFonts w:ascii="Times New Roman" w:hAnsi="Times New Roman" w:cs="Times New Roman"/>
          <w:i/>
          <w:iCs/>
        </w:rPr>
        <w:t>γ</w:t>
      </w:r>
      <w:r w:rsidRPr="001564E1">
        <w:rPr>
          <w:rFonts w:ascii="Times New Roman" w:hAnsi="Times New Roman" w:cs="Times New Roman"/>
          <w:i/>
          <w:iCs/>
          <w:vertAlign w:val="subscript"/>
        </w:rPr>
        <w:t>r</w:t>
      </w:r>
      <w:r w:rsidRPr="001564E1">
        <w:rPr>
          <w:rFonts w:ascii="Times New Roman" w:hAnsi="Times New Roman" w:cs="Times New Roman"/>
          <w:i/>
          <w:iCs/>
        </w:rPr>
        <w:t xml:space="preserve"> </w:t>
      </w:r>
      <w:r w:rsidRPr="001564E1">
        <w:rPr>
          <w:rFonts w:ascii="Times New Roman" w:hAnsi="Times New Roman" w:cs="Times New Roman"/>
        </w:rPr>
        <w:t>represents the spatial effect of the HFMD incidence rate f</w:t>
      </w:r>
      <w:r w:rsidR="00AA5822" w:rsidRPr="001564E1">
        <w:rPr>
          <w:rFonts w:ascii="Times New Roman" w:hAnsi="Times New Roman" w:cs="Times New Roman"/>
        </w:rPr>
        <w:t>rom neighboring polygons; in (2)</w:t>
      </w:r>
      <w:r w:rsidRPr="001564E1">
        <w:rPr>
          <w:rFonts w:ascii="Times New Roman" w:hAnsi="Times New Roman" w:cs="Times New Roman"/>
        </w:rPr>
        <w:t xml:space="preserve">, </w:t>
      </w:r>
      <w:r w:rsidRPr="001564E1">
        <w:rPr>
          <w:rFonts w:ascii="Times New Roman" w:hAnsi="Times New Roman" w:cs="Times New Roman"/>
          <w:i/>
          <w:iCs/>
        </w:rPr>
        <w:t>γ</w:t>
      </w:r>
      <w:r w:rsidRPr="001564E1">
        <w:rPr>
          <w:rFonts w:ascii="Times New Roman" w:hAnsi="Times New Roman" w:cs="Times New Roman"/>
          <w:i/>
          <w:iCs/>
          <w:vertAlign w:val="subscript"/>
        </w:rPr>
        <w:t>re</w:t>
      </w:r>
      <w:r w:rsidRPr="001564E1">
        <w:rPr>
          <w:rFonts w:ascii="Times New Roman" w:hAnsi="Times New Roman" w:cs="Times New Roman"/>
        </w:rPr>
        <w:t xml:space="preserve"> represents the unstructured spatial effect with zero mean and standard deviation (</w:t>
      </w:r>
      <w:r w:rsidRPr="001564E1">
        <w:rPr>
          <w:rFonts w:ascii="Times New Roman" w:hAnsi="Times New Roman" w:cs="Times New Roman"/>
          <w:i/>
        </w:rPr>
        <w:t>τ</w:t>
      </w:r>
      <w:r w:rsidRPr="001564E1">
        <w:rPr>
          <w:rFonts w:ascii="Times New Roman" w:hAnsi="Times New Roman" w:cs="Times New Roman"/>
        </w:rPr>
        <w:t xml:space="preserve">). </w:t>
      </w:r>
      <w:r w:rsidRPr="001564E1">
        <w:rPr>
          <w:rFonts w:ascii="Times New Roman" w:hAnsi="Times New Roman" w:cs="Times New Roman"/>
          <w:iCs/>
        </w:rPr>
        <w:t xml:space="preserve">   </w:t>
      </w:r>
    </w:p>
    <w:p w:rsidR="00E846BE" w:rsidRPr="001564E1" w:rsidRDefault="00E846BE" w:rsidP="00EE0F3A">
      <w:pPr>
        <w:spacing w:line="480" w:lineRule="auto"/>
        <w:rPr>
          <w:rFonts w:ascii="Times New Roman" w:hAnsi="Times New Roman" w:cs="Times New Roman"/>
          <w:iCs/>
        </w:rPr>
      </w:pPr>
      <w:r w:rsidRPr="001564E1">
        <w:rPr>
          <w:rFonts w:ascii="Times New Roman" w:hAnsi="Times New Roman" w:cs="Times New Roman"/>
          <w:iCs/>
        </w:rPr>
        <w:tab/>
        <w:t xml:space="preserve">To better model spatial effects, </w:t>
      </w:r>
      <w:r w:rsidRPr="001564E1">
        <w:rPr>
          <w:rFonts w:ascii="Times New Roman" w:hAnsi="Times New Roman" w:cs="Times New Roman"/>
        </w:rPr>
        <w:t xml:space="preserve">Thiessen polygons were constructed around each sample location (the central location of each district) of HFMD. Thiessen polygons are often used to determine the density of point samples and to build meshes for space-discretized simulation. A uniform distribution of triangles can be used, with avoidance of triangles that are too narrow and irregular </w:t>
      </w:r>
      <w:r w:rsidRPr="001564E1">
        <w:rPr>
          <w:rFonts w:ascii="Times New Roman" w:hAnsi="Times New Roman" w:cs="Times New Roman"/>
        </w:rPr>
        <w:fldChar w:fldCharType="begin"/>
      </w:r>
      <w:r w:rsidR="004E4A45">
        <w:rPr>
          <w:rFonts w:ascii="Times New Roman" w:hAnsi="Times New Roman" w:cs="Times New Roman"/>
        </w:rPr>
        <w:instrText xml:space="preserve"> ADDIN EN.CITE &lt;EndNote&gt;&lt;Cite&gt;&lt;Author&gt;Seidel&lt;/Author&gt;&lt;Year&gt;1995&lt;/Year&gt;&lt;RecNum&gt;24&lt;/RecNum&gt;&lt;DisplayText&gt;[1]&lt;/DisplayText&gt;&lt;record&gt;&lt;rec-number&gt;24&lt;/rec-number&gt;&lt;foreign-keys&gt;&lt;key app="EN" db-id="aspwvf9rives0ne9dd8pwfza09v2v205pfes" timestamp="1491938320"&gt;24&lt;/key&gt;&lt;/foreign-keys&gt;&lt;ref-type name="Journal Article"&gt;17&lt;/ref-type&gt;&lt;contributors&gt;&lt;authors&gt;&lt;author&gt;Seidel, R.&lt;/author&gt;&lt;/authors&gt;&lt;/contributors&gt;&lt;titles&gt;&lt;title&gt;The upper bound theorem for polytopes: an easy proof of its asymptotic version&lt;/title&gt;&lt;secondary-title&gt;Computational Geometry&lt;/secondary-title&gt;&lt;/titles&gt;&lt;periodical&gt;&lt;full-title&gt;Computational Geometry&lt;/full-title&gt;&lt;/periodical&gt;&lt;pages&gt;&lt;style face="normal" font="default" size="100%"&gt;115&lt;/style&gt;&lt;style face="normal" font="default" charset="134" size="100%"&gt;–116&lt;/style&gt;&lt;/pages&gt;&lt;volume&gt;5&lt;/volume&gt;&lt;number&gt;2&lt;/number&gt;&lt;dates&gt;&lt;year&gt;1995&lt;/year&gt;&lt;/dates&gt;&lt;urls&gt;&lt;/urls&gt;&lt;/record&gt;&lt;/Cite&gt;&lt;/EndNote&gt;</w:instrText>
      </w:r>
      <w:r w:rsidRPr="001564E1">
        <w:rPr>
          <w:rFonts w:ascii="Times New Roman" w:hAnsi="Times New Roman" w:cs="Times New Roman"/>
        </w:rPr>
        <w:fldChar w:fldCharType="separate"/>
      </w:r>
      <w:r w:rsidR="004E4A45">
        <w:rPr>
          <w:rFonts w:ascii="Times New Roman" w:hAnsi="Times New Roman" w:cs="Times New Roman"/>
          <w:noProof/>
        </w:rPr>
        <w:t>[1]</w:t>
      </w:r>
      <w:r w:rsidRPr="001564E1">
        <w:rPr>
          <w:rFonts w:ascii="Times New Roman" w:hAnsi="Times New Roman" w:cs="Times New Roman"/>
        </w:rPr>
        <w:fldChar w:fldCharType="end"/>
      </w:r>
      <w:r w:rsidRPr="001564E1">
        <w:rPr>
          <w:rFonts w:ascii="Times New Roman" w:hAnsi="Times New Roman" w:cs="Times New Roman"/>
        </w:rPr>
        <w:t xml:space="preserve">. In our model, the spatial effect was used as a random variable of the Thiessen polygon constructed and included formally as a nonparametric additive term in the model. </w:t>
      </w:r>
    </w:p>
    <w:p w:rsidR="002749B4" w:rsidRPr="001564E1" w:rsidRDefault="002749B4">
      <w:pPr>
        <w:rPr>
          <w:rFonts w:ascii="Times New Roman" w:hAnsi="Times New Roman" w:cs="Times New Roman"/>
          <w:b/>
        </w:rPr>
      </w:pPr>
    </w:p>
    <w:p w:rsidR="002749B4" w:rsidRPr="001564E1" w:rsidRDefault="009E6B0B">
      <w:pPr>
        <w:rPr>
          <w:rFonts w:ascii="Times New Roman" w:hAnsi="Times New Roman" w:cs="Times New Roman"/>
        </w:rPr>
      </w:pPr>
      <w:r w:rsidRPr="001564E1">
        <w:rPr>
          <w:rFonts w:ascii="Times New Roman" w:hAnsi="Times New Roman" w:cs="Times New Roman"/>
          <w:b/>
        </w:rPr>
        <w:t>References</w:t>
      </w:r>
      <w:r w:rsidRPr="001564E1">
        <w:rPr>
          <w:rFonts w:ascii="Times New Roman" w:hAnsi="Times New Roman" w:cs="Times New Roman"/>
        </w:rPr>
        <w:t xml:space="preserve"> </w:t>
      </w:r>
    </w:p>
    <w:p w:rsidR="009E6B0B" w:rsidRPr="001564E1" w:rsidRDefault="009E6B0B">
      <w:pPr>
        <w:rPr>
          <w:rFonts w:ascii="Times New Roman" w:hAnsi="Times New Roman" w:cs="Times New Roman"/>
        </w:rPr>
      </w:pPr>
    </w:p>
    <w:p w:rsidR="004E4A45" w:rsidRPr="004E4A45" w:rsidRDefault="002749B4" w:rsidP="004E4A45">
      <w:pPr>
        <w:pStyle w:val="EndNoteBibliography"/>
        <w:ind w:left="720" w:hanging="720"/>
      </w:pPr>
      <w:r w:rsidRPr="001564E1">
        <w:rPr>
          <w:rFonts w:ascii="Times New Roman" w:hAnsi="Times New Roman" w:cs="Times New Roman"/>
        </w:rPr>
        <w:fldChar w:fldCharType="begin"/>
      </w:r>
      <w:r w:rsidRPr="001564E1">
        <w:rPr>
          <w:rFonts w:ascii="Times New Roman" w:hAnsi="Times New Roman" w:cs="Times New Roman"/>
        </w:rPr>
        <w:instrText xml:space="preserve"> ADDIN EN.REFLIST </w:instrText>
      </w:r>
      <w:r w:rsidRPr="001564E1">
        <w:rPr>
          <w:rFonts w:ascii="Times New Roman" w:hAnsi="Times New Roman" w:cs="Times New Roman"/>
        </w:rPr>
        <w:fldChar w:fldCharType="separate"/>
      </w:r>
      <w:r w:rsidR="004E4A45" w:rsidRPr="004E4A45">
        <w:t>1.</w:t>
      </w:r>
      <w:r w:rsidR="004E4A45" w:rsidRPr="004E4A45">
        <w:tab/>
        <w:t xml:space="preserve">Seidel R: </w:t>
      </w:r>
      <w:r w:rsidR="004E4A45" w:rsidRPr="004E4A45">
        <w:rPr>
          <w:b/>
        </w:rPr>
        <w:t>The upper bound theorem for polytopes: an easy proof of its asymptotic version</w:t>
      </w:r>
      <w:r w:rsidR="004E4A45" w:rsidRPr="004E4A45">
        <w:t xml:space="preserve">. </w:t>
      </w:r>
      <w:r w:rsidR="004E4A45" w:rsidRPr="004E4A45">
        <w:rPr>
          <w:i/>
        </w:rPr>
        <w:t xml:space="preserve">Computational Geometry </w:t>
      </w:r>
      <w:r w:rsidR="004E4A45" w:rsidRPr="004E4A45">
        <w:t xml:space="preserve">1995, </w:t>
      </w:r>
      <w:r w:rsidR="004E4A45" w:rsidRPr="004E4A45">
        <w:rPr>
          <w:b/>
        </w:rPr>
        <w:t>5</w:t>
      </w:r>
      <w:r w:rsidR="004E4A45" w:rsidRPr="004E4A45">
        <w:t>(2):115–116.</w:t>
      </w:r>
    </w:p>
    <w:p w:rsidR="0094681E" w:rsidRPr="00E846BE" w:rsidRDefault="002749B4">
      <w:r w:rsidRPr="001564E1">
        <w:rPr>
          <w:rFonts w:ascii="Times New Roman" w:hAnsi="Times New Roman" w:cs="Times New Roman"/>
        </w:rPr>
        <w:fldChar w:fldCharType="end"/>
      </w:r>
    </w:p>
    <w:sectPr w:rsidR="0094681E" w:rsidRPr="00E846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716" w:rsidRDefault="002C7716" w:rsidP="00763A4C">
      <w:r>
        <w:separator/>
      </w:r>
    </w:p>
  </w:endnote>
  <w:endnote w:type="continuationSeparator" w:id="0">
    <w:p w:rsidR="002C7716" w:rsidRDefault="002C7716" w:rsidP="0076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716" w:rsidRDefault="002C7716" w:rsidP="00763A4C">
      <w:r>
        <w:separator/>
      </w:r>
    </w:p>
  </w:footnote>
  <w:footnote w:type="continuationSeparator" w:id="0">
    <w:p w:rsidR="002C7716" w:rsidRDefault="002C7716" w:rsidP="00763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Nephr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pwvf9rives0ne9dd8pwfza09v2v205pfes&quot;&gt;refHMF&lt;record-ids&gt;&lt;item&gt;24&lt;/item&gt;&lt;/record-ids&gt;&lt;/item&gt;&lt;/Libraries&gt;"/>
  </w:docVars>
  <w:rsids>
    <w:rsidRoot w:val="00E732EF"/>
    <w:rsid w:val="000E219F"/>
    <w:rsid w:val="001564E1"/>
    <w:rsid w:val="002749B4"/>
    <w:rsid w:val="002C7716"/>
    <w:rsid w:val="003E23BB"/>
    <w:rsid w:val="004E4A45"/>
    <w:rsid w:val="0061094C"/>
    <w:rsid w:val="00763A4C"/>
    <w:rsid w:val="007A5486"/>
    <w:rsid w:val="008626B4"/>
    <w:rsid w:val="008D50D4"/>
    <w:rsid w:val="0094681E"/>
    <w:rsid w:val="0098746D"/>
    <w:rsid w:val="00991F0A"/>
    <w:rsid w:val="009E6B0B"/>
    <w:rsid w:val="00AA5822"/>
    <w:rsid w:val="00CE76F6"/>
    <w:rsid w:val="00D56CDA"/>
    <w:rsid w:val="00E732EF"/>
    <w:rsid w:val="00E846BE"/>
    <w:rsid w:val="00EE0F3A"/>
    <w:rsid w:val="00F00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46BE"/>
    <w:rPr>
      <w:color w:val="0000FF" w:themeColor="hyperlink"/>
      <w:u w:val="single"/>
    </w:rPr>
  </w:style>
  <w:style w:type="paragraph" w:styleId="a4">
    <w:name w:val="Balloon Text"/>
    <w:basedOn w:val="a"/>
    <w:link w:val="Char"/>
    <w:uiPriority w:val="99"/>
    <w:semiHidden/>
    <w:unhideWhenUsed/>
    <w:rsid w:val="00E846BE"/>
    <w:rPr>
      <w:sz w:val="18"/>
      <w:szCs w:val="18"/>
    </w:rPr>
  </w:style>
  <w:style w:type="character" w:customStyle="1" w:styleId="Char">
    <w:name w:val="批注框文本 Char"/>
    <w:basedOn w:val="a0"/>
    <w:link w:val="a4"/>
    <w:uiPriority w:val="99"/>
    <w:semiHidden/>
    <w:rsid w:val="00E846BE"/>
    <w:rPr>
      <w:sz w:val="18"/>
      <w:szCs w:val="18"/>
    </w:rPr>
  </w:style>
  <w:style w:type="paragraph" w:customStyle="1" w:styleId="EndNoteBibliographyTitle">
    <w:name w:val="EndNote Bibliography Title"/>
    <w:basedOn w:val="a"/>
    <w:link w:val="EndNoteBibliographyTitleChar"/>
    <w:rsid w:val="002749B4"/>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2749B4"/>
    <w:rPr>
      <w:rFonts w:ascii="Calibri" w:hAnsi="Calibri" w:cs="Calibri"/>
      <w:noProof/>
      <w:sz w:val="20"/>
    </w:rPr>
  </w:style>
  <w:style w:type="paragraph" w:customStyle="1" w:styleId="EndNoteBibliography">
    <w:name w:val="EndNote Bibliography"/>
    <w:basedOn w:val="a"/>
    <w:link w:val="EndNoteBibliographyChar"/>
    <w:rsid w:val="002749B4"/>
    <w:rPr>
      <w:rFonts w:ascii="Calibri" w:hAnsi="Calibri" w:cs="Calibri"/>
      <w:noProof/>
      <w:sz w:val="20"/>
    </w:rPr>
  </w:style>
  <w:style w:type="character" w:customStyle="1" w:styleId="EndNoteBibliographyChar">
    <w:name w:val="EndNote Bibliography Char"/>
    <w:basedOn w:val="a0"/>
    <w:link w:val="EndNoteBibliography"/>
    <w:rsid w:val="002749B4"/>
    <w:rPr>
      <w:rFonts w:ascii="Calibri" w:hAnsi="Calibri" w:cs="Calibri"/>
      <w:noProof/>
      <w:sz w:val="20"/>
    </w:rPr>
  </w:style>
  <w:style w:type="paragraph" w:styleId="a5">
    <w:name w:val="header"/>
    <w:basedOn w:val="a"/>
    <w:link w:val="Char0"/>
    <w:uiPriority w:val="99"/>
    <w:unhideWhenUsed/>
    <w:rsid w:val="00763A4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63A4C"/>
    <w:rPr>
      <w:sz w:val="18"/>
      <w:szCs w:val="18"/>
    </w:rPr>
  </w:style>
  <w:style w:type="paragraph" w:styleId="a6">
    <w:name w:val="footer"/>
    <w:basedOn w:val="a"/>
    <w:link w:val="Char1"/>
    <w:uiPriority w:val="99"/>
    <w:unhideWhenUsed/>
    <w:rsid w:val="00763A4C"/>
    <w:pPr>
      <w:tabs>
        <w:tab w:val="center" w:pos="4153"/>
        <w:tab w:val="right" w:pos="8306"/>
      </w:tabs>
      <w:snapToGrid w:val="0"/>
      <w:jc w:val="left"/>
    </w:pPr>
    <w:rPr>
      <w:sz w:val="18"/>
      <w:szCs w:val="18"/>
    </w:rPr>
  </w:style>
  <w:style w:type="character" w:customStyle="1" w:styleId="Char1">
    <w:name w:val="页脚 Char"/>
    <w:basedOn w:val="a0"/>
    <w:link w:val="a6"/>
    <w:uiPriority w:val="99"/>
    <w:rsid w:val="00763A4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46BE"/>
    <w:rPr>
      <w:color w:val="0000FF" w:themeColor="hyperlink"/>
      <w:u w:val="single"/>
    </w:rPr>
  </w:style>
  <w:style w:type="paragraph" w:styleId="a4">
    <w:name w:val="Balloon Text"/>
    <w:basedOn w:val="a"/>
    <w:link w:val="Char"/>
    <w:uiPriority w:val="99"/>
    <w:semiHidden/>
    <w:unhideWhenUsed/>
    <w:rsid w:val="00E846BE"/>
    <w:rPr>
      <w:sz w:val="18"/>
      <w:szCs w:val="18"/>
    </w:rPr>
  </w:style>
  <w:style w:type="character" w:customStyle="1" w:styleId="Char">
    <w:name w:val="批注框文本 Char"/>
    <w:basedOn w:val="a0"/>
    <w:link w:val="a4"/>
    <w:uiPriority w:val="99"/>
    <w:semiHidden/>
    <w:rsid w:val="00E846BE"/>
    <w:rPr>
      <w:sz w:val="18"/>
      <w:szCs w:val="18"/>
    </w:rPr>
  </w:style>
  <w:style w:type="paragraph" w:customStyle="1" w:styleId="EndNoteBibliographyTitle">
    <w:name w:val="EndNote Bibliography Title"/>
    <w:basedOn w:val="a"/>
    <w:link w:val="EndNoteBibliographyTitleChar"/>
    <w:rsid w:val="002749B4"/>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2749B4"/>
    <w:rPr>
      <w:rFonts w:ascii="Calibri" w:hAnsi="Calibri" w:cs="Calibri"/>
      <w:noProof/>
      <w:sz w:val="20"/>
    </w:rPr>
  </w:style>
  <w:style w:type="paragraph" w:customStyle="1" w:styleId="EndNoteBibliography">
    <w:name w:val="EndNote Bibliography"/>
    <w:basedOn w:val="a"/>
    <w:link w:val="EndNoteBibliographyChar"/>
    <w:rsid w:val="002749B4"/>
    <w:rPr>
      <w:rFonts w:ascii="Calibri" w:hAnsi="Calibri" w:cs="Calibri"/>
      <w:noProof/>
      <w:sz w:val="20"/>
    </w:rPr>
  </w:style>
  <w:style w:type="character" w:customStyle="1" w:styleId="EndNoteBibliographyChar">
    <w:name w:val="EndNote Bibliography Char"/>
    <w:basedOn w:val="a0"/>
    <w:link w:val="EndNoteBibliography"/>
    <w:rsid w:val="002749B4"/>
    <w:rPr>
      <w:rFonts w:ascii="Calibri" w:hAnsi="Calibri" w:cs="Calibri"/>
      <w:noProof/>
      <w:sz w:val="20"/>
    </w:rPr>
  </w:style>
  <w:style w:type="paragraph" w:styleId="a5">
    <w:name w:val="header"/>
    <w:basedOn w:val="a"/>
    <w:link w:val="Char0"/>
    <w:uiPriority w:val="99"/>
    <w:unhideWhenUsed/>
    <w:rsid w:val="00763A4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63A4C"/>
    <w:rPr>
      <w:sz w:val="18"/>
      <w:szCs w:val="18"/>
    </w:rPr>
  </w:style>
  <w:style w:type="paragraph" w:styleId="a6">
    <w:name w:val="footer"/>
    <w:basedOn w:val="a"/>
    <w:link w:val="Char1"/>
    <w:uiPriority w:val="99"/>
    <w:unhideWhenUsed/>
    <w:rsid w:val="00763A4C"/>
    <w:pPr>
      <w:tabs>
        <w:tab w:val="center" w:pos="4153"/>
        <w:tab w:val="right" w:pos="8306"/>
      </w:tabs>
      <w:snapToGrid w:val="0"/>
      <w:jc w:val="left"/>
    </w:pPr>
    <w:rPr>
      <w:sz w:val="18"/>
      <w:szCs w:val="18"/>
    </w:rPr>
  </w:style>
  <w:style w:type="character" w:customStyle="1" w:styleId="Char1">
    <w:name w:val="页脚 Char"/>
    <w:basedOn w:val="a0"/>
    <w:link w:val="a6"/>
    <w:uiPriority w:val="99"/>
    <w:rsid w:val="00763A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25</cp:revision>
  <dcterms:created xsi:type="dcterms:W3CDTF">2018-02-06T07:15:00Z</dcterms:created>
  <dcterms:modified xsi:type="dcterms:W3CDTF">2018-02-06T18:55:00Z</dcterms:modified>
</cp:coreProperties>
</file>