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11D" w:rsidRPr="00487FCA" w:rsidRDefault="00C4411D" w:rsidP="00C4411D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Supplement </w:t>
      </w:r>
      <w:bookmarkStart w:id="0" w:name="_GoBack"/>
      <w:bookmarkEnd w:id="0"/>
    </w:p>
    <w:p w:rsidR="00C4411D" w:rsidRPr="00487FCA" w:rsidRDefault="00C4411D" w:rsidP="00C4411D">
      <w:pPr>
        <w:spacing w:line="240" w:lineRule="auto"/>
        <w:jc w:val="both"/>
        <w:rPr>
          <w:b/>
          <w:bCs/>
        </w:rPr>
      </w:pPr>
      <w:r w:rsidRPr="00487FCA">
        <w:rPr>
          <w:b/>
          <w:bCs/>
        </w:rPr>
        <w:t>Definition of key elements of the population health planning for traffic light scoring system</w:t>
      </w:r>
    </w:p>
    <w:p w:rsidR="00C4411D" w:rsidRDefault="00C4411D" w:rsidP="00C4411D">
      <w:pPr>
        <w:spacing w:line="240" w:lineRule="auto"/>
        <w:jc w:val="both"/>
      </w:pPr>
    </w:p>
    <w:tbl>
      <w:tblPr>
        <w:tblW w:w="14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3693"/>
        <w:gridCol w:w="3694"/>
        <w:gridCol w:w="3694"/>
      </w:tblGrid>
      <w:tr w:rsidR="00C4411D" w:rsidRPr="001D521C" w:rsidTr="00B977C7">
        <w:trPr>
          <w:trHeight w:val="331"/>
        </w:trPr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b/>
                <w:bCs/>
                <w:sz w:val="22"/>
                <w:szCs w:val="22"/>
              </w:rPr>
              <w:t>Green (8-10)</w:t>
            </w: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b/>
                <w:bCs/>
                <w:sz w:val="22"/>
                <w:szCs w:val="22"/>
              </w:rPr>
              <w:t>Amber (4-7)</w:t>
            </w: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b/>
                <w:bCs/>
                <w:sz w:val="22"/>
                <w:szCs w:val="22"/>
              </w:rPr>
              <w:t>Red (1-3)</w:t>
            </w:r>
          </w:p>
        </w:tc>
      </w:tr>
      <w:tr w:rsidR="00C4411D" w:rsidRPr="001D521C" w:rsidTr="00B977C7">
        <w:trPr>
          <w:trHeight w:val="321"/>
        </w:trPr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D521C">
              <w:rPr>
                <w:b/>
                <w:bCs/>
                <w:sz w:val="22"/>
                <w:szCs w:val="22"/>
              </w:rPr>
              <w:t>Governance</w:t>
            </w:r>
          </w:p>
        </w:tc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color w:val="000000"/>
                <w:sz w:val="22"/>
                <w:szCs w:val="22"/>
              </w:rPr>
              <w:t>Strong population health knowledge and expertise on board and executive, community representatives on board, inclusion of professions including non-medical professions</w:t>
            </w: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color w:val="000000"/>
                <w:sz w:val="22"/>
                <w:szCs w:val="22"/>
              </w:rPr>
              <w:t>Limited population health knowledge and expertise on board and executive, community representatives on board, inclusion of professions including non-medical professions</w:t>
            </w: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color w:val="000000"/>
                <w:sz w:val="22"/>
                <w:szCs w:val="22"/>
              </w:rPr>
              <w:t>No population health knowledge and expertise on board and executive, community representatives on board, inclusion of professions including non-medical professions</w:t>
            </w:r>
            <w:r w:rsidRPr="001D521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4411D" w:rsidRPr="001D521C" w:rsidTr="00B977C7">
        <w:trPr>
          <w:trHeight w:val="1333"/>
        </w:trPr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D521C">
              <w:rPr>
                <w:b/>
                <w:bCs/>
                <w:sz w:val="22"/>
                <w:szCs w:val="22"/>
              </w:rPr>
              <w:t>Capacity</w:t>
            </w:r>
          </w:p>
        </w:tc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color w:val="000000"/>
                <w:sz w:val="22"/>
                <w:szCs w:val="22"/>
              </w:rPr>
              <w:t>Dedicated team and management position responsible for population health planning, strong internal capacity and skills in needs assessment and analysis</w:t>
            </w: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color w:val="000000"/>
                <w:sz w:val="22"/>
                <w:szCs w:val="22"/>
              </w:rPr>
              <w:t>Limited capacity and skills in for population health planning, external organisations responsible for needs assessment and analysis</w:t>
            </w: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color w:val="000000"/>
                <w:sz w:val="22"/>
                <w:szCs w:val="22"/>
              </w:rPr>
              <w:t>No capacity and skills in for population health planning</w:t>
            </w:r>
            <w:r w:rsidRPr="001D521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4411D" w:rsidRPr="001D521C" w:rsidTr="00B977C7">
        <w:trPr>
          <w:trHeight w:val="321"/>
        </w:trPr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D521C">
              <w:rPr>
                <w:b/>
                <w:bCs/>
                <w:sz w:val="22"/>
                <w:szCs w:val="22"/>
              </w:rPr>
              <w:t>LHNs’ involvement</w:t>
            </w:r>
          </w:p>
        </w:tc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color w:val="000000"/>
                <w:sz w:val="22"/>
                <w:szCs w:val="22"/>
                <w:lang w:val="en-AU" w:eastAsia="en-AU"/>
              </w:rPr>
            </w:pPr>
            <w:r w:rsidRPr="001D521C">
              <w:rPr>
                <w:color w:val="000000"/>
                <w:sz w:val="22"/>
                <w:szCs w:val="22"/>
              </w:rPr>
              <w:t xml:space="preserve">Strong partnership with LHNs, formal agreement, LHN representative on board, frequent meetings, joint planning, data sharing </w:t>
            </w:r>
          </w:p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color w:val="000000"/>
                <w:sz w:val="22"/>
                <w:szCs w:val="22"/>
                <w:lang w:val="en-AU" w:eastAsia="en-AU"/>
              </w:rPr>
            </w:pPr>
            <w:r w:rsidRPr="001D521C">
              <w:rPr>
                <w:color w:val="000000"/>
                <w:sz w:val="22"/>
                <w:szCs w:val="22"/>
              </w:rPr>
              <w:t>Limited partnership with LHNs, informal agreement, occasional meetings</w:t>
            </w:r>
          </w:p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color w:val="000000"/>
                <w:sz w:val="22"/>
                <w:szCs w:val="22"/>
                <w:lang w:val="en-AU" w:eastAsia="en-AU"/>
              </w:rPr>
            </w:pPr>
            <w:r w:rsidRPr="001D521C">
              <w:rPr>
                <w:color w:val="000000"/>
                <w:sz w:val="22"/>
                <w:szCs w:val="22"/>
              </w:rPr>
              <w:t>No evidence of partnership with LHNs</w:t>
            </w:r>
          </w:p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C4411D" w:rsidRPr="001D521C" w:rsidTr="00B977C7">
        <w:trPr>
          <w:trHeight w:val="331"/>
        </w:trPr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D521C">
              <w:rPr>
                <w:b/>
                <w:bCs/>
                <w:sz w:val="22"/>
                <w:szCs w:val="22"/>
              </w:rPr>
              <w:t>NGOs’ involvement</w:t>
            </w:r>
          </w:p>
        </w:tc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color w:val="000000"/>
                <w:sz w:val="22"/>
                <w:szCs w:val="22"/>
                <w:lang w:val="en-AU" w:eastAsia="en-AU"/>
              </w:rPr>
            </w:pPr>
            <w:r w:rsidRPr="001D521C">
              <w:rPr>
                <w:color w:val="000000"/>
                <w:sz w:val="22"/>
                <w:szCs w:val="22"/>
              </w:rPr>
              <w:t>Strong partnership with a range of NGOs and community organisations, evidence of formal agreements, representation on board</w:t>
            </w:r>
          </w:p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color w:val="000000"/>
                <w:sz w:val="22"/>
                <w:szCs w:val="22"/>
                <w:lang w:val="en-AU" w:eastAsia="en-AU"/>
              </w:rPr>
            </w:pPr>
            <w:r w:rsidRPr="001D521C">
              <w:rPr>
                <w:color w:val="000000"/>
                <w:sz w:val="22"/>
                <w:szCs w:val="22"/>
              </w:rPr>
              <w:t>Limited partnership with NGOs and community organisations, some evidence of informal relationships, no representation on board</w:t>
            </w:r>
          </w:p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360" w:lineRule="auto"/>
              <w:rPr>
                <w:sz w:val="22"/>
                <w:szCs w:val="22"/>
              </w:rPr>
            </w:pPr>
            <w:r w:rsidRPr="001D521C">
              <w:rPr>
                <w:sz w:val="22"/>
                <w:szCs w:val="22"/>
              </w:rPr>
              <w:t>No evidence of partnership with NGOs</w:t>
            </w:r>
          </w:p>
        </w:tc>
      </w:tr>
      <w:tr w:rsidR="00C4411D" w:rsidRPr="001D521C" w:rsidTr="00B977C7">
        <w:trPr>
          <w:trHeight w:val="321"/>
        </w:trPr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D521C">
              <w:rPr>
                <w:b/>
                <w:bCs/>
                <w:sz w:val="22"/>
                <w:szCs w:val="22"/>
              </w:rPr>
              <w:t>Equity</w:t>
            </w:r>
          </w:p>
        </w:tc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sz w:val="22"/>
                <w:szCs w:val="22"/>
                <w:lang w:val="en-AU" w:eastAsia="en-AU"/>
              </w:rPr>
            </w:pPr>
            <w:r w:rsidRPr="001D521C">
              <w:rPr>
                <w:sz w:val="22"/>
                <w:szCs w:val="22"/>
              </w:rPr>
              <w:t>Equity as an organisations goal, collection of disaggregated data on equity groups, strong evidence of interventions targeting equity in general and the three equity groups in particular</w:t>
            </w:r>
          </w:p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color w:val="000000"/>
                <w:sz w:val="22"/>
                <w:szCs w:val="22"/>
                <w:lang w:val="en-AU" w:eastAsia="en-AU"/>
              </w:rPr>
            </w:pPr>
            <w:r w:rsidRPr="001D521C">
              <w:rPr>
                <w:color w:val="000000"/>
                <w:sz w:val="22"/>
                <w:szCs w:val="22"/>
              </w:rPr>
              <w:t>limited action to improve equity and address the health needs of the equity groups</w:t>
            </w:r>
          </w:p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color w:val="000000"/>
                <w:sz w:val="22"/>
                <w:szCs w:val="22"/>
                <w:lang w:val="en-AU" w:eastAsia="en-AU"/>
              </w:rPr>
            </w:pPr>
            <w:r w:rsidRPr="001D521C">
              <w:rPr>
                <w:color w:val="000000"/>
                <w:sz w:val="22"/>
                <w:szCs w:val="22"/>
              </w:rPr>
              <w:t>No evidence of collecting aggregated data on equity groups, or action to improve equity</w:t>
            </w:r>
          </w:p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C4411D" w:rsidRPr="001D521C" w:rsidTr="00B977C7">
        <w:trPr>
          <w:trHeight w:val="373"/>
        </w:trPr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D521C">
              <w:rPr>
                <w:b/>
                <w:bCs/>
                <w:sz w:val="22"/>
                <w:szCs w:val="22"/>
              </w:rPr>
              <w:t>Community engagement</w:t>
            </w:r>
          </w:p>
        </w:tc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color w:val="000000"/>
                <w:sz w:val="22"/>
                <w:szCs w:val="22"/>
              </w:rPr>
              <w:t xml:space="preserve">Strong community engagement </w:t>
            </w:r>
            <w:r w:rsidRPr="001D521C">
              <w:rPr>
                <w:color w:val="000000"/>
                <w:sz w:val="22"/>
                <w:szCs w:val="22"/>
              </w:rPr>
              <w:lastRenderedPageBreak/>
              <w:t>strategies, community representation on board, community advisory committees, community feedback and reporting system</w:t>
            </w: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color w:val="000000"/>
                <w:sz w:val="22"/>
                <w:szCs w:val="22"/>
              </w:rPr>
              <w:lastRenderedPageBreak/>
              <w:t xml:space="preserve">Limited community engagement </w:t>
            </w:r>
            <w:r w:rsidRPr="001D521C">
              <w:rPr>
                <w:color w:val="000000"/>
                <w:sz w:val="22"/>
                <w:szCs w:val="22"/>
              </w:rPr>
              <w:lastRenderedPageBreak/>
              <w:t xml:space="preserve">strategies (only survey, forums, to collect information) </w:t>
            </w: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color w:val="000000"/>
                <w:sz w:val="22"/>
                <w:szCs w:val="22"/>
              </w:rPr>
              <w:lastRenderedPageBreak/>
              <w:t xml:space="preserve">No community engagement strategies, </w:t>
            </w:r>
            <w:r w:rsidRPr="001D521C">
              <w:rPr>
                <w:color w:val="000000"/>
                <w:sz w:val="22"/>
                <w:szCs w:val="22"/>
              </w:rPr>
              <w:lastRenderedPageBreak/>
              <w:t>Limited activities to provide information about ML activities</w:t>
            </w:r>
          </w:p>
        </w:tc>
      </w:tr>
      <w:tr w:rsidR="00C4411D" w:rsidRPr="001D521C" w:rsidTr="00B977C7">
        <w:trPr>
          <w:trHeight w:val="331"/>
        </w:trPr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D521C">
              <w:rPr>
                <w:b/>
                <w:bCs/>
                <w:sz w:val="22"/>
                <w:szCs w:val="22"/>
              </w:rPr>
              <w:lastRenderedPageBreak/>
              <w:t>Health promotion</w:t>
            </w:r>
          </w:p>
        </w:tc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color w:val="000000"/>
                <w:sz w:val="22"/>
                <w:szCs w:val="22"/>
                <w:lang w:val="en-AU" w:eastAsia="en-AU"/>
              </w:rPr>
            </w:pPr>
            <w:r w:rsidRPr="001D521C">
              <w:rPr>
                <w:color w:val="000000"/>
                <w:sz w:val="22"/>
                <w:szCs w:val="22"/>
              </w:rPr>
              <w:t>Strong evidence of health promotion activities, funding allocation, community works, partnership with Health promotion organisations, health promotion workforce</w:t>
            </w:r>
          </w:p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color w:val="000000"/>
                <w:sz w:val="22"/>
                <w:szCs w:val="22"/>
                <w:lang w:val="en-AU" w:eastAsia="en-AU"/>
              </w:rPr>
            </w:pPr>
            <w:r w:rsidRPr="001D521C">
              <w:rPr>
                <w:color w:val="000000"/>
                <w:sz w:val="22"/>
                <w:szCs w:val="22"/>
              </w:rPr>
              <w:t>Limited evidence of health promotion activities and community work, no health promotion workforce</w:t>
            </w:r>
          </w:p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color w:val="000000"/>
                <w:sz w:val="22"/>
                <w:szCs w:val="22"/>
                <w:lang w:val="en-AU" w:eastAsia="en-AU"/>
              </w:rPr>
            </w:pPr>
            <w:r w:rsidRPr="001D521C">
              <w:rPr>
                <w:color w:val="000000"/>
                <w:sz w:val="22"/>
                <w:szCs w:val="22"/>
              </w:rPr>
              <w:t>No evidence of health promotion  activities and workforce</w:t>
            </w:r>
          </w:p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C4411D" w:rsidRPr="001D521C" w:rsidTr="00B977C7">
        <w:trPr>
          <w:trHeight w:val="653"/>
        </w:trPr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D521C">
              <w:rPr>
                <w:b/>
                <w:bCs/>
                <w:sz w:val="22"/>
                <w:szCs w:val="22"/>
              </w:rPr>
              <w:t>Social determinants of health</w:t>
            </w:r>
          </w:p>
        </w:tc>
        <w:tc>
          <w:tcPr>
            <w:tcW w:w="3693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color w:val="000000"/>
                <w:sz w:val="22"/>
                <w:szCs w:val="22"/>
              </w:rPr>
              <w:t xml:space="preserve">SDH identified as a priority area, strong collaboration with social sector, examples of action on SDH </w:t>
            </w: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1D521C">
              <w:rPr>
                <w:color w:val="000000"/>
                <w:sz w:val="22"/>
                <w:szCs w:val="22"/>
              </w:rPr>
              <w:t>Good understanding of SDH, some examples of collaboration with social sectors, limited interventions on SDH</w:t>
            </w:r>
          </w:p>
        </w:tc>
        <w:tc>
          <w:tcPr>
            <w:tcW w:w="3694" w:type="dxa"/>
            <w:shd w:val="clear" w:color="auto" w:fill="auto"/>
          </w:tcPr>
          <w:p w:rsidR="00C4411D" w:rsidRPr="001D521C" w:rsidRDefault="00C4411D" w:rsidP="00B977C7">
            <w:pPr>
              <w:spacing w:line="240" w:lineRule="auto"/>
              <w:rPr>
                <w:color w:val="000000"/>
                <w:sz w:val="22"/>
                <w:szCs w:val="22"/>
                <w:lang w:val="en-AU" w:eastAsia="en-AU"/>
              </w:rPr>
            </w:pPr>
            <w:r w:rsidRPr="001D521C">
              <w:rPr>
                <w:color w:val="000000"/>
                <w:sz w:val="22"/>
                <w:szCs w:val="22"/>
              </w:rPr>
              <w:t>No evidence of action on SDH</w:t>
            </w:r>
          </w:p>
          <w:p w:rsidR="00C4411D" w:rsidRPr="001D521C" w:rsidRDefault="00C4411D" w:rsidP="00B977C7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</w:tbl>
    <w:p w:rsidR="00C4411D" w:rsidRDefault="00C4411D" w:rsidP="00C4411D">
      <w:pPr>
        <w:spacing w:line="240" w:lineRule="auto"/>
        <w:jc w:val="both"/>
      </w:pPr>
    </w:p>
    <w:p w:rsidR="00C4411D" w:rsidRDefault="00C4411D" w:rsidP="00C4411D">
      <w:pPr>
        <w:spacing w:line="240" w:lineRule="auto"/>
        <w:jc w:val="both"/>
      </w:pPr>
    </w:p>
    <w:p w:rsidR="00C4411D" w:rsidRDefault="00C4411D" w:rsidP="00C4411D">
      <w:pPr>
        <w:spacing w:line="240" w:lineRule="auto"/>
        <w:jc w:val="both"/>
      </w:pPr>
    </w:p>
    <w:p w:rsidR="00C4411D" w:rsidRDefault="00C4411D" w:rsidP="00C4411D">
      <w:pPr>
        <w:spacing w:line="240" w:lineRule="auto"/>
        <w:jc w:val="both"/>
      </w:pPr>
    </w:p>
    <w:p w:rsidR="00C4411D" w:rsidRDefault="00C4411D" w:rsidP="00C4411D">
      <w:pPr>
        <w:spacing w:line="240" w:lineRule="auto"/>
        <w:jc w:val="both"/>
      </w:pPr>
    </w:p>
    <w:p w:rsidR="00B93EF7" w:rsidRDefault="00C4411D"/>
    <w:sectPr w:rsidR="00B93EF7" w:rsidSect="00C441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1D"/>
    <w:rsid w:val="001A1D2C"/>
    <w:rsid w:val="00466B51"/>
    <w:rsid w:val="00C4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11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11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3D187FCC</Template>
  <TotalTime>1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Javanparast</dc:creator>
  <cp:lastModifiedBy>Sara Javanparast</cp:lastModifiedBy>
  <cp:revision>1</cp:revision>
  <dcterms:created xsi:type="dcterms:W3CDTF">2017-04-14T12:10:00Z</dcterms:created>
  <dcterms:modified xsi:type="dcterms:W3CDTF">2017-04-14T12:11:00Z</dcterms:modified>
</cp:coreProperties>
</file>