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CE6" w:rsidRDefault="005A0CE6" w:rsidP="005A0CE6">
      <w:pPr>
        <w:pStyle w:val="VDTableTitle"/>
        <w:rPr>
          <w:b/>
          <w:bCs/>
          <w:szCs w:val="36"/>
          <w:lang w:bidi="km-KH"/>
        </w:rPr>
      </w:pPr>
      <w:r>
        <w:rPr>
          <w:b/>
          <w:bCs/>
          <w:szCs w:val="36"/>
          <w:lang w:bidi="km-KH"/>
        </w:rPr>
        <w:t>ADDITIONAL FILE 3</w:t>
      </w:r>
      <w:bookmarkStart w:id="0" w:name="_GoBack"/>
      <w:bookmarkEnd w:id="0"/>
    </w:p>
    <w:p w:rsidR="005A0CE6" w:rsidRPr="0075142A" w:rsidRDefault="005A0CE6" w:rsidP="005A0CE6">
      <w:pPr>
        <w:pStyle w:val="VDTableTitle"/>
        <w:rPr>
          <w:szCs w:val="36"/>
          <w:lang w:bidi="km-KH"/>
        </w:rPr>
      </w:pPr>
      <w:r>
        <w:rPr>
          <w:b/>
          <w:bCs/>
          <w:szCs w:val="36"/>
          <w:lang w:bidi="km-KH"/>
        </w:rPr>
        <w:t>Table A3</w:t>
      </w:r>
      <w:r w:rsidRPr="00595C20">
        <w:rPr>
          <w:b/>
          <w:bCs/>
          <w:szCs w:val="36"/>
          <w:lang w:bidi="km-KH"/>
        </w:rPr>
        <w:t>.</w:t>
      </w:r>
      <w:r>
        <w:rPr>
          <w:szCs w:val="36"/>
          <w:lang w:bidi="km-KH"/>
        </w:rPr>
        <w:t xml:space="preserve"> </w:t>
      </w:r>
      <w:r w:rsidRPr="0075142A">
        <w:rPr>
          <w:noProof/>
        </w:rPr>
        <w:t>Predictors of Latrine Ownership in Logistic Regression Analysis</w:t>
      </w:r>
    </w:p>
    <w:tbl>
      <w:tblPr>
        <w:tblStyle w:val="TableGrid"/>
        <w:tblW w:w="5026" w:type="pct"/>
        <w:jc w:val="center"/>
        <w:tblLayout w:type="fixed"/>
        <w:tblLook w:val="04A0" w:firstRow="1" w:lastRow="0" w:firstColumn="1" w:lastColumn="0" w:noHBand="0" w:noVBand="1"/>
      </w:tblPr>
      <w:tblGrid>
        <w:gridCol w:w="2902"/>
        <w:gridCol w:w="1354"/>
        <w:gridCol w:w="1354"/>
        <w:gridCol w:w="1354"/>
        <w:gridCol w:w="1354"/>
        <w:gridCol w:w="1354"/>
      </w:tblGrid>
      <w:tr w:rsidR="005A0CE6" w:rsidRPr="00395A86" w:rsidTr="006A7EE6">
        <w:trPr>
          <w:trHeight w:val="379"/>
          <w:jc w:val="center"/>
        </w:trPr>
        <w:tc>
          <w:tcPr>
            <w:tcW w:w="1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Model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B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SE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Wald</w:t>
            </w:r>
          </w:p>
          <w:p w:rsidR="005A0CE6" w:rsidRPr="00395A86" w:rsidRDefault="005A0CE6" w:rsidP="006A7EE6">
            <w:pPr>
              <w:pStyle w:val="TCTableBody"/>
            </w:pPr>
            <w:r w:rsidRPr="00395A86">
              <w:t>X2 (1)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OR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95% CI</w:t>
            </w:r>
          </w:p>
        </w:tc>
      </w:tr>
      <w:tr w:rsidR="005A0CE6" w:rsidTr="006A7EE6">
        <w:trPr>
          <w:trHeight w:val="379"/>
          <w:jc w:val="center"/>
        </w:trPr>
        <w:tc>
          <w:tcPr>
            <w:tcW w:w="15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A0CE6" w:rsidRPr="009D5829" w:rsidRDefault="005A0CE6" w:rsidP="006A7EE6">
            <w:pPr>
              <w:pStyle w:val="TCTableBody"/>
              <w:jc w:val="left"/>
              <w:rPr>
                <w:b/>
                <w:bCs/>
              </w:rPr>
            </w:pPr>
            <w:r w:rsidRPr="009D5829">
              <w:rPr>
                <w:b/>
                <w:bCs/>
              </w:rPr>
              <w:t>Model 1: Personal and physical context factors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</w:tr>
      <w:tr w:rsidR="005A0CE6" w:rsidTr="006A7EE6">
        <w:trPr>
          <w:trHeight w:val="379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Age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.009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.008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1.29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1.01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.99, 1.02</w:t>
            </w:r>
          </w:p>
        </w:tc>
      </w:tr>
      <w:tr w:rsidR="005A0CE6" w:rsidTr="006A7EE6">
        <w:trPr>
          <w:trHeight w:val="379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 xml:space="preserve">Relationship </w:t>
            </w:r>
            <w:proofErr w:type="spellStart"/>
            <w:r w:rsidRPr="00395A86">
              <w:t>status</w:t>
            </w:r>
            <w:r w:rsidRPr="00395A86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0CE6" w:rsidRPr="00395A86" w:rsidRDefault="005A0CE6" w:rsidP="006A7EE6">
            <w:pPr>
              <w:pStyle w:val="TCTableBody"/>
            </w:pPr>
            <w:r w:rsidRPr="00395A86">
              <w:t>.855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0CE6" w:rsidRPr="00395A86" w:rsidRDefault="005A0CE6" w:rsidP="006A7EE6">
            <w:pPr>
              <w:pStyle w:val="TCTableBody"/>
            </w:pPr>
            <w:r w:rsidRPr="00395A86">
              <w:t>.268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0CE6" w:rsidRPr="00395A86" w:rsidRDefault="005A0CE6" w:rsidP="006A7EE6">
            <w:pPr>
              <w:pStyle w:val="TCTableBody"/>
            </w:pPr>
            <w:r w:rsidRPr="00395A86">
              <w:t>10.18**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0CE6" w:rsidRPr="00395A86" w:rsidRDefault="005A0CE6" w:rsidP="006A7EE6">
            <w:pPr>
              <w:pStyle w:val="TCTableBody"/>
            </w:pPr>
            <w:r w:rsidRPr="00395A86">
              <w:t>2.27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0CE6" w:rsidRPr="00395A86" w:rsidRDefault="005A0CE6" w:rsidP="006A7EE6">
            <w:pPr>
              <w:pStyle w:val="TCTableBody"/>
            </w:pPr>
            <w:r w:rsidRPr="00395A86">
              <w:t>.25, .72</w:t>
            </w:r>
          </w:p>
        </w:tc>
      </w:tr>
      <w:tr w:rsidR="005A0CE6" w:rsidTr="006A7EE6">
        <w:trPr>
          <w:trHeight w:val="379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Years at school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.238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.064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13.75***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1.27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1.12, 1.44</w:t>
            </w:r>
          </w:p>
        </w:tc>
      </w:tr>
      <w:tr w:rsidR="005A0CE6" w:rsidTr="006A7EE6">
        <w:trPr>
          <w:trHeight w:val="400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CE6" w:rsidRPr="00395A86" w:rsidRDefault="005A0CE6" w:rsidP="006A7EE6">
            <w:pPr>
              <w:pStyle w:val="TCTableBody"/>
              <w:jc w:val="left"/>
            </w:pPr>
            <w:r>
              <w:t>Ability</w:t>
            </w:r>
            <w:r w:rsidRPr="00395A86">
              <w:t xml:space="preserve"> to read/ </w:t>
            </w:r>
            <w:proofErr w:type="spellStart"/>
            <w:r w:rsidRPr="00395A86">
              <w:t>write</w:t>
            </w:r>
            <w:r w:rsidRPr="00395A86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.043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.404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.01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1.04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.47, 2.30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 xml:space="preserve">Religion: </w:t>
            </w:r>
            <w:proofErr w:type="spellStart"/>
            <w:r w:rsidRPr="00395A86">
              <w:t>Catholic</w:t>
            </w:r>
            <w:r w:rsidRPr="00395A86">
              <w:rPr>
                <w:vertAlign w:val="superscript"/>
              </w:rPr>
              <w:t>c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-.302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.208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2.11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.74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.49, 1.11</w:t>
            </w:r>
          </w:p>
        </w:tc>
      </w:tr>
      <w:tr w:rsidR="005A0CE6" w:rsidTr="006A7EE6">
        <w:trPr>
          <w:trHeight w:val="400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 xml:space="preserve">Religion: Tribal and </w:t>
            </w:r>
            <w:proofErr w:type="spellStart"/>
            <w:r w:rsidRPr="00395A86">
              <w:t>other</w:t>
            </w:r>
            <w:r w:rsidRPr="00395A86">
              <w:rPr>
                <w:vertAlign w:val="superscript"/>
              </w:rPr>
              <w:t>c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-.193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.376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.26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.83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.40, 1.72</w:t>
            </w:r>
          </w:p>
        </w:tc>
      </w:tr>
      <w:tr w:rsidR="005A0CE6" w:rsidTr="006A7EE6">
        <w:trPr>
          <w:trHeight w:val="447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4136" w:type="dxa"/>
              <w:tblLayout w:type="fixed"/>
              <w:tblLook w:val="04A0" w:firstRow="1" w:lastRow="0" w:firstColumn="1" w:lastColumn="0" w:noHBand="0" w:noVBand="1"/>
            </w:tblPr>
            <w:tblGrid>
              <w:gridCol w:w="4136"/>
            </w:tblGrid>
            <w:tr w:rsidR="005A0CE6" w:rsidRPr="00395A86" w:rsidTr="006A7EE6">
              <w:trPr>
                <w:trHeight w:val="300"/>
              </w:trPr>
              <w:tc>
                <w:tcPr>
                  <w:tcW w:w="4136" w:type="dxa"/>
                  <w:noWrap/>
                  <w:vAlign w:val="bottom"/>
                  <w:hideMark/>
                </w:tcPr>
                <w:p w:rsidR="005A0CE6" w:rsidRPr="00395A86" w:rsidRDefault="005A0CE6" w:rsidP="006A7EE6">
                  <w:pPr>
                    <w:pStyle w:val="TCTableBody"/>
                    <w:jc w:val="left"/>
                  </w:pPr>
                  <w:r w:rsidRPr="00395A86">
                    <w:t>Household size</w:t>
                  </w:r>
                </w:p>
              </w:tc>
            </w:tr>
          </w:tbl>
          <w:p w:rsidR="005A0CE6" w:rsidRPr="00395A86" w:rsidRDefault="005A0CE6" w:rsidP="006A7EE6">
            <w:pPr>
              <w:pStyle w:val="TCTableBody"/>
              <w:jc w:val="left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.093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.054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2.96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1.10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.99, 1.22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Average monthly income (MZN) of the family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.000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.000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1.51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1.00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1.00, 1.00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Risk of flooding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-.596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.090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43.51***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.55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.46, .66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 xml:space="preserve">Soil condition: </w:t>
            </w:r>
            <w:proofErr w:type="spellStart"/>
            <w:r w:rsidRPr="00395A86">
              <w:t>Clay</w:t>
            </w:r>
            <w:r w:rsidRPr="00395A86">
              <w:rPr>
                <w:vertAlign w:val="superscript"/>
              </w:rPr>
              <w:t>d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.201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.221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.83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1.22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.79, 1.89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 xml:space="preserve">Soil condition: </w:t>
            </w:r>
            <w:proofErr w:type="spellStart"/>
            <w:r w:rsidRPr="00395A86">
              <w:t>Rocky</w:t>
            </w:r>
            <w:r w:rsidRPr="00395A86">
              <w:rPr>
                <w:vertAlign w:val="superscript"/>
              </w:rPr>
              <w:t>d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-.336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.365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.84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.72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.35, 1.46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Constant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-.374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.519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.52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.69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9D5829" w:rsidRDefault="005A0CE6" w:rsidP="006A7EE6">
            <w:pPr>
              <w:pStyle w:val="TCTableBody"/>
              <w:jc w:val="left"/>
              <w:rPr>
                <w:b/>
                <w:bCs/>
              </w:rPr>
            </w:pPr>
            <w:r w:rsidRPr="009D5829">
              <w:rPr>
                <w:b/>
                <w:bCs/>
              </w:rPr>
              <w:t>Model 2: Social context factors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Social dilemma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,487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,084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33,291***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1,63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1,38, 1,92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Social capital (solidarity)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,179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,058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9,441**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1,20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1,07, 1,34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Social capital (trust)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,204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,064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10,249**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1,23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1,08, 1,39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Social capital (empowerment and political action)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,052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,071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,535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1,05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,95, 1,21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Social capital (collective action and cooperation)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,148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,106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1,972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1,16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,94, 1,43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Social capital (social cohesion and inclusion)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,183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,073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6,174*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1,20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1,04, 1,39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Social identity (in-group ties)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,071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,072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,969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1,07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,93, 1,24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Social identity (centrality)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,055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,093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,344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1,06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,88, 1,27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 xml:space="preserve">Social identity (in-group </w:t>
            </w:r>
            <w:r w:rsidRPr="00395A86">
              <w:lastRenderedPageBreak/>
              <w:t>affects)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lastRenderedPageBreak/>
              <w:t>,032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,071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,202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1,03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,90, 1,19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lastRenderedPageBreak/>
              <w:t>Social cohesion (neighborhood cohesion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-,097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,088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1,201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,91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,76, 1,08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Constant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-4.591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.845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29.531***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.01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  <w:jc w:val="left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9D5829" w:rsidRDefault="005A0CE6" w:rsidP="006A7EE6">
            <w:pPr>
              <w:pStyle w:val="TCTableBody"/>
              <w:jc w:val="left"/>
              <w:rPr>
                <w:b/>
                <w:bCs/>
              </w:rPr>
            </w:pPr>
            <w:r w:rsidRPr="009D5829">
              <w:rPr>
                <w:b/>
                <w:bCs/>
              </w:rPr>
              <w:t>Model 3: RANAS factors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Vulnerability (personal general risk for diarrhea)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-.527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.104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25.471***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.59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.48, .72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Vulnerability (general health of community members)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.277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.188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2.177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1.32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.91, 1.91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Vulnerability (defecation</w:t>
            </w:r>
            <w:r>
              <w:t>-</w:t>
            </w:r>
            <w:r w:rsidRPr="00395A86">
              <w:t>related personal diarrhea risk)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.203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.292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.486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1.23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.69, 2.17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 xml:space="preserve">Vulnerability (defecation </w:t>
            </w:r>
            <w:r>
              <w:t>-</w:t>
            </w:r>
            <w:r w:rsidRPr="00395A86">
              <w:t>related diarrhea risk for community members)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-.169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.291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.338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.85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.48, 1.49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Health Knowledge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-.178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.196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.822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.84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.57, 1.23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Feelings (proud)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.387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.262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2.181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1.47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.88, 2.46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rPr>
                <w:rFonts w:eastAsiaTheme="minorHAnsi"/>
              </w:rPr>
              <w:t>Feelings (satisfaction)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-.523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.281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3.448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.59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.34, 1.03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Feelings (respect)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-.309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.139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4.946*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.73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.56, .96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Beliefs about costs and benefits (expansiveness)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-.167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.122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1.896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.85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.67, 1.07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Beliefs about costs and benefits (money, space, time)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-.931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.312*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8.887**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.39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.21, .73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Others’ behavior (relatives)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.129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.134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.930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1.14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.88, 1.48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Others’ behavior (community members)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.996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.145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47.310***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2.71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2.04, 3.60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Others’ (dis)approval (personal</w:t>
            </w:r>
            <w:r>
              <w:t>ly</w:t>
            </w:r>
            <w:r w:rsidRPr="00395A86">
              <w:t xml:space="preserve"> important others)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.564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.166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11.537**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1.76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1.27, 2.43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Others’ (dis)approval (important persons of the community)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-.087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.137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.399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.92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.70, 1.20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Personal importance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-.033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.093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.124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.97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.81, 1.16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Confidence in performance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.183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.136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1.818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1.20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.92, 1.57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Confidence in recovery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.706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.203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12.084**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2.03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1.36, 3.02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Confidence in continuation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-.057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.146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.152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.95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.71, 1.26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How-to-do-knowledge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.251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.159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2.499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1.29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.94, 1.76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lastRenderedPageBreak/>
              <w:t>Commitment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.156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.092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2.915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1.17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.98, 1.40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Communication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.306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.120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6.488*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1.36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1.07, 1.72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Constant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-7.61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1.878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16.434***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9D5829" w:rsidRDefault="005A0CE6" w:rsidP="006A7EE6">
            <w:pPr>
              <w:pStyle w:val="TCTableBody"/>
              <w:jc w:val="left"/>
              <w:rPr>
                <w:b/>
                <w:bCs/>
              </w:rPr>
            </w:pPr>
            <w:r w:rsidRPr="009D5829">
              <w:rPr>
                <w:b/>
                <w:bCs/>
              </w:rPr>
              <w:t xml:space="preserve">Model 4: significant context and RANAS factors from model 1+2+3 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9D5829" w:rsidRDefault="005A0CE6" w:rsidP="006A7EE6">
            <w:pPr>
              <w:pStyle w:val="TCTableBody"/>
              <w:jc w:val="left"/>
              <w:rPr>
                <w:b/>
                <w:bCs/>
              </w:rPr>
            </w:pPr>
            <w:r w:rsidRPr="009D5829">
              <w:rPr>
                <w:b/>
                <w:bCs/>
              </w:rPr>
              <w:t>Context factors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 xml:space="preserve">Relationship </w:t>
            </w:r>
            <w:proofErr w:type="spellStart"/>
            <w:r w:rsidRPr="00395A86">
              <w:t>status</w:t>
            </w:r>
            <w:r w:rsidRPr="00395A86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.545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.388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1.969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.58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.27, 1.24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Years at school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.188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.070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7.247**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1.21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1.05, 1.39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Risk of flooding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-.351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.128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7.546**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.70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.55, .90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Social dilemma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.046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.131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.123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1.04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.81, 1.35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 xml:space="preserve">Social capital (solidarity) 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.110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.093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1.411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1.12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.93, 1.34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Social capital (trust)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-.080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.103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.602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.92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.75, 1.13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Social capital (social cohesion and inclusion)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.377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.119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10.068**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1.46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1.16, 1.84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9D5829" w:rsidRDefault="005A0CE6" w:rsidP="006A7EE6">
            <w:pPr>
              <w:pStyle w:val="TCTableBody"/>
              <w:jc w:val="left"/>
              <w:rPr>
                <w:b/>
                <w:bCs/>
              </w:rPr>
            </w:pPr>
            <w:r w:rsidRPr="009D5829">
              <w:rPr>
                <w:b/>
                <w:bCs/>
              </w:rPr>
              <w:t>RANAS factors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Vulnerability (personal general risk for diarrhea)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-.626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.113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30.734***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.54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.43, .67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Feelings (respect)</w:t>
            </w:r>
          </w:p>
          <w:p w:rsidR="005A0CE6" w:rsidRPr="00395A86" w:rsidRDefault="005A0CE6" w:rsidP="006A7EE6">
            <w:pPr>
              <w:pStyle w:val="TCTableBody"/>
              <w:jc w:val="left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-.381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.141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7.327**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.68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.52, .90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Beliefs about costs and benefits (money, space, time)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-1.143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.267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18.246***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.32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.19, .54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Others’ behavior (community)</w:t>
            </w:r>
          </w:p>
          <w:p w:rsidR="005A0CE6" w:rsidRPr="00395A86" w:rsidRDefault="005A0CE6" w:rsidP="006A7EE6">
            <w:pPr>
              <w:pStyle w:val="TCTableBody"/>
              <w:jc w:val="left"/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1.176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.141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69.105***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3.24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2.46, 4.28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Others’ (dis)approval (personal</w:t>
            </w:r>
            <w:r>
              <w:t>ly</w:t>
            </w:r>
            <w:r w:rsidRPr="00395A86">
              <w:t xml:space="preserve"> important others)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.544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.161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11.479**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1.72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1.26, 2.36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Confidence in recovery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.994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.199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25.029***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2.70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1.83, 3.99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Communication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.155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.136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1.297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1.17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CE6" w:rsidRPr="00395A86" w:rsidRDefault="005A0CE6" w:rsidP="006A7EE6">
            <w:pPr>
              <w:pStyle w:val="TCTableBody"/>
            </w:pPr>
            <w:r w:rsidRPr="00395A86">
              <w:t>.89, 1.52</w:t>
            </w:r>
          </w:p>
        </w:tc>
      </w:tr>
      <w:tr w:rsidR="005A0CE6" w:rsidTr="006A7EE6">
        <w:trPr>
          <w:trHeight w:val="421"/>
          <w:jc w:val="center"/>
        </w:trPr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0CE6" w:rsidRPr="00395A86" w:rsidRDefault="005A0CE6" w:rsidP="006A7EE6">
            <w:pPr>
              <w:pStyle w:val="TCTableBody"/>
              <w:jc w:val="left"/>
            </w:pPr>
            <w:r w:rsidRPr="00395A86">
              <w:t>Constant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-8.13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1.62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  <w:r w:rsidRPr="00395A86">
              <w:t>25.381***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A0CE6" w:rsidRPr="00395A86" w:rsidRDefault="005A0CE6" w:rsidP="006A7EE6">
            <w:pPr>
              <w:pStyle w:val="TCTableBody"/>
            </w:pPr>
          </w:p>
        </w:tc>
      </w:tr>
    </w:tbl>
    <w:p w:rsidR="00113E12" w:rsidRPr="005A0CE6" w:rsidRDefault="005A0CE6">
      <w:pPr>
        <w:rPr>
          <w:rFonts w:ascii="Times New Roman" w:hAnsi="Times New Roman" w:cs="Times New Roman"/>
          <w:sz w:val="24"/>
          <w:szCs w:val="24"/>
        </w:rPr>
      </w:pPr>
      <w:r w:rsidRPr="009D5829">
        <w:rPr>
          <w:rFonts w:ascii="Times New Roman" w:hAnsi="Times New Roman" w:cs="Times New Roman"/>
          <w:i/>
          <w:iCs/>
          <w:sz w:val="24"/>
          <w:szCs w:val="24"/>
        </w:rPr>
        <w:t>Note.</w:t>
      </w:r>
      <w:r w:rsidRPr="009D5829">
        <w:rPr>
          <w:rFonts w:ascii="Times New Roman" w:hAnsi="Times New Roman" w:cs="Times New Roman"/>
          <w:sz w:val="24"/>
          <w:szCs w:val="24"/>
        </w:rPr>
        <w:tab/>
      </w:r>
      <w:r w:rsidRPr="009D5829">
        <w:rPr>
          <w:rFonts w:ascii="Times New Roman" w:hAnsi="Times New Roman" w:cs="Times New Roman"/>
          <w:i/>
          <w:iCs/>
          <w:sz w:val="24"/>
          <w:szCs w:val="24"/>
        </w:rPr>
        <w:t xml:space="preserve">N </w:t>
      </w:r>
      <w:r w:rsidRPr="009D5829">
        <w:rPr>
          <w:rFonts w:ascii="Times New Roman" w:hAnsi="Times New Roman" w:cs="Times New Roman"/>
          <w:sz w:val="24"/>
          <w:szCs w:val="24"/>
        </w:rPr>
        <w:t>= 598. For the model of personal and physical context factors (Model 1) R</w:t>
      </w:r>
      <w:r w:rsidRPr="009D58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=.24 (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r w:rsidRPr="009D5829">
        <w:rPr>
          <w:rFonts w:ascii="Times New Roman" w:hAnsi="Times New Roman" w:cs="Times New Roman"/>
          <w:sz w:val="24"/>
          <w:szCs w:val="24"/>
        </w:rPr>
        <w:t>gelkerke</w:t>
      </w:r>
      <w:proofErr w:type="spellEnd"/>
      <w:r w:rsidRPr="009D5829">
        <w:rPr>
          <w:rFonts w:ascii="Times New Roman" w:hAnsi="Times New Roman" w:cs="Times New Roman"/>
          <w:sz w:val="24"/>
          <w:szCs w:val="24"/>
        </w:rPr>
        <w:t>). X</w:t>
      </w:r>
      <w:r w:rsidRPr="009D58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5829">
        <w:rPr>
          <w:rFonts w:ascii="Times New Roman" w:hAnsi="Times New Roman" w:cs="Times New Roman"/>
          <w:sz w:val="24"/>
          <w:szCs w:val="24"/>
        </w:rPr>
        <w:t>(9) = 107.17, p &lt; .0005. For the model of social context factors (Model 2) R</w:t>
      </w:r>
      <w:r w:rsidRPr="009D58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5829">
        <w:rPr>
          <w:rFonts w:ascii="Times New Roman" w:hAnsi="Times New Roman" w:cs="Times New Roman"/>
          <w:sz w:val="24"/>
          <w:szCs w:val="24"/>
        </w:rPr>
        <w:t>=.26 (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r w:rsidRPr="009D5829">
        <w:rPr>
          <w:rFonts w:ascii="Times New Roman" w:hAnsi="Times New Roman" w:cs="Times New Roman"/>
          <w:sz w:val="24"/>
          <w:szCs w:val="24"/>
        </w:rPr>
        <w:t>gelkerke</w:t>
      </w:r>
      <w:proofErr w:type="spellEnd"/>
      <w:r w:rsidRPr="009D5829">
        <w:rPr>
          <w:rFonts w:ascii="Times New Roman" w:hAnsi="Times New Roman" w:cs="Times New Roman"/>
          <w:sz w:val="24"/>
          <w:szCs w:val="24"/>
        </w:rPr>
        <w:t>). X</w:t>
      </w:r>
      <w:r w:rsidRPr="009D58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5829">
        <w:rPr>
          <w:rFonts w:ascii="Times New Roman" w:hAnsi="Times New Roman" w:cs="Times New Roman"/>
          <w:sz w:val="24"/>
          <w:szCs w:val="24"/>
        </w:rPr>
        <w:t>(10) = 127.00, p &lt; .0005. For the model of psychosocial factors (Model 3) R</w:t>
      </w:r>
      <w:r w:rsidRPr="009D58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5829">
        <w:rPr>
          <w:rFonts w:ascii="Times New Roman" w:hAnsi="Times New Roman" w:cs="Times New Roman"/>
          <w:sz w:val="24"/>
          <w:szCs w:val="24"/>
        </w:rPr>
        <w:t>=.70 (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r w:rsidRPr="009D5829">
        <w:rPr>
          <w:rFonts w:ascii="Times New Roman" w:hAnsi="Times New Roman" w:cs="Times New Roman"/>
          <w:sz w:val="24"/>
          <w:szCs w:val="24"/>
        </w:rPr>
        <w:t>gelkerke</w:t>
      </w:r>
      <w:proofErr w:type="spellEnd"/>
      <w:r w:rsidRPr="009D5829">
        <w:rPr>
          <w:rFonts w:ascii="Times New Roman" w:hAnsi="Times New Roman" w:cs="Times New Roman"/>
          <w:sz w:val="24"/>
          <w:szCs w:val="24"/>
        </w:rPr>
        <w:t>). X</w:t>
      </w:r>
      <w:r w:rsidRPr="009D58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5829">
        <w:rPr>
          <w:rFonts w:ascii="Times New Roman" w:hAnsi="Times New Roman" w:cs="Times New Roman"/>
          <w:sz w:val="24"/>
          <w:szCs w:val="24"/>
        </w:rPr>
        <w:t>(10) = 426.85, p &lt; .0005. For the overall model of significant context and psychosocial factors (Model 4) R</w:t>
      </w:r>
      <w:r w:rsidRPr="009D58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5829">
        <w:rPr>
          <w:rFonts w:ascii="Times New Roman" w:hAnsi="Times New Roman" w:cs="Times New Roman"/>
          <w:sz w:val="24"/>
          <w:szCs w:val="24"/>
        </w:rPr>
        <w:t>=.74 (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r w:rsidRPr="009D5829">
        <w:rPr>
          <w:rFonts w:ascii="Times New Roman" w:hAnsi="Times New Roman" w:cs="Times New Roman"/>
          <w:sz w:val="24"/>
          <w:szCs w:val="24"/>
        </w:rPr>
        <w:t>gelkerke</w:t>
      </w:r>
      <w:proofErr w:type="spellEnd"/>
      <w:r w:rsidRPr="009D5829">
        <w:rPr>
          <w:rFonts w:ascii="Times New Roman" w:hAnsi="Times New Roman" w:cs="Times New Roman"/>
          <w:sz w:val="24"/>
          <w:szCs w:val="24"/>
        </w:rPr>
        <w:t>). X</w:t>
      </w:r>
      <w:r w:rsidRPr="009D58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5829">
        <w:rPr>
          <w:rFonts w:ascii="Times New Roman" w:hAnsi="Times New Roman" w:cs="Times New Roman"/>
          <w:sz w:val="24"/>
          <w:szCs w:val="24"/>
        </w:rPr>
        <w:t>(15) = 468.19, p &lt; .0005. Latrine ownership was coded ‘1’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D5829">
        <w:rPr>
          <w:rFonts w:ascii="Times New Roman" w:hAnsi="Times New Roman" w:cs="Times New Roman"/>
          <w:sz w:val="24"/>
          <w:szCs w:val="24"/>
        </w:rPr>
        <w:t xml:space="preserve"> and no latrine ownership was coded ‘0’.</w:t>
      </w:r>
      <w:r w:rsidRPr="009D5829">
        <w:rPr>
          <w:rFonts w:ascii="Times New Roman" w:hAnsi="Times New Roman" w:cs="Times New Roman"/>
          <w:sz w:val="24"/>
          <w:szCs w:val="24"/>
        </w:rPr>
        <w:br/>
      </w:r>
      <w:r w:rsidRPr="009D5829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a</w:t>
      </w:r>
      <w:r w:rsidRPr="009D5829">
        <w:rPr>
          <w:rFonts w:ascii="Times New Roman" w:hAnsi="Times New Roman" w:cs="Times New Roman"/>
          <w:sz w:val="24"/>
          <w:szCs w:val="24"/>
        </w:rPr>
        <w:t xml:space="preserve"> no relationship as reference category; </w:t>
      </w:r>
      <w:r w:rsidRPr="009D5829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9D5829">
        <w:rPr>
          <w:rFonts w:ascii="Times New Roman" w:hAnsi="Times New Roman" w:cs="Times New Roman"/>
          <w:sz w:val="24"/>
          <w:szCs w:val="24"/>
        </w:rPr>
        <w:t xml:space="preserve"> not able to read/ write as reference category; </w:t>
      </w:r>
      <w:r w:rsidRPr="009D5829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9D5829">
        <w:rPr>
          <w:rFonts w:ascii="Times New Roman" w:hAnsi="Times New Roman" w:cs="Times New Roman"/>
          <w:sz w:val="24"/>
          <w:szCs w:val="24"/>
        </w:rPr>
        <w:t xml:space="preserve"> Muslim as reference category; </w:t>
      </w:r>
      <w:r w:rsidRPr="009D5829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9D5829">
        <w:rPr>
          <w:rFonts w:ascii="Times New Roman" w:hAnsi="Times New Roman" w:cs="Times New Roman"/>
          <w:sz w:val="24"/>
          <w:szCs w:val="24"/>
        </w:rPr>
        <w:t xml:space="preserve"> sandy as reference category</w:t>
      </w:r>
      <w:r w:rsidRPr="009D5829">
        <w:rPr>
          <w:rFonts w:ascii="Times New Roman" w:hAnsi="Times New Roman" w:cs="Times New Roman"/>
          <w:sz w:val="24"/>
          <w:szCs w:val="24"/>
        </w:rPr>
        <w:br/>
        <w:t>OR = odds ratio; CI = confidence interval; *</w:t>
      </w:r>
      <w:r w:rsidRPr="009D582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D5829">
        <w:rPr>
          <w:rFonts w:ascii="Times New Roman" w:hAnsi="Times New Roman" w:cs="Times New Roman"/>
          <w:sz w:val="24"/>
          <w:szCs w:val="24"/>
        </w:rPr>
        <w:t xml:space="preserve"> &lt; .05; **</w:t>
      </w:r>
      <w:r w:rsidRPr="009D582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D5829">
        <w:rPr>
          <w:rFonts w:ascii="Times New Roman" w:hAnsi="Times New Roman" w:cs="Times New Roman"/>
          <w:sz w:val="24"/>
          <w:szCs w:val="24"/>
        </w:rPr>
        <w:t xml:space="preserve"> &lt; .005; ***</w:t>
      </w:r>
      <w:r w:rsidRPr="009D582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D5829">
        <w:rPr>
          <w:rFonts w:ascii="Times New Roman" w:hAnsi="Times New Roman" w:cs="Times New Roman"/>
          <w:sz w:val="24"/>
          <w:szCs w:val="24"/>
        </w:rPr>
        <w:t xml:space="preserve"> &lt; .0005.</w:t>
      </w:r>
    </w:p>
    <w:sectPr w:rsidR="00113E12" w:rsidRPr="005A0CE6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CE6"/>
    <w:rsid w:val="00143DD3"/>
    <w:rsid w:val="003C1F40"/>
    <w:rsid w:val="005A0CE6"/>
    <w:rsid w:val="006B7465"/>
    <w:rsid w:val="006C736D"/>
    <w:rsid w:val="008916F5"/>
    <w:rsid w:val="00BF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CE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0CE6"/>
    <w:pPr>
      <w:spacing w:after="0" w:line="240" w:lineRule="auto"/>
    </w:pPr>
    <w:rPr>
      <w:szCs w:val="36"/>
      <w:lang w:bidi="km-K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DTableTitle">
    <w:name w:val="VD_Table_Title"/>
    <w:basedOn w:val="Normal"/>
    <w:next w:val="Normal"/>
    <w:rsid w:val="005A0CE6"/>
    <w:pPr>
      <w:spacing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CTableBody">
    <w:name w:val="TC_Table_Body"/>
    <w:basedOn w:val="Normal"/>
    <w:rsid w:val="005A0CE6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CE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0CE6"/>
    <w:pPr>
      <w:spacing w:after="0" w:line="240" w:lineRule="auto"/>
    </w:pPr>
    <w:rPr>
      <w:szCs w:val="36"/>
      <w:lang w:bidi="km-K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DTableTitle">
    <w:name w:val="VD_Table_Title"/>
    <w:basedOn w:val="Normal"/>
    <w:next w:val="Normal"/>
    <w:rsid w:val="005A0CE6"/>
    <w:pPr>
      <w:spacing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CTableBody">
    <w:name w:val="TC_Table_Body"/>
    <w:basedOn w:val="Normal"/>
    <w:rsid w:val="005A0CE6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 Zuerich</Company>
  <LinksUpToDate>false</LinksUpToDate>
  <CharactersWithSpaces>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Harter, Miriam</dc:creator>
  <cp:lastModifiedBy>Harter, Miriam</cp:lastModifiedBy>
  <cp:revision>1</cp:revision>
  <dcterms:created xsi:type="dcterms:W3CDTF">2017-04-05T13:48:00Z</dcterms:created>
  <dcterms:modified xsi:type="dcterms:W3CDTF">2017-04-05T13:49:00Z</dcterms:modified>
</cp:coreProperties>
</file>