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1D" w:rsidRPr="00D80C62" w:rsidRDefault="00BB041D" w:rsidP="00BB041D">
      <w:pPr>
        <w:widowControl/>
        <w:wordWrap/>
        <w:autoSpaceDE/>
        <w:autoSpaceDN/>
        <w:rPr>
          <w:rFonts w:ascii="Times New Roman" w:eastAsia="Malgun Gothic" w:hAnsi="Times New Roman" w:cs="Times New Roman"/>
          <w:sz w:val="24"/>
          <w:szCs w:val="24"/>
        </w:rPr>
      </w:pPr>
      <w:r w:rsidRPr="00D80C62">
        <w:rPr>
          <w:rFonts w:ascii="Times New Roman" w:eastAsia="Malgun Gothic" w:hAnsi="Times New Roman" w:cs="Times New Roman"/>
          <w:sz w:val="24"/>
          <w:szCs w:val="24"/>
        </w:rPr>
        <w:t xml:space="preserve">Table </w:t>
      </w:r>
      <w:r w:rsidR="005F0140">
        <w:rPr>
          <w:rFonts w:ascii="Times New Roman" w:eastAsia="Malgun Gothic" w:hAnsi="Times New Roman" w:cs="Times New Roman"/>
          <w:sz w:val="24"/>
          <w:szCs w:val="24"/>
        </w:rPr>
        <w:t>S</w:t>
      </w:r>
      <w:bookmarkStart w:id="0" w:name="_GoBack"/>
      <w:bookmarkEnd w:id="0"/>
      <w:r w:rsidRPr="00D80C62">
        <w:rPr>
          <w:rFonts w:ascii="Times New Roman" w:eastAsia="Malgun Gothic" w:hAnsi="Times New Roman" w:cs="Times New Roman"/>
          <w:sz w:val="24"/>
          <w:szCs w:val="24"/>
        </w:rPr>
        <w:t>1. Summary of the variables used in the study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177"/>
      </w:tblGrid>
      <w:tr w:rsidR="00BB041D" w:rsidRPr="00D80C62" w:rsidTr="0024740B">
        <w:tc>
          <w:tcPr>
            <w:tcW w:w="2093" w:type="dxa"/>
            <w:tcBorders>
              <w:bottom w:val="single" w:sz="4" w:space="0" w:color="auto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D80C62">
              <w:rPr>
                <w:rFonts w:ascii="Times New Roman" w:eastAsia="Malgun Gothic" w:hAnsi="Times New Roman" w:cs="Times New Roman"/>
                <w:sz w:val="24"/>
                <w:szCs w:val="24"/>
              </w:rPr>
              <w:t>Variable name</w:t>
            </w:r>
          </w:p>
        </w:tc>
        <w:tc>
          <w:tcPr>
            <w:tcW w:w="7177" w:type="dxa"/>
            <w:tcBorders>
              <w:bottom w:val="single" w:sz="4" w:space="0" w:color="auto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D80C62">
              <w:rPr>
                <w:rFonts w:ascii="Times New Roman" w:eastAsia="Malgun Gothic" w:hAnsi="Times New Roman" w:cs="Times New Roman"/>
                <w:sz w:val="24"/>
                <w:szCs w:val="24"/>
              </w:rPr>
              <w:t>Definition</w:t>
            </w:r>
          </w:p>
        </w:tc>
      </w:tr>
      <w:tr w:rsidR="00BB041D" w:rsidRPr="00D80C62" w:rsidTr="0024740B">
        <w:tc>
          <w:tcPr>
            <w:tcW w:w="2093" w:type="dxa"/>
            <w:tcBorders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Antenatal care (ANC)</w:t>
            </w:r>
          </w:p>
        </w:tc>
        <w:tc>
          <w:tcPr>
            <w:tcW w:w="7177" w:type="dxa"/>
            <w:tcBorders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[Binary, dependent variable] 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= 0 if the mother had no antenatal care visit to health professionals; 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1 if the mother at least once visited the doctor, nurse, midwife, or auxiliary midwife. Traditional birth attendance and community health worker are not considered as health professionals.</w:t>
            </w:r>
          </w:p>
        </w:tc>
      </w:tr>
      <w:tr w:rsidR="00BB041D" w:rsidRPr="00D80C62" w:rsidTr="0024740B">
        <w:tc>
          <w:tcPr>
            <w:tcW w:w="2093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Skilled birth attendance (SBA)</w:t>
            </w:r>
          </w:p>
        </w:tc>
        <w:tc>
          <w:tcPr>
            <w:tcW w:w="7177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[Binary, dependent variable] 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= 0 if the mother did not receive help from health professionals at delivery; 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= 1 if the mother received help from doctor, nurse, midwife, or auxiliary midwife at delivery. Traditional birth attendance and community health worker are not considered as health professionals. </w:t>
            </w:r>
          </w:p>
        </w:tc>
      </w:tr>
      <w:tr w:rsidR="00BB041D" w:rsidRPr="00D80C62" w:rsidTr="0024740B">
        <w:tc>
          <w:tcPr>
            <w:tcW w:w="2093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Ethnicity</w:t>
            </w:r>
          </w:p>
        </w:tc>
        <w:tc>
          <w:tcPr>
            <w:tcW w:w="7177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[Binary, independent variable] 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= 1 if the head of the household where the woman is living is Lao ethnic; 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2 if the ethnic is not Lao</w:t>
            </w:r>
          </w:p>
        </w:tc>
      </w:tr>
      <w:tr w:rsidR="00BB041D" w:rsidRPr="00D80C62" w:rsidTr="0024740B">
        <w:tc>
          <w:tcPr>
            <w:tcW w:w="2093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Age</w:t>
            </w:r>
          </w:p>
        </w:tc>
        <w:tc>
          <w:tcPr>
            <w:tcW w:w="7177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[Four categories, independent variable]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1 if the woman’s age is in the range [15-19]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2 if the woman’s age is in the range [20-29]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3 if the woman’s age is in the range [30-39]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4 if the woman’s age is in the range [40-49]</w:t>
            </w:r>
          </w:p>
        </w:tc>
      </w:tr>
      <w:tr w:rsidR="00BB041D" w:rsidRPr="00D80C62" w:rsidTr="0024740B">
        <w:tc>
          <w:tcPr>
            <w:tcW w:w="2093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Education</w:t>
            </w:r>
          </w:p>
        </w:tc>
        <w:tc>
          <w:tcPr>
            <w:tcW w:w="7177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[Three categories, independent variable]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1 if the woman never went to school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2 if the woman highest educational level is primary school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3 if the woman highest educational level is secondary school or higher level school</w:t>
            </w:r>
          </w:p>
        </w:tc>
      </w:tr>
      <w:tr w:rsidR="00BB041D" w:rsidRPr="00D80C62" w:rsidTr="0024740B">
        <w:tc>
          <w:tcPr>
            <w:tcW w:w="2093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Access to media</w:t>
            </w:r>
          </w:p>
        </w:tc>
        <w:tc>
          <w:tcPr>
            <w:tcW w:w="7177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[Binary, independent variable]</w:t>
            </w:r>
          </w:p>
          <w:p w:rsidR="00BB041D" w:rsidRPr="00D80C62" w:rsidRDefault="00771076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= 0 </w:t>
            </w:r>
            <w:r w:rsidR="00BB041D" w:rsidRPr="00D80C62">
              <w:rPr>
                <w:rFonts w:ascii="Times New Roman" w:eastAsia="Malgun Gothic" w:hAnsi="Times New Roman" w:cs="Times New Roman"/>
                <w:sz w:val="22"/>
              </w:rPr>
              <w:t xml:space="preserve">if the woman </w:t>
            </w:r>
            <w:r w:rsidRPr="00D80C62">
              <w:rPr>
                <w:rFonts w:ascii="Times New Roman" w:eastAsia="Malgun Gothic" w:hAnsi="Times New Roman" w:cs="Times New Roman"/>
                <w:sz w:val="22"/>
              </w:rPr>
              <w:t>n</w:t>
            </w:r>
            <w:r w:rsidR="00BB041D" w:rsidRPr="00D80C62">
              <w:rPr>
                <w:rFonts w:ascii="Times New Roman" w:eastAsia="Malgun Gothic" w:hAnsi="Times New Roman" w:cs="Times New Roman"/>
                <w:sz w:val="22"/>
              </w:rPr>
              <w:t>ever access to newspaper or radio or television</w:t>
            </w:r>
          </w:p>
          <w:p w:rsidR="00BB041D" w:rsidRPr="00D80C62" w:rsidRDefault="00BB041D" w:rsidP="00771076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= </w:t>
            </w:r>
            <w:r w:rsidR="00771076" w:rsidRPr="00D80C62">
              <w:rPr>
                <w:rFonts w:ascii="Times New Roman" w:eastAsia="Malgun Gothic" w:hAnsi="Times New Roman" w:cs="Times New Roman"/>
                <w:sz w:val="22"/>
              </w:rPr>
              <w:t>1</w:t>
            </w:r>
            <w:r w:rsidRPr="00D80C62">
              <w:rPr>
                <w:rFonts w:ascii="Times New Roman" w:eastAsia="Malgun Gothic" w:hAnsi="Times New Roman" w:cs="Times New Roman"/>
                <w:sz w:val="22"/>
              </w:rPr>
              <w:t xml:space="preserve"> if the </w:t>
            </w:r>
            <w:r w:rsidR="00771076" w:rsidRPr="00D80C62">
              <w:rPr>
                <w:rFonts w:ascii="Times New Roman" w:eastAsia="Malgun Gothic" w:hAnsi="Times New Roman" w:cs="Times New Roman"/>
                <w:sz w:val="22"/>
              </w:rPr>
              <w:t xml:space="preserve">woman </w:t>
            </w:r>
            <w:r w:rsidRPr="00D80C62">
              <w:rPr>
                <w:rFonts w:ascii="Times New Roman" w:eastAsia="Malgun Gothic" w:hAnsi="Times New Roman" w:cs="Times New Roman"/>
                <w:sz w:val="22"/>
              </w:rPr>
              <w:t>ever access to newspaper or radio or television</w:t>
            </w:r>
          </w:p>
        </w:tc>
      </w:tr>
      <w:tr w:rsidR="00BB041D" w:rsidRPr="00D80C62" w:rsidTr="0024740B">
        <w:tc>
          <w:tcPr>
            <w:tcW w:w="2093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Residential area</w:t>
            </w:r>
          </w:p>
        </w:tc>
        <w:tc>
          <w:tcPr>
            <w:tcW w:w="7177" w:type="dxa"/>
            <w:tcBorders>
              <w:top w:val="nil"/>
              <w:bottom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[Binary, independent variable]</w:t>
            </w:r>
          </w:p>
          <w:p w:rsidR="00BB041D" w:rsidRPr="00D80C62" w:rsidRDefault="00771076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0 if the woman lives in rural</w:t>
            </w:r>
            <w:r w:rsidR="00BB041D" w:rsidRPr="00D80C62">
              <w:rPr>
                <w:rFonts w:ascii="Times New Roman" w:eastAsia="Malgun Gothic" w:hAnsi="Times New Roman" w:cs="Times New Roman"/>
                <w:sz w:val="22"/>
              </w:rPr>
              <w:t xml:space="preserve"> areas</w:t>
            </w:r>
          </w:p>
          <w:p w:rsidR="00BB041D" w:rsidRPr="00D80C62" w:rsidRDefault="00771076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1 if the woman lives in urban</w:t>
            </w:r>
            <w:r w:rsidR="00BB041D" w:rsidRPr="00D80C62">
              <w:rPr>
                <w:rFonts w:ascii="Times New Roman" w:eastAsia="Malgun Gothic" w:hAnsi="Times New Roman" w:cs="Times New Roman"/>
                <w:sz w:val="22"/>
              </w:rPr>
              <w:t xml:space="preserve"> areas</w:t>
            </w:r>
          </w:p>
        </w:tc>
      </w:tr>
      <w:tr w:rsidR="00BB041D" w:rsidRPr="006D75A1" w:rsidTr="0024740B">
        <w:tc>
          <w:tcPr>
            <w:tcW w:w="2093" w:type="dxa"/>
            <w:tcBorders>
              <w:top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Household Wealth</w:t>
            </w:r>
          </w:p>
        </w:tc>
        <w:tc>
          <w:tcPr>
            <w:tcW w:w="7177" w:type="dxa"/>
            <w:tcBorders>
              <w:top w:val="nil"/>
            </w:tcBorders>
          </w:tcPr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[Five categories, independent variable]: was calculated using household assets data collected from MICS survey. These assets or consumer items consists of dura</w:t>
            </w:r>
            <w:r w:rsidR="004F42A0" w:rsidRPr="00D80C62">
              <w:rPr>
                <w:rFonts w:ascii="Times New Roman" w:eastAsia="Malgun Gothic" w:hAnsi="Times New Roman" w:cs="Times New Roman"/>
                <w:sz w:val="22"/>
              </w:rPr>
              <w:t>ble consumer goods (such as television</w:t>
            </w:r>
            <w:r w:rsidRPr="00D80C62">
              <w:rPr>
                <w:rFonts w:ascii="Times New Roman" w:eastAsia="Malgun Gothic" w:hAnsi="Times New Roman" w:cs="Times New Roman"/>
                <w:sz w:val="22"/>
              </w:rPr>
              <w:t>, fridge, air-conditioner, washing machine), dwelling characteristics (such as material of floor roof-top, source of drinking water), ownership of land and agriculture tools (such as animal-drawn cart, boat with motor)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1 if the woman is living in the household of the poorest quintile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2 if the woman is living in the household of the second quintile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3 if the woman is living in the household of the middle quintile</w:t>
            </w:r>
          </w:p>
          <w:p w:rsidR="00BB041D" w:rsidRPr="00D80C62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4 if the woman is living in the household of the fourth quintile</w:t>
            </w:r>
          </w:p>
          <w:p w:rsidR="00BB041D" w:rsidRPr="006D75A1" w:rsidRDefault="00BB041D" w:rsidP="0024740B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sz w:val="22"/>
              </w:rPr>
            </w:pPr>
            <w:r w:rsidRPr="00D80C62">
              <w:rPr>
                <w:rFonts w:ascii="Times New Roman" w:eastAsia="Malgun Gothic" w:hAnsi="Times New Roman" w:cs="Times New Roman"/>
                <w:sz w:val="22"/>
              </w:rPr>
              <w:t>= 5 if the woman is living in the household of the richest quintile</w:t>
            </w:r>
          </w:p>
        </w:tc>
      </w:tr>
    </w:tbl>
    <w:p w:rsidR="00BB041D" w:rsidRDefault="00BB041D" w:rsidP="00BB041D">
      <w:pPr>
        <w:widowControl/>
        <w:wordWrap/>
        <w:autoSpaceDE/>
        <w:autoSpaceDN/>
        <w:rPr>
          <w:rFonts w:ascii="Times New Roman" w:eastAsia="Malgun Gothic" w:hAnsi="Times New Roman" w:cs="Times New Roman"/>
          <w:sz w:val="24"/>
          <w:szCs w:val="24"/>
        </w:rPr>
      </w:pPr>
    </w:p>
    <w:sectPr w:rsidR="00BB0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62"/>
  </w:docVars>
  <w:rsids>
    <w:rsidRoot w:val="00BB041D"/>
    <w:rsid w:val="00024305"/>
    <w:rsid w:val="0009403B"/>
    <w:rsid w:val="000A5F24"/>
    <w:rsid w:val="00244E4A"/>
    <w:rsid w:val="0024740B"/>
    <w:rsid w:val="00256338"/>
    <w:rsid w:val="002B7B43"/>
    <w:rsid w:val="002D10ED"/>
    <w:rsid w:val="002E7331"/>
    <w:rsid w:val="003C0649"/>
    <w:rsid w:val="003C3184"/>
    <w:rsid w:val="004F42A0"/>
    <w:rsid w:val="005F0140"/>
    <w:rsid w:val="006C1081"/>
    <w:rsid w:val="00763C6D"/>
    <w:rsid w:val="00771076"/>
    <w:rsid w:val="007A350F"/>
    <w:rsid w:val="007C6E08"/>
    <w:rsid w:val="00806A1E"/>
    <w:rsid w:val="00863AF8"/>
    <w:rsid w:val="008D293E"/>
    <w:rsid w:val="00987461"/>
    <w:rsid w:val="00A900DD"/>
    <w:rsid w:val="00A91FD3"/>
    <w:rsid w:val="00AE2A37"/>
    <w:rsid w:val="00B32E7C"/>
    <w:rsid w:val="00B61E70"/>
    <w:rsid w:val="00BA532D"/>
    <w:rsid w:val="00BB041D"/>
    <w:rsid w:val="00BE7157"/>
    <w:rsid w:val="00C044B9"/>
    <w:rsid w:val="00D80C62"/>
    <w:rsid w:val="00D853CD"/>
    <w:rsid w:val="00FB0992"/>
    <w:rsid w:val="00FB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41D"/>
    <w:pPr>
      <w:widowControl w:val="0"/>
      <w:wordWrap w:val="0"/>
      <w:autoSpaceDE w:val="0"/>
      <w:autoSpaceDN w:val="0"/>
      <w:jc w:val="both"/>
    </w:pPr>
    <w:rPr>
      <w:kern w:val="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41D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41D"/>
    <w:pPr>
      <w:widowControl w:val="0"/>
      <w:wordWrap w:val="0"/>
      <w:autoSpaceDE w:val="0"/>
      <w:autoSpaceDN w:val="0"/>
      <w:jc w:val="both"/>
    </w:pPr>
    <w:rPr>
      <w:kern w:val="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41D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413</Words>
  <Characters>2012</Characters>
  <Application>Microsoft Office Word</Application>
  <DocSecurity>0</DocSecurity>
  <Lines>54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Tran</dc:creator>
  <cp:keywords/>
  <dc:description/>
  <cp:lastModifiedBy>MSARDAN</cp:lastModifiedBy>
  <cp:revision>25</cp:revision>
  <dcterms:created xsi:type="dcterms:W3CDTF">2018-03-31T17:59:00Z</dcterms:created>
  <dcterms:modified xsi:type="dcterms:W3CDTF">2018-07-09T13:35:00Z</dcterms:modified>
</cp:coreProperties>
</file>