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086" w:rsidRDefault="00773086"/>
    <w:p w:rsidR="00773086" w:rsidRDefault="00773086"/>
    <w:p w:rsidR="00773086" w:rsidRDefault="00773086"/>
    <w:p w:rsidR="00773086" w:rsidRDefault="00773086"/>
    <w:p w:rsidR="00773086" w:rsidRDefault="00773086"/>
    <w:tbl>
      <w:tblPr>
        <w:tblpPr w:leftFromText="180" w:rightFromText="180" w:vertAnchor="text" w:horzAnchor="margin" w:tblpXSpec="center" w:tblpY="109"/>
        <w:tblW w:w="9736" w:type="dxa"/>
        <w:tblLayout w:type="fixed"/>
        <w:tblLook w:val="04A0" w:firstRow="1" w:lastRow="0" w:firstColumn="1" w:lastColumn="0" w:noHBand="0" w:noVBand="1"/>
      </w:tblPr>
      <w:tblGrid>
        <w:gridCol w:w="2358"/>
        <w:gridCol w:w="864"/>
        <w:gridCol w:w="1116"/>
        <w:gridCol w:w="990"/>
        <w:gridCol w:w="990"/>
        <w:gridCol w:w="990"/>
        <w:gridCol w:w="990"/>
        <w:gridCol w:w="720"/>
        <w:gridCol w:w="718"/>
      </w:tblGrid>
      <w:tr w:rsidR="003A510D" w:rsidRPr="003603E7" w:rsidTr="00CD44B2">
        <w:trPr>
          <w:trHeight w:val="270"/>
        </w:trPr>
        <w:tc>
          <w:tcPr>
            <w:tcW w:w="9736" w:type="dxa"/>
            <w:gridSpan w:val="9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Table</w:t>
            </w:r>
            <w:r w:rsidR="00264FE6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 </w:t>
            </w:r>
            <w:r w:rsidR="00264FE6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S3 </w:t>
            </w:r>
            <w:bookmarkStart w:id="0" w:name="_GoBack"/>
            <w:bookmarkEnd w:id="0"/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. </w:t>
            </w: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 xml:space="preserve">Correlation of alternative biomarkers in reference with CD4+ T-cell count and/or WHO clinical stages, and HIV RNA load categories among ART-naïve study participants </w:t>
            </w:r>
            <w:r w:rsidRPr="003603E7">
              <w:rPr>
                <w:rFonts w:ascii="Times New Roman" w:hAnsi="Times New Roman"/>
                <w:bCs/>
                <w:sz w:val="16"/>
                <w:szCs w:val="16"/>
              </w:rPr>
              <w:t>in Addis Ababa, Ethiopia.</w:t>
            </w:r>
          </w:p>
        </w:tc>
      </w:tr>
      <w:tr w:rsidR="003A510D" w:rsidRPr="003603E7" w:rsidTr="00CD44B2">
        <w:trPr>
          <w:trHeight w:val="114"/>
        </w:trPr>
        <w:tc>
          <w:tcPr>
            <w:tcW w:w="235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Variables</w:t>
            </w:r>
          </w:p>
        </w:tc>
        <w:tc>
          <w:tcPr>
            <w:tcW w:w="737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CD4+ T cell count and/or WHO clinical stages III/IV</w:t>
            </w:r>
          </w:p>
        </w:tc>
      </w:tr>
      <w:tr w:rsidR="003A510D" w:rsidRPr="003603E7" w:rsidTr="00CD44B2">
        <w:trPr>
          <w:trHeight w:val="78"/>
        </w:trPr>
        <w:tc>
          <w:tcPr>
            <w:tcW w:w="235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CD4 </w:t>
            </w: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&lt;200 and/or stages III/IV</w:t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CD4 </w:t>
            </w: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&lt;350 and/or stages III/IV</w:t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CD4 </w:t>
            </w: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&lt;500 and/or stages III/IV</w:t>
            </w:r>
          </w:p>
        </w:tc>
        <w:tc>
          <w:tcPr>
            <w:tcW w:w="1438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Total CD4+ T cell count</w:t>
            </w:r>
          </w:p>
        </w:tc>
      </w:tr>
      <w:tr w:rsidR="003A510D" w:rsidRPr="003603E7" w:rsidTr="00CD44B2">
        <w:trPr>
          <w:trHeight w:val="123"/>
        </w:trPr>
        <w:tc>
          <w:tcPr>
            <w:tcW w:w="235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p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p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p 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p </w:t>
            </w:r>
          </w:p>
        </w:tc>
      </w:tr>
      <w:tr w:rsidR="003A510D" w:rsidRPr="003603E7" w:rsidTr="00CD44B2">
        <w:trPr>
          <w:trHeight w:val="141"/>
        </w:trPr>
        <w:tc>
          <w:tcPr>
            <w:tcW w:w="2358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Cs/>
                <w:kern w:val="24"/>
                <w:sz w:val="16"/>
                <w:szCs w:val="16"/>
              </w:rPr>
              <w:t xml:space="preserve">HIV RNA load  </w:t>
            </w:r>
            <w:r w:rsidRPr="003603E7">
              <w:rPr>
                <w:rFonts w:ascii="Times New Roman" w:hAnsi="Times New Roman"/>
                <w:sz w:val="16"/>
                <w:szCs w:val="16"/>
              </w:rPr>
              <w:t>≥10000</w:t>
            </w:r>
          </w:p>
        </w:tc>
        <w:tc>
          <w:tcPr>
            <w:tcW w:w="864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0.307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0.377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0.362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-0.432</w:t>
            </w:r>
          </w:p>
        </w:tc>
        <w:tc>
          <w:tcPr>
            <w:tcW w:w="718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52"/>
        </w:trPr>
        <w:tc>
          <w:tcPr>
            <w:tcW w:w="235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Cs/>
                <w:kern w:val="24"/>
                <w:sz w:val="16"/>
                <w:szCs w:val="16"/>
              </w:rPr>
              <w:t xml:space="preserve">Anemia </w:t>
            </w:r>
          </w:p>
        </w:tc>
        <w:tc>
          <w:tcPr>
            <w:tcW w:w="864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0.199</w:t>
            </w:r>
          </w:p>
        </w:tc>
        <w:tc>
          <w:tcPr>
            <w:tcW w:w="1116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0.173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0.121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&lt;0.01</w:t>
            </w:r>
          </w:p>
        </w:tc>
        <w:tc>
          <w:tcPr>
            <w:tcW w:w="72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-0.187</w:t>
            </w:r>
          </w:p>
        </w:tc>
        <w:tc>
          <w:tcPr>
            <w:tcW w:w="71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Cs/>
                <w:kern w:val="24"/>
                <w:sz w:val="16"/>
                <w:szCs w:val="16"/>
              </w:rPr>
              <w:t xml:space="preserve">Cholesterol &lt;200 </w:t>
            </w:r>
          </w:p>
        </w:tc>
        <w:tc>
          <w:tcPr>
            <w:tcW w:w="864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0154</w:t>
            </w:r>
          </w:p>
        </w:tc>
        <w:tc>
          <w:tcPr>
            <w:tcW w:w="1116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0.147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0.146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72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-0.146</w:t>
            </w:r>
          </w:p>
        </w:tc>
        <w:tc>
          <w:tcPr>
            <w:tcW w:w="71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 xml:space="preserve">Anemia and/or  cholesterol &lt;200 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0.147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0.144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0.157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-0.146</w:t>
            </w:r>
          </w:p>
        </w:tc>
        <w:tc>
          <w:tcPr>
            <w:tcW w:w="718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Variables</w:t>
            </w:r>
          </w:p>
        </w:tc>
        <w:tc>
          <w:tcPr>
            <w:tcW w:w="737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HIV RNA load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sz w:val="16"/>
                <w:szCs w:val="16"/>
              </w:rPr>
              <w:t>≥10000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sz w:val="16"/>
                <w:szCs w:val="16"/>
              </w:rPr>
              <w:t>≥40000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sz w:val="16"/>
                <w:szCs w:val="16"/>
              </w:rPr>
              <w:t>≥100000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>Total HIV RNA load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kern w:val="24"/>
                <w:sz w:val="16"/>
                <w:szCs w:val="16"/>
              </w:rPr>
              <w:t>p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kern w:val="24"/>
                <w:sz w:val="16"/>
                <w:szCs w:val="16"/>
              </w:rPr>
              <w:t>p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bCs/>
                <w:kern w:val="24"/>
                <w:sz w:val="16"/>
                <w:szCs w:val="16"/>
              </w:rPr>
              <w:t xml:space="preserve">r 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b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kern w:val="24"/>
                <w:sz w:val="16"/>
                <w:szCs w:val="16"/>
              </w:rPr>
              <w:t>p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kern w:val="24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kern w:val="24"/>
                <w:sz w:val="16"/>
                <w:szCs w:val="16"/>
              </w:rPr>
              <w:t xml:space="preserve">CD4 </w:t>
            </w:r>
            <w:r w:rsidRPr="003603E7">
              <w:rPr>
                <w:rFonts w:ascii="Times New Roman" w:hAnsi="Times New Roman"/>
                <w:bCs/>
                <w:kern w:val="24"/>
                <w:sz w:val="16"/>
                <w:szCs w:val="16"/>
              </w:rPr>
              <w:t>&lt;500 and/or stages III/IV</w:t>
            </w:r>
          </w:p>
        </w:tc>
        <w:tc>
          <w:tcPr>
            <w:tcW w:w="864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0.362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0.311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0.319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0.333</w:t>
            </w:r>
          </w:p>
        </w:tc>
        <w:tc>
          <w:tcPr>
            <w:tcW w:w="718" w:type="dxa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Cs/>
                <w:kern w:val="24"/>
                <w:sz w:val="16"/>
                <w:szCs w:val="16"/>
              </w:rPr>
              <w:t>Anemia</w:t>
            </w:r>
          </w:p>
        </w:tc>
        <w:tc>
          <w:tcPr>
            <w:tcW w:w="864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0.179</w:t>
            </w:r>
          </w:p>
        </w:tc>
        <w:tc>
          <w:tcPr>
            <w:tcW w:w="1116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0.196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0.168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72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0.214</w:t>
            </w:r>
          </w:p>
        </w:tc>
        <w:tc>
          <w:tcPr>
            <w:tcW w:w="71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Cs/>
                <w:kern w:val="24"/>
                <w:sz w:val="16"/>
                <w:szCs w:val="16"/>
              </w:rPr>
              <w:t xml:space="preserve">Cholesterol &lt;200 </w:t>
            </w:r>
          </w:p>
        </w:tc>
        <w:tc>
          <w:tcPr>
            <w:tcW w:w="864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0.192</w:t>
            </w:r>
          </w:p>
        </w:tc>
        <w:tc>
          <w:tcPr>
            <w:tcW w:w="1116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0.176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0.120</w:t>
            </w:r>
          </w:p>
        </w:tc>
        <w:tc>
          <w:tcPr>
            <w:tcW w:w="99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&lt;0.01</w:t>
            </w:r>
          </w:p>
        </w:tc>
        <w:tc>
          <w:tcPr>
            <w:tcW w:w="720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0.185</w:t>
            </w:r>
          </w:p>
        </w:tc>
        <w:tc>
          <w:tcPr>
            <w:tcW w:w="718" w:type="dxa"/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80"/>
        </w:trPr>
        <w:tc>
          <w:tcPr>
            <w:tcW w:w="2358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rPr>
                <w:rFonts w:ascii="Times New Roman" w:hAnsi="Times New Roman"/>
                <w:bCs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 xml:space="preserve">Anemia and/or  cholesterol &lt;200 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0.198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0.190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0.115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&lt;0.01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>0.194</w:t>
            </w:r>
          </w:p>
        </w:tc>
        <w:tc>
          <w:tcPr>
            <w:tcW w:w="718" w:type="dxa"/>
            <w:tcBorders>
              <w:bottom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jc w:val="center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  <w:tr w:rsidR="003A510D" w:rsidRPr="003603E7" w:rsidTr="00CD44B2">
        <w:trPr>
          <w:trHeight w:val="348"/>
        </w:trPr>
        <w:tc>
          <w:tcPr>
            <w:tcW w:w="9736" w:type="dxa"/>
            <w:gridSpan w:val="9"/>
            <w:tcBorders>
              <w:top w:val="single" w:sz="4" w:space="0" w:color="auto"/>
            </w:tcBorders>
            <w:vAlign w:val="center"/>
            <w:hideMark/>
          </w:tcPr>
          <w:p w:rsidR="003A510D" w:rsidRPr="003603E7" w:rsidRDefault="003A510D" w:rsidP="00CD44B2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kern w:val="24"/>
                <w:sz w:val="16"/>
                <w:szCs w:val="16"/>
              </w:rPr>
            </w:pPr>
            <w:r w:rsidRPr="003603E7">
              <w:rPr>
                <w:rFonts w:ascii="Times New Roman" w:hAnsi="Times New Roman"/>
                <w:b/>
                <w:kern w:val="24"/>
                <w:sz w:val="16"/>
                <w:szCs w:val="16"/>
              </w:rPr>
              <w:t>Note:</w:t>
            </w:r>
            <w:r w:rsidRPr="003603E7">
              <w:rPr>
                <w:rFonts w:ascii="Times New Roman" w:hAnsi="Times New Roman"/>
                <w:kern w:val="24"/>
                <w:sz w:val="16"/>
                <w:szCs w:val="16"/>
              </w:rPr>
              <w:t xml:space="preserve"> Classification of Correlation Co-efficient (r):- Up to 0.1: Trivial Correlation; 0.1-0.3: Small Correlation; 0.3-0.5: Moderate Correlation; 0.5-0.7: Large Correlation 0.7-0.9: very Large Correlation; 0.9- 1.0: Nearly Perfect correlation; 1: Perfect correlation. </w:t>
            </w:r>
          </w:p>
        </w:tc>
      </w:tr>
    </w:tbl>
    <w:p w:rsidR="003A510D" w:rsidRPr="003603E7" w:rsidRDefault="003A510D" w:rsidP="003A510D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b/>
          <w:i/>
          <w:kern w:val="24"/>
          <w:sz w:val="24"/>
          <w:szCs w:val="24"/>
        </w:rPr>
      </w:pPr>
    </w:p>
    <w:p w:rsidR="00CF2D78" w:rsidRDefault="00CF2D78"/>
    <w:sectPr w:rsidR="00CF2D78" w:rsidSect="00CF2D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A510D"/>
    <w:rsid w:val="00264FE6"/>
    <w:rsid w:val="00280CFA"/>
    <w:rsid w:val="003A510D"/>
    <w:rsid w:val="004F5722"/>
    <w:rsid w:val="00773086"/>
    <w:rsid w:val="00CF2D78"/>
    <w:rsid w:val="00D7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10D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LAMIRA</cp:lastModifiedBy>
  <cp:revision>5</cp:revision>
  <dcterms:created xsi:type="dcterms:W3CDTF">2018-06-12T04:48:00Z</dcterms:created>
  <dcterms:modified xsi:type="dcterms:W3CDTF">2018-07-18T06:07:00Z</dcterms:modified>
</cp:coreProperties>
</file>