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F6C417" w14:textId="44F5D228" w:rsidR="00DA04C0" w:rsidRPr="0014665E" w:rsidRDefault="0014665E" w:rsidP="0014665E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</w:rPr>
        <w:t xml:space="preserve">Table </w:t>
      </w:r>
      <w:r w:rsidR="00CA0035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1</w:t>
      </w:r>
      <w:r w:rsidR="00DA04C0" w:rsidRPr="0014665E">
        <w:rPr>
          <w:rFonts w:ascii="Times New Roman" w:hAnsi="Times New Roman" w:cs="Times New Roman"/>
          <w:b/>
        </w:rPr>
        <w:t xml:space="preserve"> </w:t>
      </w:r>
      <w:proofErr w:type="gramStart"/>
      <w:r w:rsidR="00DA04C0" w:rsidRPr="0014665E">
        <w:rPr>
          <w:rFonts w:ascii="Times New Roman" w:hAnsi="Times New Roman" w:cs="Times New Roman"/>
        </w:rPr>
        <w:t>The</w:t>
      </w:r>
      <w:proofErr w:type="gramEnd"/>
      <w:r w:rsidR="00DA04C0" w:rsidRPr="0014665E">
        <w:rPr>
          <w:rFonts w:ascii="Times New Roman" w:hAnsi="Times New Roman" w:cs="Times New Roman"/>
        </w:rPr>
        <w:t xml:space="preserve"> 14 Mindset Recommendations for Reporting Suicide</w:t>
      </w:r>
    </w:p>
    <w:bookmarkEnd w:id="0"/>
    <w:p w14:paraId="45CD8CEF" w14:textId="77777777" w:rsidR="00DA04C0" w:rsidRPr="0014665E" w:rsidRDefault="00DA04C0" w:rsidP="0014665E">
      <w:pPr>
        <w:rPr>
          <w:rFonts w:ascii="Times New Roman" w:hAnsi="Times New Roman" w:cs="Times New Roman"/>
        </w:rPr>
      </w:pPr>
    </w:p>
    <w:tbl>
      <w:tblPr>
        <w:tblW w:w="9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3"/>
      </w:tblGrid>
      <w:tr w:rsidR="00DA04C0" w:rsidRPr="0014665E" w14:paraId="35E64F6A" w14:textId="77777777" w:rsidTr="0014665E">
        <w:trPr>
          <w:trHeight w:val="484"/>
          <w:jc w:val="center"/>
        </w:trPr>
        <w:tc>
          <w:tcPr>
            <w:tcW w:w="9263" w:type="dxa"/>
            <w:noWrap/>
            <w:vAlign w:val="center"/>
            <w:hideMark/>
          </w:tcPr>
          <w:p w14:paraId="79A479EC" w14:textId="77777777" w:rsidR="00DA04C0" w:rsidRPr="0014665E" w:rsidRDefault="00DA04C0" w:rsidP="001466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665E">
              <w:rPr>
                <w:rFonts w:ascii="Times New Roman" w:hAnsi="Times New Roman" w:cs="Times New Roman"/>
                <w:b/>
              </w:rPr>
              <w:t>Recommendation</w:t>
            </w:r>
          </w:p>
        </w:tc>
      </w:tr>
    </w:tbl>
    <w:tbl>
      <w:tblPr>
        <w:tblStyle w:val="TableGrid"/>
        <w:tblW w:w="9263" w:type="dxa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263"/>
      </w:tblGrid>
      <w:tr w:rsidR="00DA04C0" w:rsidRPr="0014665E" w14:paraId="05096A74" w14:textId="77777777" w:rsidTr="006B08F9">
        <w:trPr>
          <w:trHeight w:val="397"/>
          <w:jc w:val="center"/>
        </w:trPr>
        <w:tc>
          <w:tcPr>
            <w:tcW w:w="9263" w:type="dxa"/>
            <w:noWrap/>
          </w:tcPr>
          <w:p w14:paraId="5F8178F0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 consider whether this particular death is newsworthy.</w:t>
            </w:r>
          </w:p>
        </w:tc>
      </w:tr>
      <w:tr w:rsidR="00DA04C0" w:rsidRPr="0014665E" w14:paraId="6B350A4A" w14:textId="77777777" w:rsidTr="006B08F9">
        <w:trPr>
          <w:trHeight w:val="397"/>
          <w:jc w:val="center"/>
        </w:trPr>
        <w:tc>
          <w:tcPr>
            <w:tcW w:w="9263" w:type="dxa"/>
            <w:noWrap/>
            <w:hideMark/>
          </w:tcPr>
          <w:p w14:paraId="5545A0C2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 look for links to broader social issues.</w:t>
            </w:r>
            <w:r w:rsidRPr="0014665E">
              <w:rPr>
                <w:rFonts w:ascii="Times New Roman" w:hAnsi="Times New Roman" w:cs="Times New Roman"/>
              </w:rPr>
              <w:softHyphen/>
            </w:r>
            <w:r w:rsidRPr="0014665E">
              <w:rPr>
                <w:rFonts w:ascii="Times New Roman" w:hAnsi="Times New Roman" w:cs="Times New Roman"/>
              </w:rPr>
              <w:softHyphen/>
            </w:r>
            <w:r w:rsidRPr="0014665E">
              <w:rPr>
                <w:rFonts w:ascii="Times New Roman" w:hAnsi="Times New Roman" w:cs="Times New Roman"/>
              </w:rPr>
              <w:softHyphen/>
            </w:r>
            <w:r w:rsidRPr="0014665E">
              <w:rPr>
                <w:rFonts w:ascii="Times New Roman" w:hAnsi="Times New Roman" w:cs="Times New Roman"/>
              </w:rPr>
              <w:softHyphen/>
            </w:r>
          </w:p>
        </w:tc>
      </w:tr>
      <w:tr w:rsidR="00DA04C0" w:rsidRPr="0014665E" w14:paraId="5094DA7F" w14:textId="77777777" w:rsidTr="0014665E">
        <w:trPr>
          <w:trHeight w:val="448"/>
          <w:jc w:val="center"/>
        </w:trPr>
        <w:tc>
          <w:tcPr>
            <w:tcW w:w="9263" w:type="dxa"/>
            <w:noWrap/>
            <w:hideMark/>
          </w:tcPr>
          <w:p w14:paraId="6CD8B496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 respect the privacy and grief of family or other ‘survivors’.</w:t>
            </w:r>
          </w:p>
        </w:tc>
      </w:tr>
      <w:tr w:rsidR="00DA04C0" w:rsidRPr="0014665E" w14:paraId="048A86A1" w14:textId="77777777" w:rsidTr="006B08F9">
        <w:trPr>
          <w:trHeight w:val="397"/>
          <w:jc w:val="center"/>
        </w:trPr>
        <w:tc>
          <w:tcPr>
            <w:tcW w:w="9263" w:type="dxa"/>
            <w:noWrap/>
            <w:hideMark/>
          </w:tcPr>
          <w:p w14:paraId="798F2BA6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 include reference to their suffering.</w:t>
            </w:r>
          </w:p>
        </w:tc>
      </w:tr>
      <w:tr w:rsidR="00DA04C0" w:rsidRPr="0014665E" w14:paraId="3EDAAF4D" w14:textId="77777777" w:rsidTr="006B08F9">
        <w:trPr>
          <w:trHeight w:val="397"/>
          <w:jc w:val="center"/>
        </w:trPr>
        <w:tc>
          <w:tcPr>
            <w:tcW w:w="9263" w:type="dxa"/>
            <w:noWrap/>
            <w:hideMark/>
          </w:tcPr>
          <w:p w14:paraId="515B83C3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 tell others considering suicide how they can get help.</w:t>
            </w:r>
          </w:p>
        </w:tc>
      </w:tr>
      <w:tr w:rsidR="00DA04C0" w:rsidRPr="0014665E" w14:paraId="6C3C424A" w14:textId="77777777" w:rsidTr="006B08F9">
        <w:trPr>
          <w:trHeight w:val="397"/>
          <w:jc w:val="center"/>
        </w:trPr>
        <w:tc>
          <w:tcPr>
            <w:tcW w:w="9263" w:type="dxa"/>
            <w:noWrap/>
          </w:tcPr>
          <w:p w14:paraId="6683E02E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Don’t shy away from writing about suicide. The more taboo, the more the myth.</w:t>
            </w:r>
          </w:p>
        </w:tc>
      </w:tr>
      <w:tr w:rsidR="00DA04C0" w:rsidRPr="0014665E" w14:paraId="38FCF081" w14:textId="77777777" w:rsidTr="006B08F9">
        <w:trPr>
          <w:trHeight w:val="397"/>
          <w:jc w:val="center"/>
        </w:trPr>
        <w:tc>
          <w:tcPr>
            <w:tcW w:w="9263" w:type="dxa"/>
            <w:noWrap/>
            <w:hideMark/>
          </w:tcPr>
          <w:p w14:paraId="5EC7FB34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 xml:space="preserve">Don’t romanticize the act. </w:t>
            </w:r>
          </w:p>
        </w:tc>
      </w:tr>
      <w:tr w:rsidR="00DA04C0" w:rsidRPr="0014665E" w14:paraId="45CBAFB6" w14:textId="77777777" w:rsidTr="006B08F9">
        <w:trPr>
          <w:trHeight w:val="397"/>
          <w:jc w:val="center"/>
        </w:trPr>
        <w:tc>
          <w:tcPr>
            <w:tcW w:w="9263" w:type="dxa"/>
            <w:noWrap/>
            <w:hideMark/>
          </w:tcPr>
          <w:p w14:paraId="5AA34CF1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Don’t jump to conclusions. The reasons why people kill themselves are usually complex.</w:t>
            </w:r>
          </w:p>
        </w:tc>
      </w:tr>
      <w:tr w:rsidR="00DA04C0" w:rsidRPr="0014665E" w14:paraId="2E107510" w14:textId="77777777" w:rsidTr="006B08F9">
        <w:trPr>
          <w:trHeight w:val="397"/>
          <w:jc w:val="center"/>
        </w:trPr>
        <w:tc>
          <w:tcPr>
            <w:tcW w:w="9263" w:type="dxa"/>
            <w:noWrap/>
          </w:tcPr>
          <w:p w14:paraId="3220C41E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Don’t suggest nothing can be done because we usually never know why people kill themselves.</w:t>
            </w:r>
          </w:p>
        </w:tc>
      </w:tr>
      <w:tr w:rsidR="00DA04C0" w:rsidRPr="0014665E" w14:paraId="4BD2E0D2" w14:textId="77777777" w:rsidTr="006B08F9">
        <w:trPr>
          <w:trHeight w:val="397"/>
          <w:jc w:val="center"/>
        </w:trPr>
        <w:tc>
          <w:tcPr>
            <w:tcW w:w="9263" w:type="dxa"/>
            <w:noWrap/>
          </w:tcPr>
          <w:p w14:paraId="4867A933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Don’t go into details about the method used.</w:t>
            </w:r>
          </w:p>
        </w:tc>
      </w:tr>
      <w:tr w:rsidR="00DA04C0" w:rsidRPr="0014665E" w14:paraId="640D6765" w14:textId="77777777" w:rsidTr="006B08F9">
        <w:trPr>
          <w:trHeight w:val="397"/>
          <w:jc w:val="center"/>
        </w:trPr>
        <w:tc>
          <w:tcPr>
            <w:tcW w:w="9263" w:type="dxa"/>
            <w:noWrap/>
          </w:tcPr>
          <w:p w14:paraId="7407A337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 use plain words. Say the person ‘died by suicide’, ‘killed herself’, or ‘took his own life.’</w:t>
            </w:r>
          </w:p>
        </w:tc>
      </w:tr>
      <w:tr w:rsidR="00DA04C0" w:rsidRPr="0014665E" w14:paraId="6A6105C3" w14:textId="77777777" w:rsidTr="006B08F9">
        <w:trPr>
          <w:trHeight w:val="397"/>
          <w:jc w:val="center"/>
        </w:trPr>
        <w:tc>
          <w:tcPr>
            <w:tcW w:w="9263" w:type="dxa"/>
            <w:noWrap/>
          </w:tcPr>
          <w:p w14:paraId="7144759D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Don’t say the person ‘committed suicide’. It’s an outdated phrase implying illegality or moral failing.</w:t>
            </w:r>
          </w:p>
        </w:tc>
      </w:tr>
      <w:tr w:rsidR="00DA04C0" w:rsidRPr="0014665E" w14:paraId="1E8E271F" w14:textId="77777777" w:rsidTr="006B08F9">
        <w:trPr>
          <w:trHeight w:val="397"/>
          <w:jc w:val="center"/>
        </w:trPr>
        <w:tc>
          <w:tcPr>
            <w:tcW w:w="9263" w:type="dxa"/>
            <w:noWrap/>
          </w:tcPr>
          <w:p w14:paraId="27270240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Don’t call suicide ‘successful’ or attempted suicide ‘unsuccessful.’ Death is not a matter of success.</w:t>
            </w:r>
          </w:p>
        </w:tc>
      </w:tr>
      <w:tr w:rsidR="00DA04C0" w:rsidRPr="007C5B24" w14:paraId="0DD970BB" w14:textId="77777777" w:rsidTr="006B08F9">
        <w:trPr>
          <w:trHeight w:val="397"/>
          <w:jc w:val="center"/>
        </w:trPr>
        <w:tc>
          <w:tcPr>
            <w:tcW w:w="9263" w:type="dxa"/>
            <w:noWrap/>
          </w:tcPr>
          <w:p w14:paraId="4E7F89E2" w14:textId="77777777" w:rsidR="00DA04C0" w:rsidRPr="0014665E" w:rsidRDefault="00DA04C0" w:rsidP="0014665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4665E">
              <w:rPr>
                <w:rFonts w:ascii="Times New Roman" w:hAnsi="Times New Roman" w:cs="Times New Roman"/>
              </w:rPr>
              <w:t>Don’t use or repeat pejorative phrases such as ‘the coward’s way out’ which reinforce myths and stigma.</w:t>
            </w:r>
          </w:p>
        </w:tc>
      </w:tr>
    </w:tbl>
    <w:p w14:paraId="79E95BF7" w14:textId="77777777" w:rsidR="00A34811" w:rsidRDefault="00A34811"/>
    <w:sectPr w:rsidR="00A348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A5F4B"/>
    <w:multiLevelType w:val="hybridMultilevel"/>
    <w:tmpl w:val="8D30D3F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"/>
  </w:docVars>
  <w:rsids>
    <w:rsidRoot w:val="00DA04C0"/>
    <w:rsid w:val="0014665E"/>
    <w:rsid w:val="00A34811"/>
    <w:rsid w:val="00CA0035"/>
    <w:rsid w:val="00DA04C0"/>
    <w:rsid w:val="00F7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DC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4C0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04C0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04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04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4C0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4C0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04C0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04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04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4C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929</Characters>
  <Application>Microsoft Office Word</Application>
  <DocSecurity>0</DocSecurity>
  <Lines>22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Edward Whitley, Dr</dc:creator>
  <cp:keywords/>
  <dc:description/>
  <cp:lastModifiedBy>TBANIGA</cp:lastModifiedBy>
  <cp:revision>3</cp:revision>
  <dcterms:created xsi:type="dcterms:W3CDTF">2018-06-16T16:05:00Z</dcterms:created>
  <dcterms:modified xsi:type="dcterms:W3CDTF">2018-08-24T09:37:00Z</dcterms:modified>
</cp:coreProperties>
</file>