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E7A" w:rsidRDefault="00DB0E7A"/>
    <w:p w:rsidR="00DB0E7A" w:rsidRPr="008359CC" w:rsidRDefault="00DB0E7A" w:rsidP="00DB0E7A">
      <w:pPr>
        <w:autoSpaceDE w:val="0"/>
        <w:autoSpaceDN w:val="0"/>
        <w:adjustRightInd w:val="0"/>
        <w:spacing w:line="240" w:lineRule="auto"/>
        <w:rPr>
          <w:rFonts w:ascii="Calibri" w:hAnsi="Calibri"/>
          <w:b/>
          <w:bCs/>
          <w:sz w:val="24"/>
          <w:szCs w:val="24"/>
          <w:lang w:val="en-US"/>
        </w:rPr>
      </w:pPr>
      <w:r w:rsidRPr="008359CC">
        <w:rPr>
          <w:rFonts w:ascii="Calibri" w:hAnsi="Calibri"/>
          <w:b/>
          <w:bCs/>
          <w:sz w:val="24"/>
          <w:szCs w:val="24"/>
          <w:lang w:val="en-US"/>
        </w:rPr>
        <w:t xml:space="preserve">Quality assessment of </w:t>
      </w:r>
      <w:r>
        <w:rPr>
          <w:rFonts w:ascii="Calibri" w:hAnsi="Calibri"/>
          <w:b/>
          <w:bCs/>
          <w:sz w:val="24"/>
          <w:szCs w:val="24"/>
          <w:lang w:val="en-US"/>
        </w:rPr>
        <w:t>Randomized Controlled Trials</w:t>
      </w:r>
    </w:p>
    <w:p w:rsidR="00DB0E7A" w:rsidRPr="00DB0E7A" w:rsidRDefault="00DB0E7A" w:rsidP="00DB0E7A">
      <w:pPr>
        <w:autoSpaceDE w:val="0"/>
        <w:autoSpaceDN w:val="0"/>
        <w:adjustRightInd w:val="0"/>
        <w:spacing w:line="240" w:lineRule="auto"/>
        <w:rPr>
          <w:lang w:val="en-US"/>
        </w:rPr>
      </w:pPr>
      <w:r w:rsidRPr="003B5E46">
        <w:rPr>
          <w:lang w:val="en-US"/>
        </w:rPr>
        <w:t xml:space="preserve">Adapted from </w:t>
      </w:r>
      <w:r w:rsidRPr="003B5E46">
        <w:rPr>
          <w:rFonts w:eastAsia="Times New Roman" w:cs="Times New Roman"/>
          <w:i/>
          <w:iCs/>
          <w:lang w:val="en-US" w:eastAsia="zh-CN"/>
        </w:rPr>
        <w:t xml:space="preserve">Reeves BC, Deeks JJ, Higgins JP. 13 Including non-randomized studies. Cochrane Handb Syst Rev Interv. </w:t>
      </w:r>
      <w:proofErr w:type="gramStart"/>
      <w:r w:rsidRPr="003B5E46">
        <w:rPr>
          <w:rFonts w:eastAsia="Times New Roman" w:cs="Times New Roman"/>
          <w:i/>
          <w:iCs/>
          <w:lang w:val="en-US" w:eastAsia="zh-CN"/>
        </w:rPr>
        <w:t>2008;1:391</w:t>
      </w:r>
      <w:proofErr w:type="gramEnd"/>
      <w:r w:rsidRPr="003B5E46">
        <w:rPr>
          <w:rFonts w:eastAsia="Times New Roman" w:cs="Times New Roman"/>
          <w:i/>
          <w:iCs/>
          <w:lang w:val="en-US" w:eastAsia="zh-CN"/>
        </w:rPr>
        <w:t>.</w:t>
      </w:r>
    </w:p>
    <w:p w:rsidR="00DB0E7A" w:rsidRPr="00DB0E7A" w:rsidRDefault="00DB0E7A">
      <w:pPr>
        <w:rPr>
          <w:lang w:val="en-US"/>
        </w:rPr>
      </w:pPr>
    </w:p>
    <w:p w:rsidR="00DB0E7A" w:rsidRPr="00DB0E7A" w:rsidRDefault="00DB0E7A">
      <w:pPr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64"/>
        <w:gridCol w:w="624"/>
        <w:gridCol w:w="1139"/>
        <w:gridCol w:w="769"/>
        <w:gridCol w:w="770"/>
        <w:gridCol w:w="770"/>
        <w:gridCol w:w="768"/>
        <w:gridCol w:w="770"/>
        <w:gridCol w:w="770"/>
      </w:tblGrid>
      <w:tr w:rsidR="00DB0E7A" w:rsidRPr="00065328" w:rsidTr="003B5E46">
        <w:trPr>
          <w:cantSplit/>
          <w:trHeight w:val="2256"/>
          <w:jc w:val="center"/>
        </w:trPr>
        <w:tc>
          <w:tcPr>
            <w:tcW w:w="782" w:type="pct"/>
            <w:shd w:val="clear" w:color="auto" w:fill="auto"/>
            <w:textDirection w:val="btLr"/>
            <w:vAlign w:val="center"/>
            <w:hideMark/>
          </w:tcPr>
          <w:p w:rsidR="00DB0E7A" w:rsidRPr="00DB0E7A" w:rsidRDefault="00DB0E7A" w:rsidP="003B5E46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DB0E7A">
              <w:rPr>
                <w:rFonts w:eastAsia="Times New Roman" w:cs="Times New Roman"/>
                <w:b/>
                <w:bCs/>
                <w:sz w:val="20"/>
                <w:szCs w:val="20"/>
                <w:lang w:val="en-US" w:eastAsia="de-DE"/>
              </w:rPr>
              <w:t>Author</w:t>
            </w:r>
          </w:p>
        </w:tc>
        <w:tc>
          <w:tcPr>
            <w:tcW w:w="697" w:type="pct"/>
            <w:textDirection w:val="btLr"/>
            <w:vAlign w:val="center"/>
          </w:tcPr>
          <w:p w:rsidR="00DB0E7A" w:rsidRPr="00DB0E7A" w:rsidRDefault="00DB0E7A" w:rsidP="003B5E46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Year</w:t>
            </w:r>
          </w:p>
        </w:tc>
        <w:tc>
          <w:tcPr>
            <w:tcW w:w="344" w:type="pct"/>
            <w:textDirection w:val="btLr"/>
          </w:tcPr>
          <w:p w:rsidR="00DB0E7A" w:rsidRPr="00DB0E7A" w:rsidRDefault="00DB0E7A" w:rsidP="00DB0E7A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Response Rate</w:t>
            </w:r>
          </w:p>
        </w:tc>
        <w:tc>
          <w:tcPr>
            <w:tcW w:w="628" w:type="pct"/>
            <w:textDirection w:val="btLr"/>
          </w:tcPr>
          <w:p w:rsidR="00DB0E7A" w:rsidRPr="00DB0E7A" w:rsidRDefault="00DB0E7A" w:rsidP="00DB0E7A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Sampling technique</w:t>
            </w:r>
          </w:p>
        </w:tc>
        <w:tc>
          <w:tcPr>
            <w:tcW w:w="424" w:type="pct"/>
            <w:shd w:val="clear" w:color="auto" w:fill="auto"/>
            <w:textDirection w:val="btLr"/>
            <w:hideMark/>
          </w:tcPr>
          <w:p w:rsidR="00DB0E7A" w:rsidRPr="00DB0E7A" w:rsidRDefault="00DB0E7A" w:rsidP="00DB0E7A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sequence generation</w:t>
            </w:r>
          </w:p>
        </w:tc>
        <w:tc>
          <w:tcPr>
            <w:tcW w:w="425" w:type="pct"/>
            <w:shd w:val="clear" w:color="auto" w:fill="auto"/>
            <w:textDirection w:val="btLr"/>
            <w:hideMark/>
          </w:tcPr>
          <w:p w:rsidR="00DB0E7A" w:rsidRPr="00DB0E7A" w:rsidRDefault="00DB0E7A" w:rsidP="00DB0E7A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allocation sequence concealment</w:t>
            </w:r>
          </w:p>
        </w:tc>
        <w:tc>
          <w:tcPr>
            <w:tcW w:w="425" w:type="pct"/>
            <w:shd w:val="clear" w:color="auto" w:fill="auto"/>
            <w:textDirection w:val="btLr"/>
            <w:hideMark/>
          </w:tcPr>
          <w:p w:rsidR="00DB0E7A" w:rsidRPr="00DB0E7A" w:rsidRDefault="00DB0E7A" w:rsidP="00DB0E7A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DB0E7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blinding of participants and personal </w:t>
            </w:r>
          </w:p>
        </w:tc>
        <w:tc>
          <w:tcPr>
            <w:tcW w:w="424" w:type="pct"/>
            <w:shd w:val="clear" w:color="auto" w:fill="auto"/>
            <w:textDirection w:val="btLr"/>
            <w:hideMark/>
          </w:tcPr>
          <w:p w:rsidR="00DB0E7A" w:rsidRPr="00DB0E7A" w:rsidRDefault="00DB0E7A" w:rsidP="00DB0E7A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incomplete outcome data</w:t>
            </w:r>
          </w:p>
        </w:tc>
        <w:tc>
          <w:tcPr>
            <w:tcW w:w="425" w:type="pct"/>
            <w:shd w:val="clear" w:color="auto" w:fill="auto"/>
            <w:textDirection w:val="btLr"/>
            <w:hideMark/>
          </w:tcPr>
          <w:p w:rsidR="00DB0E7A" w:rsidRPr="00DB0E7A" w:rsidRDefault="00DB0E7A" w:rsidP="00DB0E7A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selective outcome reporting</w:t>
            </w:r>
          </w:p>
        </w:tc>
        <w:tc>
          <w:tcPr>
            <w:tcW w:w="425" w:type="pct"/>
            <w:shd w:val="clear" w:color="auto" w:fill="auto"/>
            <w:textDirection w:val="btLr"/>
            <w:hideMark/>
          </w:tcPr>
          <w:p w:rsidR="00DB0E7A" w:rsidRPr="00DB0E7A" w:rsidRDefault="00DB0E7A" w:rsidP="00DB0E7A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other bias</w:t>
            </w:r>
          </w:p>
        </w:tc>
      </w:tr>
      <w:tr w:rsidR="00DB0E7A" w:rsidRPr="00065328" w:rsidTr="00DB0E7A">
        <w:trPr>
          <w:trHeight w:val="315"/>
          <w:jc w:val="center"/>
        </w:trPr>
        <w:tc>
          <w:tcPr>
            <w:tcW w:w="782" w:type="pct"/>
            <w:shd w:val="clear" w:color="auto" w:fill="auto"/>
            <w:noWrap/>
            <w:vAlign w:val="center"/>
            <w:hideMark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Mash</w:t>
            </w:r>
          </w:p>
        </w:tc>
        <w:tc>
          <w:tcPr>
            <w:tcW w:w="697" w:type="pct"/>
            <w:vAlign w:val="center"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2014</w:t>
            </w:r>
          </w:p>
        </w:tc>
        <w:tc>
          <w:tcPr>
            <w:tcW w:w="344" w:type="pct"/>
            <w:vAlign w:val="center"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628" w:type="pct"/>
            <w:vAlign w:val="center"/>
          </w:tcPr>
          <w:p w:rsidR="00DB0E7A" w:rsidRPr="00DB0E7A" w:rsidRDefault="00DB0E7A" w:rsidP="00DB0E7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consecutive</w:t>
            </w:r>
            <w:r w:rsidRPr="00DB0E7A">
              <w:rPr>
                <w:color w:val="000000"/>
                <w:sz w:val="20"/>
                <w:szCs w:val="20"/>
              </w:rPr>
              <w:t xml:space="preserve"> sampling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+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+/-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+/-</w:t>
            </w:r>
          </w:p>
        </w:tc>
      </w:tr>
      <w:tr w:rsidR="00DB0E7A" w:rsidRPr="00065328" w:rsidTr="00DB0E7A">
        <w:trPr>
          <w:trHeight w:val="315"/>
          <w:jc w:val="center"/>
        </w:trPr>
        <w:tc>
          <w:tcPr>
            <w:tcW w:w="782" w:type="pct"/>
            <w:shd w:val="clear" w:color="auto" w:fill="auto"/>
            <w:noWrap/>
            <w:vAlign w:val="center"/>
            <w:hideMark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Muchiri</w:t>
            </w:r>
          </w:p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697" w:type="pct"/>
            <w:vAlign w:val="center"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2015 and 2016</w:t>
            </w:r>
          </w:p>
        </w:tc>
        <w:tc>
          <w:tcPr>
            <w:tcW w:w="344" w:type="pct"/>
            <w:vAlign w:val="center"/>
          </w:tcPr>
          <w:p w:rsidR="00DB0E7A" w:rsidRPr="00DB0E7A" w:rsidRDefault="00DB0E7A" w:rsidP="00DB0E7A">
            <w:pPr>
              <w:jc w:val="center"/>
              <w:rPr>
                <w:color w:val="000000"/>
                <w:sz w:val="20"/>
                <w:szCs w:val="20"/>
              </w:rPr>
            </w:pPr>
            <w:r w:rsidRPr="00DB0E7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28" w:type="pct"/>
            <w:vAlign w:val="center"/>
          </w:tcPr>
          <w:p w:rsidR="00DB0E7A" w:rsidRPr="00DB0E7A" w:rsidRDefault="00DB0E7A" w:rsidP="00DB0E7A">
            <w:pPr>
              <w:jc w:val="center"/>
              <w:rPr>
                <w:color w:val="000000"/>
                <w:sz w:val="20"/>
                <w:szCs w:val="20"/>
              </w:rPr>
            </w:pPr>
            <w:r w:rsidRPr="00DB0E7A">
              <w:rPr>
                <w:color w:val="000000"/>
                <w:sz w:val="20"/>
                <w:szCs w:val="20"/>
              </w:rPr>
              <w:t>convenient sampling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+/-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</w:p>
        </w:tc>
      </w:tr>
      <w:tr w:rsidR="00DB0E7A" w:rsidRPr="00065328" w:rsidTr="00DB0E7A">
        <w:trPr>
          <w:trHeight w:val="315"/>
          <w:jc w:val="center"/>
        </w:trPr>
        <w:tc>
          <w:tcPr>
            <w:tcW w:w="782" w:type="pct"/>
            <w:shd w:val="clear" w:color="auto" w:fill="auto"/>
            <w:noWrap/>
            <w:vAlign w:val="center"/>
            <w:hideMark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Van de doest</w:t>
            </w:r>
          </w:p>
        </w:tc>
        <w:tc>
          <w:tcPr>
            <w:tcW w:w="697" w:type="pct"/>
            <w:vAlign w:val="center"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2013</w:t>
            </w:r>
          </w:p>
        </w:tc>
        <w:tc>
          <w:tcPr>
            <w:tcW w:w="344" w:type="pct"/>
            <w:vAlign w:val="center"/>
          </w:tcPr>
          <w:p w:rsidR="00DB0E7A" w:rsidRPr="00DB0E7A" w:rsidRDefault="00DB0E7A" w:rsidP="00DB0E7A">
            <w:pPr>
              <w:jc w:val="center"/>
              <w:rPr>
                <w:color w:val="000000"/>
                <w:sz w:val="20"/>
                <w:szCs w:val="20"/>
              </w:rPr>
            </w:pPr>
            <w:r w:rsidRPr="00DB0E7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28" w:type="pct"/>
            <w:vAlign w:val="center"/>
          </w:tcPr>
          <w:p w:rsidR="00DB0E7A" w:rsidRPr="00DB0E7A" w:rsidRDefault="00DB0E7A" w:rsidP="00DB0E7A">
            <w:pPr>
              <w:jc w:val="center"/>
              <w:rPr>
                <w:color w:val="000000"/>
                <w:sz w:val="20"/>
                <w:szCs w:val="20"/>
              </w:rPr>
            </w:pPr>
            <w:r w:rsidRPr="00DB0E7A">
              <w:rPr>
                <w:color w:val="000000"/>
                <w:sz w:val="20"/>
                <w:szCs w:val="20"/>
              </w:rPr>
              <w:t>snowball sampling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+/-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:rsidR="00DB0E7A" w:rsidRPr="00DB0E7A" w:rsidRDefault="00DB0E7A" w:rsidP="00DB0E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DB0E7A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</w:p>
        </w:tc>
      </w:tr>
    </w:tbl>
    <w:p w:rsidR="00E26909" w:rsidRPr="00A17558" w:rsidRDefault="00E26909" w:rsidP="00E26909">
      <w:pPr>
        <w:rPr>
          <w:i/>
          <w:iCs/>
          <w:lang w:val="en-US"/>
        </w:rPr>
      </w:pPr>
      <w:r>
        <w:rPr>
          <w:i/>
          <w:iCs/>
          <w:lang w:val="en-US"/>
        </w:rPr>
        <w:t>(</w:t>
      </w:r>
      <w:r w:rsidRPr="00A17558">
        <w:rPr>
          <w:i/>
          <w:iCs/>
          <w:lang w:val="en-US"/>
        </w:rPr>
        <w:t>+</w:t>
      </w:r>
      <w:r>
        <w:rPr>
          <w:i/>
          <w:iCs/>
          <w:lang w:val="en-US"/>
        </w:rPr>
        <w:t>): low risk of bias;  (</w:t>
      </w:r>
      <w:r w:rsidRPr="00A17558">
        <w:rPr>
          <w:i/>
          <w:iCs/>
          <w:lang w:val="en-US"/>
        </w:rPr>
        <w:t>+/-</w:t>
      </w:r>
      <w:r>
        <w:rPr>
          <w:i/>
          <w:iCs/>
          <w:lang w:val="en-US"/>
        </w:rPr>
        <w:t>): unclear</w:t>
      </w:r>
      <w:r w:rsidRPr="00A17558">
        <w:rPr>
          <w:i/>
          <w:iCs/>
          <w:lang w:val="en-US"/>
        </w:rPr>
        <w:t xml:space="preserve"> risk of bias</w:t>
      </w:r>
      <w:r>
        <w:rPr>
          <w:i/>
          <w:iCs/>
          <w:lang w:val="en-US"/>
        </w:rPr>
        <w:t>; (</w:t>
      </w:r>
      <w:r w:rsidRPr="00A17558">
        <w:rPr>
          <w:i/>
          <w:iCs/>
          <w:lang w:val="en-US"/>
        </w:rPr>
        <w:t>-</w:t>
      </w:r>
      <w:r>
        <w:rPr>
          <w:i/>
          <w:iCs/>
          <w:lang w:val="en-US"/>
        </w:rPr>
        <w:t xml:space="preserve">): </w:t>
      </w:r>
      <w:r w:rsidRPr="00A17558">
        <w:rPr>
          <w:i/>
          <w:iCs/>
          <w:lang w:val="en-US"/>
        </w:rPr>
        <w:t>high risk of bias</w:t>
      </w:r>
    </w:p>
    <w:p w:rsidR="00492359" w:rsidRDefault="00492359">
      <w:bookmarkStart w:id="0" w:name="_GoBack"/>
      <w:bookmarkEnd w:id="0"/>
    </w:p>
    <w:sectPr w:rsidR="00492359" w:rsidSect="00DB0E7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328"/>
    <w:rsid w:val="00065328"/>
    <w:rsid w:val="003B5E46"/>
    <w:rsid w:val="00490B19"/>
    <w:rsid w:val="00492359"/>
    <w:rsid w:val="00760109"/>
    <w:rsid w:val="00B54355"/>
    <w:rsid w:val="00DB0E7A"/>
    <w:rsid w:val="00E2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5EE97-6DA0-4005-94EF-91D43AFB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TMLZitat">
    <w:name w:val="HTML Cite"/>
    <w:basedOn w:val="Absatz-Standardschriftart"/>
    <w:uiPriority w:val="99"/>
    <w:semiHidden/>
    <w:unhideWhenUsed/>
    <w:rsid w:val="00DB0E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524</Characters>
  <Application>Microsoft Office Word</Application>
  <DocSecurity>0</DocSecurity>
  <Lines>14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Stephani</dc:creator>
  <cp:keywords/>
  <dc:description/>
  <cp:lastModifiedBy>Victor Stephani</cp:lastModifiedBy>
  <cp:revision>4</cp:revision>
  <dcterms:created xsi:type="dcterms:W3CDTF">2018-08-11T13:20:00Z</dcterms:created>
  <dcterms:modified xsi:type="dcterms:W3CDTF">2018-08-18T11:58:00Z</dcterms:modified>
</cp:coreProperties>
</file>