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8204A" w14:textId="57CF4E63" w:rsidR="00E45C7B" w:rsidRPr="002E1EA4" w:rsidRDefault="00F51F0B" w:rsidP="00CA0324">
      <w:pPr>
        <w:pageBreakBefore/>
        <w:rPr>
          <w:rFonts w:eastAsia="Times New Roman" w:cs="Times New Roman"/>
          <w:b/>
          <w:bCs/>
          <w:sz w:val="24"/>
          <w:szCs w:val="24"/>
        </w:rPr>
      </w:pPr>
      <w:r>
        <w:rPr>
          <w:rFonts w:eastAsia="Times New Roman" w:cs="Times New Roman"/>
          <w:b/>
          <w:bCs/>
          <w:sz w:val="24"/>
          <w:szCs w:val="24"/>
        </w:rPr>
        <w:t>Supplementary File</w:t>
      </w:r>
    </w:p>
    <w:p w14:paraId="112B7035" w14:textId="6CCC91C4" w:rsidR="00E45C7B" w:rsidRPr="002E1EA4" w:rsidRDefault="00E45C7B" w:rsidP="00CA0324">
      <w:pPr>
        <w:rPr>
          <w:rFonts w:eastAsia="Times New Roman" w:cs="Times New Roman"/>
          <w:bCs/>
          <w:sz w:val="24"/>
          <w:szCs w:val="24"/>
        </w:rPr>
      </w:pPr>
      <w:r w:rsidRPr="002E1EA4">
        <w:rPr>
          <w:rFonts w:eastAsia="Times New Roman" w:cs="Times New Roman"/>
          <w:b/>
          <w:bCs/>
          <w:sz w:val="24"/>
          <w:szCs w:val="24"/>
        </w:rPr>
        <w:t xml:space="preserve">Table </w:t>
      </w:r>
      <w:r w:rsidR="00F51F0B">
        <w:rPr>
          <w:rFonts w:eastAsia="Times New Roman" w:cs="Times New Roman"/>
          <w:b/>
          <w:bCs/>
          <w:sz w:val="24"/>
          <w:szCs w:val="24"/>
        </w:rPr>
        <w:t>S</w:t>
      </w:r>
      <w:r w:rsidRPr="002E1EA4">
        <w:rPr>
          <w:rFonts w:eastAsia="Times New Roman" w:cs="Times New Roman"/>
          <w:b/>
          <w:bCs/>
          <w:sz w:val="24"/>
          <w:szCs w:val="24"/>
        </w:rPr>
        <w:t>1-</w:t>
      </w:r>
      <w:r w:rsidRPr="002E1EA4">
        <w:rPr>
          <w:rFonts w:eastAsia="Times New Roman" w:cs="Times New Roman"/>
          <w:bCs/>
          <w:sz w:val="24"/>
          <w:szCs w:val="24"/>
        </w:rPr>
        <w:t xml:space="preserve"> Comparison of treatment paradigms for BP lowering, assuming average risk for the high risk population is 40%, maintaining all other assumptions as in Table 2*</w:t>
      </w:r>
    </w:p>
    <w:tbl>
      <w:tblPr>
        <w:tblW w:w="9616" w:type="dxa"/>
        <w:tblInd w:w="-10" w:type="dxa"/>
        <w:tblBorders>
          <w:top w:val="nil"/>
          <w:left w:val="nil"/>
          <w:right w:val="nil"/>
        </w:tblBorders>
        <w:tblLayout w:type="fixed"/>
        <w:tblLook w:val="0000" w:firstRow="0" w:lastRow="0" w:firstColumn="0" w:lastColumn="0" w:noHBand="0" w:noVBand="0"/>
      </w:tblPr>
      <w:tblGrid>
        <w:gridCol w:w="1985"/>
        <w:gridCol w:w="1559"/>
        <w:gridCol w:w="1394"/>
        <w:gridCol w:w="1559"/>
        <w:gridCol w:w="1559"/>
        <w:gridCol w:w="1560"/>
      </w:tblGrid>
      <w:tr w:rsidR="00E45C7B" w:rsidRPr="008C3F4C" w14:paraId="3397EC18" w14:textId="77777777" w:rsidTr="00CA0324">
        <w:tc>
          <w:tcPr>
            <w:tcW w:w="1985" w:type="dxa"/>
            <w:tcBorders>
              <w:top w:val="single" w:sz="8" w:space="0" w:color="929292"/>
              <w:left w:val="single" w:sz="8" w:space="0" w:color="929292"/>
              <w:bottom w:val="single" w:sz="8" w:space="0" w:color="929292"/>
              <w:right w:val="single" w:sz="8" w:space="0" w:color="929292"/>
            </w:tcBorders>
          </w:tcPr>
          <w:p w14:paraId="4A7C5302"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Treatment paradigm for BP lowering</w:t>
            </w:r>
          </w:p>
        </w:tc>
        <w:tc>
          <w:tcPr>
            <w:tcW w:w="1559" w:type="dxa"/>
            <w:tcBorders>
              <w:top w:val="single" w:sz="8" w:space="0" w:color="929292"/>
              <w:bottom w:val="single" w:sz="8" w:space="0" w:color="929292"/>
              <w:right w:val="single" w:sz="8" w:space="0" w:color="929292"/>
            </w:tcBorders>
            <w:tcMar>
              <w:top w:w="80" w:type="nil"/>
              <w:left w:w="40" w:type="nil"/>
              <w:bottom w:w="40" w:type="nil"/>
              <w:right w:w="80" w:type="nil"/>
            </w:tcMar>
          </w:tcPr>
          <w:p w14:paraId="1E893E95"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xml:space="preserve">% Population treated </w:t>
            </w:r>
          </w:p>
          <w:p w14:paraId="12329F37"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(95% CI)</w:t>
            </w:r>
          </w:p>
        </w:tc>
        <w:tc>
          <w:tcPr>
            <w:tcW w:w="1394" w:type="dxa"/>
            <w:tcBorders>
              <w:top w:val="single" w:sz="8" w:space="0" w:color="929292"/>
              <w:bottom w:val="single" w:sz="8" w:space="0" w:color="929292"/>
              <w:right w:val="single" w:sz="4" w:space="0" w:color="auto"/>
            </w:tcBorders>
          </w:tcPr>
          <w:p w14:paraId="3B12C697" w14:textId="77777777" w:rsidR="00E45C7B" w:rsidRPr="00843DF1"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CVD events aver</w:t>
            </w:r>
            <w:r w:rsidRPr="00843DF1">
              <w:rPr>
                <w:rFonts w:eastAsia="Calibri" w:cs="Times New Roman"/>
                <w:b/>
                <w:sz w:val="24"/>
                <w:szCs w:val="24"/>
                <w:lang w:val="en-US"/>
              </w:rPr>
              <w:t xml:space="preserve">ted over 10 years due to treatment </w:t>
            </w:r>
          </w:p>
          <w:p w14:paraId="5A595EE1" w14:textId="77777777" w:rsidR="00E45C7B" w:rsidRPr="00843DF1" w:rsidRDefault="00E45C7B" w:rsidP="00CA0324">
            <w:pPr>
              <w:spacing w:after="0" w:line="240" w:lineRule="auto"/>
              <w:rPr>
                <w:rFonts w:eastAsia="Calibri" w:cs="Times New Roman"/>
                <w:b/>
                <w:sz w:val="24"/>
                <w:szCs w:val="24"/>
                <w:lang w:val="en-US"/>
              </w:rPr>
            </w:pPr>
            <w:r w:rsidRPr="00843DF1">
              <w:rPr>
                <w:rFonts w:eastAsia="Calibri" w:cs="Times New Roman"/>
                <w:b/>
                <w:sz w:val="24"/>
                <w:szCs w:val="24"/>
                <w:lang w:val="en-US"/>
              </w:rPr>
              <w:t>n (95% CI)</w:t>
            </w:r>
          </w:p>
        </w:tc>
        <w:tc>
          <w:tcPr>
            <w:tcW w:w="1559" w:type="dxa"/>
            <w:tcBorders>
              <w:top w:val="single" w:sz="8" w:space="0" w:color="929292"/>
              <w:left w:val="single" w:sz="4" w:space="0" w:color="auto"/>
              <w:bottom w:val="single" w:sz="8" w:space="0" w:color="929292"/>
              <w:right w:val="single" w:sz="8" w:space="0" w:color="929292"/>
            </w:tcBorders>
            <w:tcMar>
              <w:top w:w="80" w:type="nil"/>
              <w:left w:w="40" w:type="nil"/>
              <w:bottom w:w="40" w:type="nil"/>
              <w:right w:w="80" w:type="nil"/>
            </w:tcMar>
          </w:tcPr>
          <w:p w14:paraId="3199B747" w14:textId="77777777" w:rsidR="00E45C7B" w:rsidRPr="00843DF1" w:rsidRDefault="00E45C7B" w:rsidP="00CA0324">
            <w:pPr>
              <w:spacing w:after="0" w:line="240" w:lineRule="auto"/>
              <w:rPr>
                <w:rFonts w:eastAsia="Calibri" w:cs="Times New Roman"/>
                <w:b/>
                <w:sz w:val="24"/>
                <w:szCs w:val="24"/>
                <w:vertAlign w:val="superscript"/>
                <w:lang w:val="en-US"/>
              </w:rPr>
            </w:pPr>
            <w:r>
              <w:rPr>
                <w:rFonts w:eastAsia="Calibri" w:cs="Times New Roman"/>
                <w:b/>
                <w:sz w:val="24"/>
                <w:szCs w:val="24"/>
                <w:lang w:val="en-US"/>
              </w:rPr>
              <w:t>Estimated percentage reduction of</w:t>
            </w:r>
            <w:r w:rsidRPr="00843DF1">
              <w:rPr>
                <w:rFonts w:eastAsia="Calibri" w:cs="Times New Roman"/>
                <w:b/>
                <w:sz w:val="24"/>
                <w:szCs w:val="24"/>
                <w:lang w:val="en-US"/>
              </w:rPr>
              <w:t xml:space="preserve"> CVD events averted over 10 years due to treatment compared to </w:t>
            </w:r>
            <w:r>
              <w:rPr>
                <w:rFonts w:eastAsia="Calibri" w:cs="Times New Roman"/>
                <w:b/>
                <w:sz w:val="24"/>
                <w:szCs w:val="24"/>
                <w:lang w:val="en-US"/>
              </w:rPr>
              <w:t>no treatment†</w:t>
            </w:r>
          </w:p>
          <w:p w14:paraId="7118FAF4" w14:textId="77777777" w:rsidR="00E45C7B" w:rsidRPr="00D13D86" w:rsidRDefault="00E45C7B" w:rsidP="00CA0324">
            <w:pPr>
              <w:spacing w:after="0" w:line="240" w:lineRule="auto"/>
              <w:rPr>
                <w:rFonts w:eastAsia="Calibri" w:cs="Times New Roman"/>
                <w:b/>
                <w:sz w:val="24"/>
                <w:szCs w:val="24"/>
                <w:lang w:val="en-US"/>
              </w:rPr>
            </w:pPr>
            <w:r w:rsidRPr="00D13D86">
              <w:rPr>
                <w:rFonts w:eastAsia="Calibri" w:cs="Times New Roman"/>
                <w:b/>
                <w:sz w:val="24"/>
                <w:szCs w:val="24"/>
                <w:lang w:val="en-US"/>
              </w:rPr>
              <w:t>% (95% CI)</w:t>
            </w:r>
          </w:p>
        </w:tc>
        <w:tc>
          <w:tcPr>
            <w:tcW w:w="1559" w:type="dxa"/>
            <w:tcBorders>
              <w:top w:val="single" w:sz="8" w:space="0" w:color="929292"/>
              <w:left w:val="single" w:sz="4" w:space="0" w:color="auto"/>
              <w:bottom w:val="single" w:sz="8" w:space="0" w:color="929292"/>
              <w:right w:val="single" w:sz="8" w:space="0" w:color="929292"/>
            </w:tcBorders>
          </w:tcPr>
          <w:p w14:paraId="66604C83" w14:textId="77777777" w:rsidR="00E45C7B" w:rsidRPr="00D13D86" w:rsidRDefault="00E45C7B" w:rsidP="00CA0324">
            <w:pPr>
              <w:spacing w:after="0" w:line="240" w:lineRule="auto"/>
              <w:rPr>
                <w:rFonts w:eastAsia="Calibri" w:cs="Times New Roman"/>
                <w:b/>
                <w:sz w:val="24"/>
                <w:szCs w:val="24"/>
                <w:lang w:val="en-US"/>
              </w:rPr>
            </w:pPr>
            <w:r>
              <w:rPr>
                <w:rFonts w:eastAsia="Calibri" w:cs="Times New Roman"/>
                <w:b/>
                <w:sz w:val="24"/>
                <w:szCs w:val="24"/>
                <w:lang w:val="en-US"/>
              </w:rPr>
              <w:t xml:space="preserve">Percentage change in number </w:t>
            </w:r>
            <w:r w:rsidRPr="00D13D86">
              <w:rPr>
                <w:rFonts w:eastAsia="Calibri" w:cs="Times New Roman"/>
                <w:b/>
                <w:sz w:val="24"/>
                <w:szCs w:val="24"/>
                <w:lang w:val="en-US"/>
              </w:rPr>
              <w:t>treated compared to current practice</w:t>
            </w:r>
          </w:p>
          <w:p w14:paraId="176430C2"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 (95% CI)</w:t>
            </w:r>
          </w:p>
          <w:p w14:paraId="79AF3CEB" w14:textId="77777777" w:rsidR="00E45C7B" w:rsidRPr="008C3F4C" w:rsidRDefault="00E45C7B" w:rsidP="00CA0324">
            <w:pPr>
              <w:spacing w:after="0" w:line="240" w:lineRule="auto"/>
              <w:rPr>
                <w:rFonts w:eastAsia="Calibri" w:cs="Times New Roman"/>
                <w:b/>
                <w:sz w:val="24"/>
                <w:szCs w:val="24"/>
                <w:lang w:val="en-US"/>
              </w:rPr>
            </w:pPr>
          </w:p>
        </w:tc>
        <w:tc>
          <w:tcPr>
            <w:tcW w:w="1560" w:type="dxa"/>
            <w:tcBorders>
              <w:top w:val="single" w:sz="8" w:space="0" w:color="929292"/>
              <w:left w:val="single" w:sz="4" w:space="0" w:color="auto"/>
              <w:bottom w:val="single" w:sz="8" w:space="0" w:color="929292"/>
              <w:right w:val="single" w:sz="8" w:space="0" w:color="929292"/>
            </w:tcBorders>
          </w:tcPr>
          <w:p w14:paraId="52C0F749" w14:textId="77777777" w:rsidR="00E45C7B" w:rsidRPr="008C3F4C" w:rsidRDefault="00E45C7B" w:rsidP="00CA0324">
            <w:pPr>
              <w:spacing w:after="0" w:line="240" w:lineRule="auto"/>
              <w:rPr>
                <w:rFonts w:eastAsia="Calibri" w:cs="Times New Roman"/>
                <w:b/>
                <w:sz w:val="24"/>
                <w:szCs w:val="24"/>
                <w:lang w:val="en-US"/>
              </w:rPr>
            </w:pPr>
            <w:r>
              <w:rPr>
                <w:rFonts w:eastAsia="Calibri" w:cs="Times New Roman"/>
                <w:b/>
                <w:sz w:val="24"/>
                <w:szCs w:val="24"/>
                <w:lang w:val="en-US"/>
              </w:rPr>
              <w:t xml:space="preserve">Percentage change in number </w:t>
            </w:r>
            <w:r w:rsidRPr="008C3F4C">
              <w:rPr>
                <w:rFonts w:eastAsia="Calibri" w:cs="Times New Roman"/>
                <w:b/>
                <w:sz w:val="24"/>
                <w:szCs w:val="24"/>
                <w:lang w:val="en-US"/>
              </w:rPr>
              <w:t>of events averted over 10 years compared to current practice</w:t>
            </w:r>
          </w:p>
          <w:p w14:paraId="4FDB855C"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 (95% CI)</w:t>
            </w:r>
          </w:p>
        </w:tc>
      </w:tr>
      <w:tr w:rsidR="00E45C7B" w:rsidRPr="008C3F4C" w14:paraId="3410281B" w14:textId="77777777" w:rsidTr="00CA0324">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66492E1B"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Current practice</w:t>
            </w:r>
          </w:p>
        </w:tc>
        <w:tc>
          <w:tcPr>
            <w:tcW w:w="1559" w:type="dxa"/>
            <w:tcBorders>
              <w:bottom w:val="single" w:sz="8" w:space="0" w:color="929292"/>
              <w:right w:val="single" w:sz="8" w:space="0" w:color="929292"/>
            </w:tcBorders>
            <w:tcMar>
              <w:top w:w="80" w:type="nil"/>
              <w:left w:w="40" w:type="nil"/>
              <w:bottom w:w="40" w:type="nil"/>
              <w:right w:w="80" w:type="nil"/>
            </w:tcMar>
          </w:tcPr>
          <w:p w14:paraId="207AB666"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19·6</w:t>
            </w:r>
          </w:p>
          <w:p w14:paraId="1EB432CF"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(18.4-20·9)</w:t>
            </w:r>
          </w:p>
          <w:p w14:paraId="020DFB2E" w14:textId="77777777" w:rsidR="00E45C7B" w:rsidRPr="00AE732E" w:rsidRDefault="00E45C7B" w:rsidP="00CA0324">
            <w:pPr>
              <w:spacing w:after="0" w:line="240" w:lineRule="auto"/>
              <w:jc w:val="center"/>
              <w:rPr>
                <w:rFonts w:eastAsia="Calibri" w:cs="Times New Roman"/>
                <w:sz w:val="24"/>
                <w:szCs w:val="24"/>
                <w:lang w:val="en-US"/>
              </w:rPr>
            </w:pPr>
          </w:p>
        </w:tc>
        <w:tc>
          <w:tcPr>
            <w:tcW w:w="1394" w:type="dxa"/>
            <w:tcBorders>
              <w:bottom w:val="single" w:sz="8" w:space="0" w:color="929292"/>
              <w:right w:val="single" w:sz="4" w:space="0" w:color="auto"/>
            </w:tcBorders>
          </w:tcPr>
          <w:p w14:paraId="6D69CE3A"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428</w:t>
            </w:r>
          </w:p>
          <w:p w14:paraId="0F1981F5"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(401-454)</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609B5A5C"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5.1</w:t>
            </w:r>
          </w:p>
          <w:p w14:paraId="42E66AC4"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(4.9-5.3)</w:t>
            </w:r>
          </w:p>
        </w:tc>
        <w:tc>
          <w:tcPr>
            <w:tcW w:w="1559" w:type="dxa"/>
            <w:tcBorders>
              <w:left w:val="single" w:sz="4" w:space="0" w:color="auto"/>
              <w:bottom w:val="single" w:sz="8" w:space="0" w:color="929292"/>
              <w:right w:val="single" w:sz="8" w:space="0" w:color="929292"/>
            </w:tcBorders>
          </w:tcPr>
          <w:p w14:paraId="1C9AB7E6"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w:t>
            </w:r>
          </w:p>
        </w:tc>
        <w:tc>
          <w:tcPr>
            <w:tcW w:w="1560" w:type="dxa"/>
            <w:tcBorders>
              <w:left w:val="single" w:sz="4" w:space="0" w:color="auto"/>
              <w:bottom w:val="single" w:sz="8" w:space="0" w:color="929292"/>
              <w:right w:val="single" w:sz="8" w:space="0" w:color="929292"/>
            </w:tcBorders>
          </w:tcPr>
          <w:p w14:paraId="768DAC19"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w:t>
            </w:r>
          </w:p>
        </w:tc>
      </w:tr>
      <w:tr w:rsidR="00E45C7B" w:rsidRPr="008C3F4C" w14:paraId="3BC12CB7" w14:textId="77777777" w:rsidTr="00CA0324">
        <w:tblPrEx>
          <w:tblBorders>
            <w:top w:val="none" w:sz="0" w:space="0" w:color="auto"/>
          </w:tblBorders>
        </w:tblPrEx>
        <w:tc>
          <w:tcPr>
            <w:tcW w:w="1985" w:type="dxa"/>
            <w:tcBorders>
              <w:top w:val="single" w:sz="8" w:space="0" w:color="929292"/>
              <w:left w:val="single" w:sz="8" w:space="0" w:color="929292"/>
              <w:bottom w:val="single" w:sz="8" w:space="0" w:color="929292"/>
              <w:right w:val="single" w:sz="8" w:space="0" w:color="929292"/>
            </w:tcBorders>
          </w:tcPr>
          <w:p w14:paraId="6ADF525F"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of “hypertension” (BP &gt;140/90 mmHg)</w:t>
            </w:r>
          </w:p>
          <w:p w14:paraId="1467FA0E" w14:textId="77777777" w:rsidR="00E45C7B" w:rsidRPr="00AE732E" w:rsidRDefault="00E45C7B" w:rsidP="00CA0324">
            <w:pPr>
              <w:spacing w:after="0" w:line="240" w:lineRule="auto"/>
              <w:ind w:hanging="63"/>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73F0A228"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32.6</w:t>
            </w:r>
          </w:p>
          <w:p w14:paraId="7189C5C6"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(30.8-34.5)</w:t>
            </w:r>
          </w:p>
        </w:tc>
        <w:tc>
          <w:tcPr>
            <w:tcW w:w="1394" w:type="dxa"/>
            <w:tcBorders>
              <w:bottom w:val="single" w:sz="8" w:space="0" w:color="929292"/>
              <w:right w:val="single" w:sz="4" w:space="0" w:color="auto"/>
            </w:tcBorders>
          </w:tcPr>
          <w:p w14:paraId="4D7536D6"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735</w:t>
            </w:r>
          </w:p>
          <w:p w14:paraId="24C59DF7"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(693-777)</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4C49C7A0"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8.8</w:t>
            </w:r>
          </w:p>
          <w:p w14:paraId="457C161F"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(8.5-9.1)</w:t>
            </w:r>
          </w:p>
        </w:tc>
        <w:tc>
          <w:tcPr>
            <w:tcW w:w="1559" w:type="dxa"/>
            <w:tcBorders>
              <w:left w:val="single" w:sz="4" w:space="0" w:color="auto"/>
              <w:bottom w:val="single" w:sz="8" w:space="0" w:color="929292"/>
              <w:right w:val="single" w:sz="8" w:space="0" w:color="929292"/>
            </w:tcBorders>
          </w:tcPr>
          <w:p w14:paraId="44698AAA"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+66.2</w:t>
            </w:r>
          </w:p>
          <w:p w14:paraId="1FF968B6"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(65.8-66.5)</w:t>
            </w:r>
          </w:p>
        </w:tc>
        <w:tc>
          <w:tcPr>
            <w:tcW w:w="1560" w:type="dxa"/>
            <w:tcBorders>
              <w:left w:val="single" w:sz="4" w:space="0" w:color="auto"/>
              <w:bottom w:val="single" w:sz="8" w:space="0" w:color="929292"/>
              <w:right w:val="single" w:sz="8" w:space="0" w:color="929292"/>
            </w:tcBorders>
          </w:tcPr>
          <w:p w14:paraId="3E32D680"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+72.8</w:t>
            </w:r>
          </w:p>
          <w:p w14:paraId="3F5BB1CF"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(70.9-74.7)</w:t>
            </w:r>
          </w:p>
        </w:tc>
      </w:tr>
      <w:tr w:rsidR="00E45C7B" w:rsidRPr="008C3F4C" w14:paraId="2686925D" w14:textId="77777777" w:rsidTr="00CA0324">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7CDD2C23"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according to NPCDCS guidelines</w:t>
            </w:r>
          </w:p>
          <w:p w14:paraId="4BF33BBE" w14:textId="77777777" w:rsidR="00E45C7B" w:rsidRPr="00AE732E" w:rsidRDefault="00E45C7B" w:rsidP="00CA0324">
            <w:pPr>
              <w:spacing w:after="0" w:line="240" w:lineRule="auto"/>
              <w:ind w:hanging="63"/>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4D47B9C5"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21.0</w:t>
            </w:r>
          </w:p>
          <w:p w14:paraId="53AE9AEC"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(19·9-22.2)</w:t>
            </w:r>
          </w:p>
          <w:p w14:paraId="6C7A4033" w14:textId="77777777" w:rsidR="00E45C7B" w:rsidRPr="00843DF1" w:rsidRDefault="00E45C7B" w:rsidP="00CA0324">
            <w:pPr>
              <w:spacing w:after="0" w:line="240" w:lineRule="auto"/>
              <w:jc w:val="center"/>
              <w:rPr>
                <w:rFonts w:eastAsia="Calibri" w:cs="Times New Roman"/>
                <w:sz w:val="24"/>
                <w:szCs w:val="24"/>
                <w:lang w:val="en-US"/>
              </w:rPr>
            </w:pPr>
          </w:p>
        </w:tc>
        <w:tc>
          <w:tcPr>
            <w:tcW w:w="1394" w:type="dxa"/>
            <w:tcBorders>
              <w:bottom w:val="single" w:sz="8" w:space="0" w:color="929292"/>
              <w:right w:val="single" w:sz="4" w:space="0" w:color="auto"/>
            </w:tcBorders>
          </w:tcPr>
          <w:p w14:paraId="28FDD705"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731</w:t>
            </w:r>
          </w:p>
          <w:p w14:paraId="2D2EA346"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(691-770)</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713A80B4"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8.7</w:t>
            </w:r>
          </w:p>
          <w:p w14:paraId="6C687625"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(8.4-9.0)</w:t>
            </w:r>
          </w:p>
        </w:tc>
        <w:tc>
          <w:tcPr>
            <w:tcW w:w="1559" w:type="dxa"/>
            <w:tcBorders>
              <w:left w:val="single" w:sz="4" w:space="0" w:color="auto"/>
              <w:bottom w:val="single" w:sz="8" w:space="0" w:color="929292"/>
              <w:right w:val="single" w:sz="8" w:space="0" w:color="929292"/>
            </w:tcBorders>
          </w:tcPr>
          <w:p w14:paraId="7E8953E9"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+7·2</w:t>
            </w:r>
          </w:p>
          <w:p w14:paraId="75651631"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(6.9-7.4)</w:t>
            </w:r>
          </w:p>
        </w:tc>
        <w:tc>
          <w:tcPr>
            <w:tcW w:w="1560" w:type="dxa"/>
            <w:tcBorders>
              <w:left w:val="single" w:sz="4" w:space="0" w:color="auto"/>
              <w:bottom w:val="single" w:sz="8" w:space="0" w:color="929292"/>
              <w:right w:val="single" w:sz="8" w:space="0" w:color="929292"/>
            </w:tcBorders>
          </w:tcPr>
          <w:p w14:paraId="42113C14"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+71.5</w:t>
            </w:r>
          </w:p>
          <w:p w14:paraId="2A3AA2DC"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(69.5-73.5)</w:t>
            </w:r>
          </w:p>
        </w:tc>
      </w:tr>
      <w:tr w:rsidR="00E45C7B" w:rsidRPr="008C3F4C" w14:paraId="4688446A" w14:textId="77777777" w:rsidTr="00CA0324">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13A9B55B"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of all at intermediate and high risk</w:t>
            </w:r>
          </w:p>
          <w:p w14:paraId="709F270B" w14:textId="77777777" w:rsidR="00E45C7B" w:rsidRPr="00AE732E" w:rsidRDefault="00E45C7B" w:rsidP="00CA0324">
            <w:pPr>
              <w:spacing w:after="0" w:line="240" w:lineRule="auto"/>
              <w:ind w:hanging="63"/>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24A9B9AC"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23.2</w:t>
            </w:r>
          </w:p>
          <w:p w14:paraId="1E44CBE3"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(22.0-24.3)</w:t>
            </w:r>
          </w:p>
          <w:p w14:paraId="504E731E" w14:textId="77777777" w:rsidR="00E45C7B" w:rsidRPr="00843DF1" w:rsidRDefault="00E45C7B" w:rsidP="00CA0324">
            <w:pPr>
              <w:spacing w:after="0" w:line="240" w:lineRule="auto"/>
              <w:jc w:val="center"/>
              <w:rPr>
                <w:rFonts w:eastAsia="Calibri" w:cs="Times New Roman"/>
                <w:sz w:val="24"/>
                <w:szCs w:val="24"/>
                <w:lang w:val="en-US"/>
              </w:rPr>
            </w:pPr>
          </w:p>
        </w:tc>
        <w:tc>
          <w:tcPr>
            <w:tcW w:w="1394" w:type="dxa"/>
            <w:tcBorders>
              <w:bottom w:val="single" w:sz="8" w:space="0" w:color="929292"/>
              <w:right w:val="single" w:sz="4" w:space="0" w:color="auto"/>
            </w:tcBorders>
          </w:tcPr>
          <w:p w14:paraId="6CA333D1"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781</w:t>
            </w:r>
          </w:p>
          <w:p w14:paraId="4C07C4AC"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(741-820)</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6110DC1D"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9.3</w:t>
            </w:r>
          </w:p>
          <w:p w14:paraId="5ED9385F"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(9.0-9.6)</w:t>
            </w:r>
          </w:p>
        </w:tc>
        <w:tc>
          <w:tcPr>
            <w:tcW w:w="1559" w:type="dxa"/>
            <w:tcBorders>
              <w:left w:val="single" w:sz="4" w:space="0" w:color="auto"/>
              <w:bottom w:val="single" w:sz="8" w:space="0" w:color="929292"/>
              <w:right w:val="single" w:sz="8" w:space="0" w:color="929292"/>
            </w:tcBorders>
          </w:tcPr>
          <w:p w14:paraId="4E548DAC"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+17.9</w:t>
            </w:r>
          </w:p>
          <w:p w14:paraId="1CCBCE50"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(17.6-18.2)</w:t>
            </w:r>
          </w:p>
        </w:tc>
        <w:tc>
          <w:tcPr>
            <w:tcW w:w="1560" w:type="dxa"/>
            <w:tcBorders>
              <w:left w:val="single" w:sz="4" w:space="0" w:color="auto"/>
              <w:bottom w:val="single" w:sz="8" w:space="0" w:color="929292"/>
              <w:right w:val="single" w:sz="8" w:space="0" w:color="929292"/>
            </w:tcBorders>
          </w:tcPr>
          <w:p w14:paraId="51B689D6"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+83.1</w:t>
            </w:r>
          </w:p>
          <w:p w14:paraId="62D2A81D"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(81.5-84.8)</w:t>
            </w:r>
          </w:p>
        </w:tc>
      </w:tr>
      <w:tr w:rsidR="00E45C7B" w:rsidRPr="008C3F4C" w14:paraId="53FB0589" w14:textId="77777777" w:rsidTr="00CA0324">
        <w:tblPrEx>
          <w:tblBorders>
            <w:top w:val="none" w:sz="0" w:space="0" w:color="auto"/>
          </w:tblBorders>
        </w:tblPrEx>
        <w:tc>
          <w:tcPr>
            <w:tcW w:w="1985" w:type="dxa"/>
            <w:tcBorders>
              <w:top w:val="single" w:sz="8" w:space="0" w:color="929292"/>
              <w:left w:val="single" w:sz="8" w:space="0" w:color="929292"/>
              <w:bottom w:val="single" w:sz="8" w:space="0" w:color="929292"/>
              <w:right w:val="single" w:sz="8" w:space="0" w:color="929292"/>
            </w:tcBorders>
          </w:tcPr>
          <w:p w14:paraId="74B57537"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 xml:space="preserve">Treatment of all at high risk </w:t>
            </w:r>
          </w:p>
        </w:tc>
        <w:tc>
          <w:tcPr>
            <w:tcW w:w="1559" w:type="dxa"/>
            <w:tcBorders>
              <w:bottom w:val="single" w:sz="8" w:space="0" w:color="929292"/>
              <w:right w:val="single" w:sz="8" w:space="0" w:color="929292"/>
            </w:tcBorders>
            <w:tcMar>
              <w:top w:w="80" w:type="nil"/>
              <w:left w:w="40" w:type="nil"/>
              <w:bottom w:w="40" w:type="nil"/>
              <w:right w:w="80" w:type="nil"/>
            </w:tcMar>
          </w:tcPr>
          <w:p w14:paraId="705EAF98"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17.9</w:t>
            </w:r>
          </w:p>
          <w:p w14:paraId="7B835AB8"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(16·9-18.8)</w:t>
            </w:r>
          </w:p>
          <w:p w14:paraId="793C3276" w14:textId="77777777" w:rsidR="00E45C7B" w:rsidRPr="00AE732E" w:rsidRDefault="00E45C7B" w:rsidP="00CA0324">
            <w:pPr>
              <w:spacing w:after="0" w:line="240" w:lineRule="auto"/>
              <w:jc w:val="center"/>
              <w:rPr>
                <w:rFonts w:eastAsia="Calibri" w:cs="Times New Roman"/>
                <w:sz w:val="24"/>
                <w:szCs w:val="24"/>
                <w:lang w:val="en-US"/>
              </w:rPr>
            </w:pPr>
          </w:p>
        </w:tc>
        <w:tc>
          <w:tcPr>
            <w:tcW w:w="1394" w:type="dxa"/>
            <w:tcBorders>
              <w:bottom w:val="single" w:sz="8" w:space="0" w:color="929292"/>
              <w:right w:val="single" w:sz="4" w:space="0" w:color="auto"/>
            </w:tcBorders>
          </w:tcPr>
          <w:p w14:paraId="1568CF2F"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657</w:t>
            </w:r>
          </w:p>
          <w:p w14:paraId="70E0EA5B"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(621-693)</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7F8B8C4E"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7.8</w:t>
            </w:r>
          </w:p>
          <w:p w14:paraId="2792983B"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(7.6-8.1)</w:t>
            </w:r>
          </w:p>
        </w:tc>
        <w:tc>
          <w:tcPr>
            <w:tcW w:w="1559" w:type="dxa"/>
            <w:tcBorders>
              <w:left w:val="single" w:sz="4" w:space="0" w:color="auto"/>
              <w:bottom w:val="single" w:sz="8" w:space="0" w:color="929292"/>
              <w:right w:val="single" w:sz="8" w:space="0" w:color="929292"/>
            </w:tcBorders>
          </w:tcPr>
          <w:p w14:paraId="3DE6C7B5"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-9.0</w:t>
            </w:r>
          </w:p>
          <w:p w14:paraId="59882E0A"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((-8.8)-(-9.2))</w:t>
            </w:r>
          </w:p>
        </w:tc>
        <w:tc>
          <w:tcPr>
            <w:tcW w:w="1560" w:type="dxa"/>
            <w:tcBorders>
              <w:left w:val="single" w:sz="4" w:space="0" w:color="auto"/>
              <w:bottom w:val="single" w:sz="8" w:space="0" w:color="929292"/>
              <w:right w:val="single" w:sz="8" w:space="0" w:color="929292"/>
            </w:tcBorders>
          </w:tcPr>
          <w:p w14:paraId="585B13D1"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+54.4</w:t>
            </w:r>
          </w:p>
          <w:p w14:paraId="39141F21"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(52.2-56.6)</w:t>
            </w:r>
          </w:p>
        </w:tc>
      </w:tr>
    </w:tbl>
    <w:p w14:paraId="60103CB9" w14:textId="77777777" w:rsidR="00E45C7B" w:rsidRPr="008C3F4C" w:rsidRDefault="00E45C7B" w:rsidP="00CA0324">
      <w:pPr>
        <w:spacing w:after="0" w:line="240" w:lineRule="auto"/>
        <w:rPr>
          <w:rFonts w:eastAsia="Calibri" w:cs="Times New Roman"/>
          <w:sz w:val="24"/>
          <w:szCs w:val="24"/>
          <w:lang w:val="en-US"/>
        </w:rPr>
      </w:pPr>
      <w:r w:rsidRPr="008C3F4C">
        <w:rPr>
          <w:rFonts w:eastAsia="Calibri" w:cs="Times New Roman"/>
          <w:sz w:val="24"/>
          <w:szCs w:val="24"/>
          <w:lang w:val="en-US"/>
        </w:rPr>
        <w:t>*Weighted estimates</w:t>
      </w:r>
    </w:p>
    <w:p w14:paraId="69F66AE2" w14:textId="77777777" w:rsidR="00E45C7B" w:rsidRPr="00AE732E" w:rsidRDefault="00E45C7B" w:rsidP="00CA0324">
      <w:pPr>
        <w:spacing w:after="0" w:line="240" w:lineRule="auto"/>
        <w:rPr>
          <w:rFonts w:eastAsia="Calibri" w:cs="Times New Roman"/>
          <w:sz w:val="24"/>
          <w:szCs w:val="24"/>
          <w:lang w:val="en-US"/>
        </w:rPr>
      </w:pPr>
      <w:r>
        <w:rPr>
          <w:rFonts w:eastAsia="Calibri" w:cs="Times New Roman"/>
          <w:sz w:val="24"/>
          <w:szCs w:val="24"/>
          <w:lang w:val="en-US"/>
        </w:rPr>
        <w:t>†</w:t>
      </w:r>
      <w:r w:rsidRPr="00AE732E">
        <w:rPr>
          <w:rFonts w:eastAsia="Calibri" w:cs="Times New Roman"/>
          <w:sz w:val="24"/>
          <w:szCs w:val="24"/>
          <w:lang w:val="en-US"/>
        </w:rPr>
        <w:t>Estimated number of CVD events over 10 years in the untreated population is 8412. This estimate is based on the population risk distribution after adjustment of BP levels in those on BP lowering treatment.</w:t>
      </w:r>
    </w:p>
    <w:p w14:paraId="2D6F4C99" w14:textId="77777777" w:rsidR="00E45C7B" w:rsidRPr="002E1EA4" w:rsidRDefault="00E45C7B" w:rsidP="00CA0324">
      <w:pPr>
        <w:spacing w:after="0" w:line="240" w:lineRule="auto"/>
        <w:rPr>
          <w:rFonts w:eastAsia="Times New Roman" w:cs="Times New Roman"/>
          <w:b/>
          <w:bCs/>
          <w:sz w:val="24"/>
          <w:szCs w:val="24"/>
        </w:rPr>
      </w:pPr>
      <w:r w:rsidRPr="00843DF1">
        <w:rPr>
          <w:rFonts w:eastAsia="Calibri" w:cs="Times New Roman"/>
          <w:sz w:val="24"/>
          <w:szCs w:val="24"/>
          <w:lang w:val="en-US"/>
        </w:rPr>
        <w:t xml:space="preserve">BP – blood pressure; CVD – cardiovascular disease; NPCDCS – </w:t>
      </w:r>
      <w:r>
        <w:rPr>
          <w:rFonts w:eastAsia="Calibri" w:cs="Times New Roman"/>
          <w:sz w:val="24"/>
          <w:szCs w:val="24"/>
          <w:lang w:val="en-US"/>
        </w:rPr>
        <w:t>National Program</w:t>
      </w:r>
      <w:r w:rsidRPr="00AE732E">
        <w:rPr>
          <w:rFonts w:eastAsia="Calibri" w:cs="Times New Roman"/>
          <w:sz w:val="24"/>
          <w:szCs w:val="24"/>
          <w:lang w:val="en-US"/>
        </w:rPr>
        <w:t xml:space="preserve"> on prevention and c</w:t>
      </w:r>
      <w:r w:rsidRPr="00843DF1">
        <w:rPr>
          <w:rFonts w:eastAsia="Calibri" w:cs="Times New Roman"/>
          <w:sz w:val="24"/>
          <w:szCs w:val="24"/>
          <w:lang w:val="en-US"/>
        </w:rPr>
        <w:t xml:space="preserve">ontrol of </w:t>
      </w:r>
      <w:r>
        <w:rPr>
          <w:rFonts w:eastAsia="Calibri" w:cs="Times New Roman"/>
          <w:sz w:val="24"/>
          <w:szCs w:val="24"/>
          <w:lang w:val="en-US"/>
        </w:rPr>
        <w:t xml:space="preserve">Cancer, </w:t>
      </w:r>
      <w:r w:rsidRPr="00843DF1">
        <w:rPr>
          <w:rFonts w:eastAsia="Calibri" w:cs="Times New Roman"/>
          <w:sz w:val="24"/>
          <w:szCs w:val="24"/>
          <w:lang w:val="en-US"/>
        </w:rPr>
        <w:t>Dia</w:t>
      </w:r>
      <w:r>
        <w:rPr>
          <w:rFonts w:eastAsia="Calibri" w:cs="Times New Roman"/>
          <w:sz w:val="24"/>
          <w:szCs w:val="24"/>
          <w:lang w:val="en-US"/>
        </w:rPr>
        <w:t xml:space="preserve">betes, Cardiovascular diseases </w:t>
      </w:r>
      <w:r w:rsidRPr="00843DF1">
        <w:rPr>
          <w:rFonts w:eastAsia="Calibri" w:cs="Times New Roman"/>
          <w:sz w:val="24"/>
          <w:szCs w:val="24"/>
          <w:lang w:val="en-US"/>
        </w:rPr>
        <w:t>and Stroke</w:t>
      </w:r>
      <w:r w:rsidRPr="002E1EA4">
        <w:rPr>
          <w:rFonts w:eastAsia="Times New Roman" w:cs="Times New Roman"/>
          <w:b/>
          <w:bCs/>
          <w:sz w:val="24"/>
          <w:szCs w:val="24"/>
        </w:rPr>
        <w:t xml:space="preserve"> </w:t>
      </w:r>
      <w:r w:rsidRPr="002E1EA4">
        <w:rPr>
          <w:rFonts w:eastAsia="Times New Roman" w:cs="Times New Roman"/>
          <w:b/>
          <w:bCs/>
          <w:sz w:val="24"/>
          <w:szCs w:val="24"/>
        </w:rPr>
        <w:br w:type="page"/>
      </w:r>
    </w:p>
    <w:p w14:paraId="21DA6406" w14:textId="3494093C" w:rsidR="00E45C7B" w:rsidRPr="002E1EA4" w:rsidRDefault="00E45C7B" w:rsidP="00CA0324">
      <w:pPr>
        <w:rPr>
          <w:rFonts w:eastAsia="Times New Roman" w:cs="Times New Roman"/>
          <w:bCs/>
          <w:sz w:val="24"/>
          <w:szCs w:val="24"/>
        </w:rPr>
      </w:pPr>
      <w:r w:rsidRPr="002E1EA4">
        <w:rPr>
          <w:rFonts w:eastAsia="Times New Roman" w:cs="Times New Roman"/>
          <w:b/>
          <w:bCs/>
          <w:sz w:val="24"/>
          <w:szCs w:val="24"/>
        </w:rPr>
        <w:lastRenderedPageBreak/>
        <w:t xml:space="preserve">Table </w:t>
      </w:r>
      <w:r w:rsidR="00F51F0B">
        <w:rPr>
          <w:rFonts w:eastAsia="Times New Roman" w:cs="Times New Roman"/>
          <w:b/>
          <w:bCs/>
          <w:sz w:val="24"/>
          <w:szCs w:val="24"/>
        </w:rPr>
        <w:t>S</w:t>
      </w:r>
      <w:r w:rsidRPr="002E1EA4">
        <w:rPr>
          <w:rFonts w:eastAsia="Times New Roman" w:cs="Times New Roman"/>
          <w:b/>
          <w:bCs/>
          <w:sz w:val="24"/>
          <w:szCs w:val="24"/>
        </w:rPr>
        <w:t>2-</w:t>
      </w:r>
      <w:r w:rsidRPr="002E1EA4">
        <w:rPr>
          <w:rFonts w:eastAsia="Times New Roman" w:cs="Times New Roman"/>
          <w:bCs/>
          <w:sz w:val="24"/>
          <w:szCs w:val="24"/>
        </w:rPr>
        <w:t xml:space="preserve"> Comparison of treatment paradigms for BP lowering, assuming average risk for the high risk population is 60%, maintaining all other assumptions as in Table 2*</w:t>
      </w:r>
    </w:p>
    <w:tbl>
      <w:tblPr>
        <w:tblW w:w="9616" w:type="dxa"/>
        <w:tblInd w:w="-10" w:type="dxa"/>
        <w:tblBorders>
          <w:top w:val="nil"/>
          <w:left w:val="nil"/>
          <w:right w:val="nil"/>
        </w:tblBorders>
        <w:tblLayout w:type="fixed"/>
        <w:tblLook w:val="0000" w:firstRow="0" w:lastRow="0" w:firstColumn="0" w:lastColumn="0" w:noHBand="0" w:noVBand="0"/>
      </w:tblPr>
      <w:tblGrid>
        <w:gridCol w:w="1985"/>
        <w:gridCol w:w="1535"/>
        <w:gridCol w:w="1418"/>
        <w:gridCol w:w="1559"/>
        <w:gridCol w:w="1559"/>
        <w:gridCol w:w="1560"/>
      </w:tblGrid>
      <w:tr w:rsidR="00E45C7B" w:rsidRPr="008C3F4C" w14:paraId="6331F6A8" w14:textId="77777777" w:rsidTr="00AA1B05">
        <w:tc>
          <w:tcPr>
            <w:tcW w:w="1985" w:type="dxa"/>
            <w:tcBorders>
              <w:top w:val="single" w:sz="8" w:space="0" w:color="929292"/>
              <w:left w:val="single" w:sz="8" w:space="0" w:color="929292"/>
              <w:bottom w:val="single" w:sz="8" w:space="0" w:color="929292"/>
              <w:right w:val="single" w:sz="8" w:space="0" w:color="929292"/>
            </w:tcBorders>
          </w:tcPr>
          <w:p w14:paraId="523BF6DF" w14:textId="77777777" w:rsidR="00E45C7B" w:rsidRPr="00AE732E"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Treatment paradigm for BP lowering</w:t>
            </w:r>
          </w:p>
        </w:tc>
        <w:tc>
          <w:tcPr>
            <w:tcW w:w="1535" w:type="dxa"/>
            <w:tcBorders>
              <w:top w:val="single" w:sz="8" w:space="0" w:color="929292"/>
              <w:bottom w:val="single" w:sz="8" w:space="0" w:color="929292"/>
              <w:right w:val="single" w:sz="8" w:space="0" w:color="929292"/>
            </w:tcBorders>
            <w:tcMar>
              <w:top w:w="80" w:type="nil"/>
              <w:left w:w="40" w:type="nil"/>
              <w:bottom w:w="40" w:type="nil"/>
              <w:right w:w="80" w:type="nil"/>
            </w:tcMar>
          </w:tcPr>
          <w:p w14:paraId="617AA7CB"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xml:space="preserve">% Population treated </w:t>
            </w:r>
          </w:p>
          <w:p w14:paraId="39840E55"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(95% CI)</w:t>
            </w:r>
          </w:p>
        </w:tc>
        <w:tc>
          <w:tcPr>
            <w:tcW w:w="1418" w:type="dxa"/>
            <w:tcBorders>
              <w:top w:val="single" w:sz="8" w:space="0" w:color="929292"/>
              <w:bottom w:val="single" w:sz="8" w:space="0" w:color="929292"/>
              <w:right w:val="single" w:sz="4" w:space="0" w:color="auto"/>
            </w:tcBorders>
          </w:tcPr>
          <w:p w14:paraId="1A26A8D3" w14:textId="77777777" w:rsidR="00E45C7B" w:rsidRPr="00843DF1" w:rsidRDefault="00E45C7B" w:rsidP="00CA0324">
            <w:pPr>
              <w:spacing w:after="0" w:line="240" w:lineRule="auto"/>
              <w:rPr>
                <w:rFonts w:eastAsia="Calibri" w:cs="Times New Roman"/>
                <w:b/>
                <w:sz w:val="24"/>
                <w:szCs w:val="24"/>
                <w:lang w:val="en-US"/>
              </w:rPr>
            </w:pPr>
            <w:r w:rsidRPr="00843DF1">
              <w:rPr>
                <w:rFonts w:eastAsia="Calibri" w:cs="Times New Roman"/>
                <w:b/>
                <w:sz w:val="24"/>
                <w:szCs w:val="24"/>
                <w:lang w:val="en-US"/>
              </w:rPr>
              <w:t xml:space="preserve">CVD events averted over 10 years due to treatment </w:t>
            </w:r>
          </w:p>
          <w:p w14:paraId="5827673D" w14:textId="77777777" w:rsidR="00E45C7B" w:rsidRPr="00843DF1" w:rsidRDefault="00E45C7B" w:rsidP="00CA0324">
            <w:pPr>
              <w:spacing w:after="0" w:line="240" w:lineRule="auto"/>
              <w:rPr>
                <w:rFonts w:eastAsia="Calibri" w:cs="Times New Roman"/>
                <w:b/>
                <w:sz w:val="24"/>
                <w:szCs w:val="24"/>
                <w:lang w:val="en-US"/>
              </w:rPr>
            </w:pPr>
            <w:r w:rsidRPr="00843DF1">
              <w:rPr>
                <w:rFonts w:eastAsia="Calibri" w:cs="Times New Roman"/>
                <w:b/>
                <w:sz w:val="24"/>
                <w:szCs w:val="24"/>
                <w:lang w:val="en-US"/>
              </w:rPr>
              <w:t>n (95% CI)</w:t>
            </w:r>
          </w:p>
        </w:tc>
        <w:tc>
          <w:tcPr>
            <w:tcW w:w="1559" w:type="dxa"/>
            <w:tcBorders>
              <w:top w:val="single" w:sz="8" w:space="0" w:color="929292"/>
              <w:left w:val="single" w:sz="4" w:space="0" w:color="auto"/>
              <w:bottom w:val="single" w:sz="8" w:space="0" w:color="929292"/>
              <w:right w:val="single" w:sz="8" w:space="0" w:color="929292"/>
            </w:tcBorders>
            <w:tcMar>
              <w:top w:w="80" w:type="nil"/>
              <w:left w:w="40" w:type="nil"/>
              <w:bottom w:w="40" w:type="nil"/>
              <w:right w:w="80" w:type="nil"/>
            </w:tcMar>
          </w:tcPr>
          <w:p w14:paraId="7AB07F06" w14:textId="77777777" w:rsidR="00E45C7B" w:rsidRPr="00D13D86" w:rsidRDefault="00E45C7B" w:rsidP="00CA0324">
            <w:pPr>
              <w:spacing w:after="0" w:line="240" w:lineRule="auto"/>
              <w:rPr>
                <w:rFonts w:eastAsia="Calibri" w:cs="Times New Roman"/>
                <w:b/>
                <w:sz w:val="24"/>
                <w:szCs w:val="24"/>
                <w:vertAlign w:val="superscript"/>
                <w:lang w:val="en-US"/>
              </w:rPr>
            </w:pPr>
            <w:r>
              <w:rPr>
                <w:rFonts w:eastAsia="Calibri" w:cs="Times New Roman"/>
                <w:b/>
                <w:sz w:val="24"/>
                <w:szCs w:val="24"/>
                <w:lang w:val="en-US"/>
              </w:rPr>
              <w:t xml:space="preserve">Estimated percentage reduction of </w:t>
            </w:r>
            <w:r w:rsidRPr="001C2344">
              <w:rPr>
                <w:rFonts w:eastAsia="Calibri" w:cs="Times New Roman"/>
                <w:b/>
                <w:sz w:val="24"/>
                <w:szCs w:val="24"/>
                <w:lang w:val="en-US"/>
              </w:rPr>
              <w:t xml:space="preserve">CVD events averted over 10 years compared to </w:t>
            </w:r>
            <w:r>
              <w:rPr>
                <w:rFonts w:eastAsia="Calibri" w:cs="Times New Roman"/>
                <w:b/>
                <w:sz w:val="24"/>
                <w:szCs w:val="24"/>
                <w:lang w:val="en-US"/>
              </w:rPr>
              <w:t>no treatment†</w:t>
            </w:r>
          </w:p>
          <w:p w14:paraId="600610A6" w14:textId="77777777" w:rsidR="00E45C7B" w:rsidRPr="00D13D86" w:rsidRDefault="00E45C7B" w:rsidP="00CA0324">
            <w:pPr>
              <w:spacing w:after="0" w:line="240" w:lineRule="auto"/>
              <w:rPr>
                <w:rFonts w:eastAsia="Calibri" w:cs="Times New Roman"/>
                <w:b/>
                <w:sz w:val="24"/>
                <w:szCs w:val="24"/>
                <w:lang w:val="en-US"/>
              </w:rPr>
            </w:pPr>
            <w:r w:rsidRPr="00D13D86">
              <w:rPr>
                <w:rFonts w:eastAsia="Calibri" w:cs="Times New Roman"/>
                <w:b/>
                <w:sz w:val="24"/>
                <w:szCs w:val="24"/>
                <w:lang w:val="en-US"/>
              </w:rPr>
              <w:t>% (95% CI)</w:t>
            </w:r>
          </w:p>
        </w:tc>
        <w:tc>
          <w:tcPr>
            <w:tcW w:w="1559" w:type="dxa"/>
            <w:tcBorders>
              <w:top w:val="single" w:sz="8" w:space="0" w:color="929292"/>
              <w:left w:val="single" w:sz="4" w:space="0" w:color="auto"/>
              <w:bottom w:val="single" w:sz="8" w:space="0" w:color="929292"/>
              <w:right w:val="single" w:sz="8" w:space="0" w:color="929292"/>
            </w:tcBorders>
          </w:tcPr>
          <w:p w14:paraId="63B999BA" w14:textId="77777777" w:rsidR="00E45C7B" w:rsidRPr="008C3F4C" w:rsidRDefault="00E45C7B" w:rsidP="00CA0324">
            <w:pPr>
              <w:spacing w:after="0" w:line="240" w:lineRule="auto"/>
              <w:rPr>
                <w:rFonts w:eastAsia="Calibri" w:cs="Times New Roman"/>
                <w:b/>
                <w:sz w:val="24"/>
                <w:szCs w:val="24"/>
                <w:lang w:val="en-US"/>
              </w:rPr>
            </w:pPr>
            <w:r>
              <w:rPr>
                <w:rFonts w:eastAsia="Calibri" w:cs="Times New Roman"/>
                <w:b/>
                <w:sz w:val="24"/>
                <w:szCs w:val="24"/>
                <w:lang w:val="en-US"/>
              </w:rPr>
              <w:t xml:space="preserve">Percentage change in number </w:t>
            </w:r>
            <w:r w:rsidRPr="008C3F4C">
              <w:rPr>
                <w:rFonts w:eastAsia="Calibri" w:cs="Times New Roman"/>
                <w:b/>
                <w:sz w:val="24"/>
                <w:szCs w:val="24"/>
                <w:lang w:val="en-US"/>
              </w:rPr>
              <w:t>treated compared to current practice</w:t>
            </w:r>
          </w:p>
          <w:p w14:paraId="624B6436"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 (95% CI)</w:t>
            </w:r>
          </w:p>
        </w:tc>
        <w:tc>
          <w:tcPr>
            <w:tcW w:w="1560" w:type="dxa"/>
            <w:tcBorders>
              <w:top w:val="single" w:sz="8" w:space="0" w:color="929292"/>
              <w:left w:val="single" w:sz="4" w:space="0" w:color="auto"/>
              <w:bottom w:val="single" w:sz="8" w:space="0" w:color="929292"/>
              <w:right w:val="single" w:sz="8" w:space="0" w:color="929292"/>
            </w:tcBorders>
          </w:tcPr>
          <w:p w14:paraId="01505E30" w14:textId="77777777" w:rsidR="00E45C7B" w:rsidRPr="008C3F4C" w:rsidRDefault="00E45C7B" w:rsidP="00CA0324">
            <w:pPr>
              <w:spacing w:after="0" w:line="240" w:lineRule="auto"/>
              <w:rPr>
                <w:rFonts w:eastAsia="Calibri" w:cs="Times New Roman"/>
                <w:b/>
                <w:sz w:val="24"/>
                <w:szCs w:val="24"/>
                <w:lang w:val="en-US"/>
              </w:rPr>
            </w:pPr>
            <w:r>
              <w:rPr>
                <w:rFonts w:eastAsia="Calibri" w:cs="Times New Roman"/>
                <w:b/>
                <w:sz w:val="24"/>
                <w:szCs w:val="24"/>
                <w:lang w:val="en-US"/>
              </w:rPr>
              <w:t xml:space="preserve">Percentage change in number </w:t>
            </w:r>
            <w:r w:rsidRPr="008C3F4C">
              <w:rPr>
                <w:rFonts w:eastAsia="Calibri" w:cs="Times New Roman"/>
                <w:b/>
                <w:sz w:val="24"/>
                <w:szCs w:val="24"/>
                <w:lang w:val="en-US"/>
              </w:rPr>
              <w:t>of events averted over 10 years compared to current practice</w:t>
            </w:r>
          </w:p>
          <w:p w14:paraId="033A0081"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 (95% CI)</w:t>
            </w:r>
          </w:p>
        </w:tc>
      </w:tr>
      <w:tr w:rsidR="00E45C7B" w:rsidRPr="008C3F4C" w14:paraId="52059B76" w14:textId="77777777" w:rsidTr="00AA1B05">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0ED06D4D"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Current practice</w:t>
            </w:r>
          </w:p>
        </w:tc>
        <w:tc>
          <w:tcPr>
            <w:tcW w:w="1535" w:type="dxa"/>
            <w:tcBorders>
              <w:bottom w:val="single" w:sz="8" w:space="0" w:color="929292"/>
              <w:right w:val="single" w:sz="8" w:space="0" w:color="929292"/>
            </w:tcBorders>
            <w:tcMar>
              <w:top w:w="80" w:type="nil"/>
              <w:left w:w="40" w:type="nil"/>
              <w:bottom w:w="40" w:type="nil"/>
              <w:right w:w="80" w:type="nil"/>
            </w:tcMar>
          </w:tcPr>
          <w:p w14:paraId="6CFDDB2B"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19·6</w:t>
            </w:r>
          </w:p>
          <w:p w14:paraId="61CDE34D"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(18.4-20·9)</w:t>
            </w:r>
          </w:p>
          <w:p w14:paraId="3295E35B" w14:textId="77777777" w:rsidR="00E45C7B" w:rsidRPr="00AE732E" w:rsidRDefault="00E45C7B" w:rsidP="00CA0324">
            <w:pPr>
              <w:spacing w:after="0" w:line="240" w:lineRule="auto"/>
              <w:jc w:val="center"/>
              <w:rPr>
                <w:rFonts w:eastAsia="Calibri" w:cs="Times New Roman"/>
                <w:sz w:val="24"/>
                <w:szCs w:val="24"/>
                <w:lang w:val="en-US"/>
              </w:rPr>
            </w:pPr>
          </w:p>
        </w:tc>
        <w:tc>
          <w:tcPr>
            <w:tcW w:w="1418" w:type="dxa"/>
            <w:tcBorders>
              <w:bottom w:val="single" w:sz="8" w:space="0" w:color="929292"/>
              <w:right w:val="single" w:sz="4" w:space="0" w:color="auto"/>
            </w:tcBorders>
          </w:tcPr>
          <w:p w14:paraId="3B3FE07E"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575</w:t>
            </w:r>
          </w:p>
          <w:p w14:paraId="1C9411B9"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(540-610)</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7778B8C6"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5.5</w:t>
            </w:r>
          </w:p>
          <w:p w14:paraId="6D558A93"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(5.3-5.7)</w:t>
            </w:r>
          </w:p>
        </w:tc>
        <w:tc>
          <w:tcPr>
            <w:tcW w:w="1559" w:type="dxa"/>
            <w:tcBorders>
              <w:left w:val="single" w:sz="4" w:space="0" w:color="auto"/>
              <w:bottom w:val="single" w:sz="8" w:space="0" w:color="929292"/>
              <w:right w:val="single" w:sz="8" w:space="0" w:color="929292"/>
            </w:tcBorders>
          </w:tcPr>
          <w:p w14:paraId="05B212FB"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w:t>
            </w:r>
          </w:p>
        </w:tc>
        <w:tc>
          <w:tcPr>
            <w:tcW w:w="1560" w:type="dxa"/>
            <w:tcBorders>
              <w:left w:val="single" w:sz="4" w:space="0" w:color="auto"/>
              <w:bottom w:val="single" w:sz="8" w:space="0" w:color="929292"/>
              <w:right w:val="single" w:sz="8" w:space="0" w:color="929292"/>
            </w:tcBorders>
          </w:tcPr>
          <w:p w14:paraId="1B8ED81D"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w:t>
            </w:r>
          </w:p>
        </w:tc>
      </w:tr>
      <w:tr w:rsidR="00E45C7B" w:rsidRPr="008C3F4C" w14:paraId="205B9A8A" w14:textId="77777777" w:rsidTr="00AA1B05">
        <w:tblPrEx>
          <w:tblBorders>
            <w:top w:val="none" w:sz="0" w:space="0" w:color="auto"/>
          </w:tblBorders>
        </w:tblPrEx>
        <w:tc>
          <w:tcPr>
            <w:tcW w:w="1985" w:type="dxa"/>
            <w:tcBorders>
              <w:top w:val="single" w:sz="8" w:space="0" w:color="929292"/>
              <w:left w:val="single" w:sz="8" w:space="0" w:color="929292"/>
              <w:bottom w:val="single" w:sz="8" w:space="0" w:color="929292"/>
              <w:right w:val="single" w:sz="8" w:space="0" w:color="929292"/>
            </w:tcBorders>
          </w:tcPr>
          <w:p w14:paraId="3C29F049"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of “hypertension” (BP &gt;140/90 mmHg)</w:t>
            </w:r>
          </w:p>
          <w:p w14:paraId="2FF3E202" w14:textId="77777777" w:rsidR="00E45C7B" w:rsidRPr="00AE732E" w:rsidRDefault="00E45C7B" w:rsidP="00CA0324">
            <w:pPr>
              <w:spacing w:after="0" w:line="240" w:lineRule="auto"/>
              <w:ind w:hanging="63"/>
              <w:rPr>
                <w:rFonts w:eastAsia="Calibri" w:cs="Times New Roman"/>
                <w:sz w:val="24"/>
                <w:szCs w:val="24"/>
                <w:lang w:val="en-US"/>
              </w:rPr>
            </w:pPr>
          </w:p>
        </w:tc>
        <w:tc>
          <w:tcPr>
            <w:tcW w:w="1535" w:type="dxa"/>
            <w:tcBorders>
              <w:bottom w:val="single" w:sz="8" w:space="0" w:color="929292"/>
              <w:right w:val="single" w:sz="8" w:space="0" w:color="929292"/>
            </w:tcBorders>
            <w:tcMar>
              <w:top w:w="80" w:type="nil"/>
              <w:left w:w="40" w:type="nil"/>
              <w:bottom w:w="40" w:type="nil"/>
              <w:right w:w="80" w:type="nil"/>
            </w:tcMar>
          </w:tcPr>
          <w:p w14:paraId="3A323720"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32.6</w:t>
            </w:r>
          </w:p>
          <w:p w14:paraId="33799CA5"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(30.8-34.5)</w:t>
            </w:r>
          </w:p>
        </w:tc>
        <w:tc>
          <w:tcPr>
            <w:tcW w:w="1418" w:type="dxa"/>
            <w:tcBorders>
              <w:bottom w:val="single" w:sz="8" w:space="0" w:color="929292"/>
              <w:right w:val="single" w:sz="4" w:space="0" w:color="auto"/>
            </w:tcBorders>
          </w:tcPr>
          <w:p w14:paraId="5B7B2D7F"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1002</w:t>
            </w:r>
          </w:p>
          <w:p w14:paraId="1F8D4CE3"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(945-1059)</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0ACB5B96"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9.6</w:t>
            </w:r>
          </w:p>
          <w:p w14:paraId="36854908"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(9.4-9.9)</w:t>
            </w:r>
          </w:p>
        </w:tc>
        <w:tc>
          <w:tcPr>
            <w:tcW w:w="1559" w:type="dxa"/>
            <w:tcBorders>
              <w:left w:val="single" w:sz="4" w:space="0" w:color="auto"/>
              <w:bottom w:val="single" w:sz="8" w:space="0" w:color="929292"/>
              <w:right w:val="single" w:sz="8" w:space="0" w:color="929292"/>
            </w:tcBorders>
          </w:tcPr>
          <w:p w14:paraId="324F92F2"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+66.2</w:t>
            </w:r>
          </w:p>
          <w:p w14:paraId="31C51BFE"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(65.8-66.5)</w:t>
            </w:r>
          </w:p>
        </w:tc>
        <w:tc>
          <w:tcPr>
            <w:tcW w:w="1560" w:type="dxa"/>
            <w:tcBorders>
              <w:left w:val="single" w:sz="4" w:space="0" w:color="auto"/>
              <w:bottom w:val="single" w:sz="8" w:space="0" w:color="929292"/>
              <w:right w:val="single" w:sz="8" w:space="0" w:color="929292"/>
            </w:tcBorders>
          </w:tcPr>
          <w:p w14:paraId="71CF9D16"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+75.3</w:t>
            </w:r>
          </w:p>
          <w:p w14:paraId="44CA4F93"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(73.7-76.9)</w:t>
            </w:r>
          </w:p>
        </w:tc>
      </w:tr>
      <w:tr w:rsidR="00E45C7B" w:rsidRPr="008C3F4C" w14:paraId="3CB52EB7" w14:textId="77777777" w:rsidTr="00AA1B05">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75445554"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according to NPCDCS guidelines</w:t>
            </w:r>
          </w:p>
          <w:p w14:paraId="598A765E" w14:textId="77777777" w:rsidR="00E45C7B" w:rsidRPr="00AE732E" w:rsidRDefault="00E45C7B" w:rsidP="00CA0324">
            <w:pPr>
              <w:spacing w:after="0" w:line="240" w:lineRule="auto"/>
              <w:ind w:hanging="63"/>
              <w:rPr>
                <w:rFonts w:eastAsia="Calibri" w:cs="Times New Roman"/>
                <w:sz w:val="24"/>
                <w:szCs w:val="24"/>
                <w:lang w:val="en-US"/>
              </w:rPr>
            </w:pPr>
          </w:p>
        </w:tc>
        <w:tc>
          <w:tcPr>
            <w:tcW w:w="1535" w:type="dxa"/>
            <w:tcBorders>
              <w:bottom w:val="single" w:sz="8" w:space="0" w:color="929292"/>
              <w:right w:val="single" w:sz="8" w:space="0" w:color="929292"/>
            </w:tcBorders>
            <w:tcMar>
              <w:top w:w="80" w:type="nil"/>
              <w:left w:w="40" w:type="nil"/>
              <w:bottom w:w="40" w:type="nil"/>
              <w:right w:w="80" w:type="nil"/>
            </w:tcMar>
          </w:tcPr>
          <w:p w14:paraId="2FEBE1EB"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21.0</w:t>
            </w:r>
          </w:p>
          <w:p w14:paraId="0746D22F"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(19·9-22.2)</w:t>
            </w:r>
          </w:p>
          <w:p w14:paraId="42FA186F" w14:textId="77777777" w:rsidR="00E45C7B" w:rsidRPr="00843DF1" w:rsidRDefault="00E45C7B" w:rsidP="00CA0324">
            <w:pPr>
              <w:spacing w:after="0" w:line="240" w:lineRule="auto"/>
              <w:jc w:val="center"/>
              <w:rPr>
                <w:rFonts w:eastAsia="Calibri" w:cs="Times New Roman"/>
                <w:sz w:val="24"/>
                <w:szCs w:val="24"/>
                <w:lang w:val="en-US"/>
              </w:rPr>
            </w:pPr>
          </w:p>
        </w:tc>
        <w:tc>
          <w:tcPr>
            <w:tcW w:w="1418" w:type="dxa"/>
            <w:tcBorders>
              <w:bottom w:val="single" w:sz="8" w:space="0" w:color="929292"/>
              <w:right w:val="single" w:sz="4" w:space="0" w:color="auto"/>
            </w:tcBorders>
          </w:tcPr>
          <w:p w14:paraId="0F883F7B"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1040</w:t>
            </w:r>
          </w:p>
          <w:p w14:paraId="78F80D66"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(983-1096)</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5F26F957"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10.0</w:t>
            </w:r>
          </w:p>
          <w:p w14:paraId="75385F09"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(9.7-10.2)</w:t>
            </w:r>
          </w:p>
        </w:tc>
        <w:tc>
          <w:tcPr>
            <w:tcW w:w="1559" w:type="dxa"/>
            <w:tcBorders>
              <w:left w:val="single" w:sz="4" w:space="0" w:color="auto"/>
              <w:bottom w:val="single" w:sz="8" w:space="0" w:color="929292"/>
              <w:right w:val="single" w:sz="8" w:space="0" w:color="929292"/>
            </w:tcBorders>
          </w:tcPr>
          <w:p w14:paraId="0EA2D3B5"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+7·2</w:t>
            </w:r>
          </w:p>
          <w:p w14:paraId="17A08EEA"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(6.9-7.4)</w:t>
            </w:r>
          </w:p>
        </w:tc>
        <w:tc>
          <w:tcPr>
            <w:tcW w:w="1560" w:type="dxa"/>
            <w:tcBorders>
              <w:left w:val="single" w:sz="4" w:space="0" w:color="auto"/>
              <w:bottom w:val="single" w:sz="8" w:space="0" w:color="929292"/>
              <w:right w:val="single" w:sz="8" w:space="0" w:color="929292"/>
            </w:tcBorders>
          </w:tcPr>
          <w:p w14:paraId="0597576A"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+81.6</w:t>
            </w:r>
          </w:p>
          <w:p w14:paraId="1A013E06"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(80.1-83.0)</w:t>
            </w:r>
          </w:p>
        </w:tc>
      </w:tr>
      <w:tr w:rsidR="00E45C7B" w:rsidRPr="008C3F4C" w14:paraId="5758A926" w14:textId="77777777" w:rsidTr="00AA1B05">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0DCE07B6"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of all at intermediate and high risk</w:t>
            </w:r>
          </w:p>
          <w:p w14:paraId="340A93CE" w14:textId="77777777" w:rsidR="00E45C7B" w:rsidRPr="00AE732E" w:rsidRDefault="00E45C7B" w:rsidP="00CA0324">
            <w:pPr>
              <w:spacing w:after="0" w:line="240" w:lineRule="auto"/>
              <w:ind w:hanging="63"/>
              <w:rPr>
                <w:rFonts w:eastAsia="Calibri" w:cs="Times New Roman"/>
                <w:sz w:val="24"/>
                <w:szCs w:val="24"/>
                <w:lang w:val="en-US"/>
              </w:rPr>
            </w:pPr>
          </w:p>
        </w:tc>
        <w:tc>
          <w:tcPr>
            <w:tcW w:w="1535" w:type="dxa"/>
            <w:tcBorders>
              <w:bottom w:val="single" w:sz="8" w:space="0" w:color="929292"/>
              <w:right w:val="single" w:sz="8" w:space="0" w:color="929292"/>
            </w:tcBorders>
            <w:tcMar>
              <w:top w:w="80" w:type="nil"/>
              <w:left w:w="40" w:type="nil"/>
              <w:bottom w:w="40" w:type="nil"/>
              <w:right w:w="80" w:type="nil"/>
            </w:tcMar>
          </w:tcPr>
          <w:p w14:paraId="14D512A4"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23.2</w:t>
            </w:r>
          </w:p>
          <w:p w14:paraId="4D38D806"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(22.0-24.3)</w:t>
            </w:r>
          </w:p>
          <w:p w14:paraId="18C42BBC" w14:textId="77777777" w:rsidR="00E45C7B" w:rsidRPr="00843DF1" w:rsidRDefault="00E45C7B" w:rsidP="00CA0324">
            <w:pPr>
              <w:spacing w:after="0" w:line="240" w:lineRule="auto"/>
              <w:jc w:val="center"/>
              <w:rPr>
                <w:rFonts w:eastAsia="Calibri" w:cs="Times New Roman"/>
                <w:sz w:val="24"/>
                <w:szCs w:val="24"/>
                <w:lang w:val="en-US"/>
              </w:rPr>
            </w:pPr>
          </w:p>
        </w:tc>
        <w:tc>
          <w:tcPr>
            <w:tcW w:w="1418" w:type="dxa"/>
            <w:tcBorders>
              <w:bottom w:val="single" w:sz="8" w:space="0" w:color="929292"/>
              <w:right w:val="single" w:sz="4" w:space="0" w:color="auto"/>
            </w:tcBorders>
          </w:tcPr>
          <w:p w14:paraId="38CE7EB3"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1090</w:t>
            </w:r>
          </w:p>
          <w:p w14:paraId="64DF63BB"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(1035-1145)</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6901DA71"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10.4</w:t>
            </w:r>
          </w:p>
          <w:p w14:paraId="07261545"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(10.2-10.7)</w:t>
            </w:r>
          </w:p>
        </w:tc>
        <w:tc>
          <w:tcPr>
            <w:tcW w:w="1559" w:type="dxa"/>
            <w:tcBorders>
              <w:left w:val="single" w:sz="4" w:space="0" w:color="auto"/>
              <w:bottom w:val="single" w:sz="8" w:space="0" w:color="929292"/>
              <w:right w:val="single" w:sz="8" w:space="0" w:color="929292"/>
            </w:tcBorders>
          </w:tcPr>
          <w:p w14:paraId="5B0AA0FA"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+17.9</w:t>
            </w:r>
          </w:p>
          <w:p w14:paraId="41CE7767"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(17.6-18.2)</w:t>
            </w:r>
          </w:p>
        </w:tc>
        <w:tc>
          <w:tcPr>
            <w:tcW w:w="1560" w:type="dxa"/>
            <w:tcBorders>
              <w:left w:val="single" w:sz="4" w:space="0" w:color="auto"/>
              <w:bottom w:val="single" w:sz="8" w:space="0" w:color="929292"/>
              <w:right w:val="single" w:sz="8" w:space="0" w:color="929292"/>
            </w:tcBorders>
          </w:tcPr>
          <w:p w14:paraId="28C7896E"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+90.2</w:t>
            </w:r>
          </w:p>
          <w:p w14:paraId="09F000BB"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(89.1-91.3)</w:t>
            </w:r>
          </w:p>
        </w:tc>
      </w:tr>
      <w:tr w:rsidR="00E45C7B" w:rsidRPr="008C3F4C" w14:paraId="61DDD430" w14:textId="77777777" w:rsidTr="00AA1B05">
        <w:tblPrEx>
          <w:tblBorders>
            <w:top w:val="none" w:sz="0" w:space="0" w:color="auto"/>
          </w:tblBorders>
        </w:tblPrEx>
        <w:tc>
          <w:tcPr>
            <w:tcW w:w="1985" w:type="dxa"/>
            <w:tcBorders>
              <w:top w:val="single" w:sz="8" w:space="0" w:color="929292"/>
              <w:left w:val="single" w:sz="8" w:space="0" w:color="929292"/>
              <w:bottom w:val="single" w:sz="8" w:space="0" w:color="929292"/>
              <w:right w:val="single" w:sz="8" w:space="0" w:color="929292"/>
            </w:tcBorders>
          </w:tcPr>
          <w:p w14:paraId="7F5DFEE0"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 xml:space="preserve">Treatment of all at high risk </w:t>
            </w:r>
          </w:p>
        </w:tc>
        <w:tc>
          <w:tcPr>
            <w:tcW w:w="1535" w:type="dxa"/>
            <w:tcBorders>
              <w:bottom w:val="single" w:sz="8" w:space="0" w:color="929292"/>
              <w:right w:val="single" w:sz="8" w:space="0" w:color="929292"/>
            </w:tcBorders>
            <w:tcMar>
              <w:top w:w="80" w:type="nil"/>
              <w:left w:w="40" w:type="nil"/>
              <w:bottom w:w="40" w:type="nil"/>
              <w:right w:w="80" w:type="nil"/>
            </w:tcMar>
          </w:tcPr>
          <w:p w14:paraId="5407E30A"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17.9</w:t>
            </w:r>
          </w:p>
          <w:p w14:paraId="4D9DE6A6"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(16·9-18.8)</w:t>
            </w:r>
          </w:p>
          <w:p w14:paraId="3DA65D59" w14:textId="77777777" w:rsidR="00E45C7B" w:rsidRPr="00AE732E" w:rsidRDefault="00E45C7B" w:rsidP="00CA0324">
            <w:pPr>
              <w:spacing w:after="0" w:line="240" w:lineRule="auto"/>
              <w:jc w:val="center"/>
              <w:rPr>
                <w:rFonts w:eastAsia="Calibri" w:cs="Times New Roman"/>
                <w:sz w:val="24"/>
                <w:szCs w:val="24"/>
                <w:lang w:val="en-US"/>
              </w:rPr>
            </w:pPr>
          </w:p>
        </w:tc>
        <w:tc>
          <w:tcPr>
            <w:tcW w:w="1418" w:type="dxa"/>
            <w:tcBorders>
              <w:bottom w:val="single" w:sz="8" w:space="0" w:color="929292"/>
              <w:right w:val="single" w:sz="4" w:space="0" w:color="auto"/>
            </w:tcBorders>
          </w:tcPr>
          <w:p w14:paraId="32580084"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967</w:t>
            </w:r>
          </w:p>
          <w:p w14:paraId="751891FB"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(9914-1019)</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4AA535B5"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9.3</w:t>
            </w:r>
          </w:p>
          <w:p w14:paraId="3F0A2D68"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(9.0-9.5)</w:t>
            </w:r>
          </w:p>
        </w:tc>
        <w:tc>
          <w:tcPr>
            <w:tcW w:w="1559" w:type="dxa"/>
            <w:tcBorders>
              <w:left w:val="single" w:sz="4" w:space="0" w:color="auto"/>
              <w:bottom w:val="single" w:sz="8" w:space="0" w:color="929292"/>
              <w:right w:val="single" w:sz="8" w:space="0" w:color="929292"/>
            </w:tcBorders>
          </w:tcPr>
          <w:p w14:paraId="047CC1A8"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-9.0</w:t>
            </w:r>
          </w:p>
          <w:p w14:paraId="411DF976"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((-8.8)-(-9.2))</w:t>
            </w:r>
          </w:p>
        </w:tc>
        <w:tc>
          <w:tcPr>
            <w:tcW w:w="1560" w:type="dxa"/>
            <w:tcBorders>
              <w:left w:val="single" w:sz="4" w:space="0" w:color="auto"/>
              <w:bottom w:val="single" w:sz="8" w:space="0" w:color="929292"/>
              <w:right w:val="single" w:sz="8" w:space="0" w:color="929292"/>
            </w:tcBorders>
          </w:tcPr>
          <w:p w14:paraId="35F7FCE2"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+68.8</w:t>
            </w:r>
          </w:p>
          <w:p w14:paraId="05AD3BDA"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(67.1-70.6)</w:t>
            </w:r>
          </w:p>
        </w:tc>
      </w:tr>
    </w:tbl>
    <w:p w14:paraId="162225E8" w14:textId="77777777" w:rsidR="00E45C7B" w:rsidRPr="008C3F4C" w:rsidRDefault="00E45C7B" w:rsidP="00CA0324">
      <w:pPr>
        <w:spacing w:after="0" w:line="240" w:lineRule="auto"/>
        <w:rPr>
          <w:rFonts w:eastAsia="Calibri" w:cs="Times New Roman"/>
          <w:sz w:val="24"/>
          <w:szCs w:val="24"/>
          <w:lang w:val="en-US"/>
        </w:rPr>
      </w:pPr>
      <w:r w:rsidRPr="008C3F4C">
        <w:rPr>
          <w:rFonts w:eastAsia="Calibri" w:cs="Times New Roman"/>
          <w:sz w:val="24"/>
          <w:szCs w:val="24"/>
          <w:lang w:val="en-US"/>
        </w:rPr>
        <w:t>*Weighted estimates</w:t>
      </w:r>
    </w:p>
    <w:p w14:paraId="37150169" w14:textId="77777777" w:rsidR="00E45C7B" w:rsidRPr="00AE732E" w:rsidRDefault="00E45C7B" w:rsidP="00CA0324">
      <w:pPr>
        <w:spacing w:after="0" w:line="240" w:lineRule="auto"/>
        <w:rPr>
          <w:rFonts w:eastAsia="Calibri" w:cs="Times New Roman"/>
          <w:sz w:val="24"/>
          <w:szCs w:val="24"/>
          <w:lang w:val="en-US"/>
        </w:rPr>
      </w:pPr>
      <w:r>
        <w:rPr>
          <w:rFonts w:eastAsia="Calibri" w:cs="Times New Roman"/>
          <w:sz w:val="24"/>
          <w:szCs w:val="24"/>
          <w:lang w:val="en-US"/>
        </w:rPr>
        <w:t>†</w:t>
      </w:r>
      <w:r w:rsidRPr="00AE732E">
        <w:rPr>
          <w:rFonts w:eastAsia="Calibri" w:cs="Times New Roman"/>
          <w:sz w:val="24"/>
          <w:szCs w:val="24"/>
          <w:lang w:val="en-US"/>
        </w:rPr>
        <w:t>Estimated number of CVD events over 10 years in the untreated population is 10473. This estimate is based on the population risk distribution after adjustment of BP levels in those on BP lowering treatment.</w:t>
      </w:r>
    </w:p>
    <w:p w14:paraId="3BE3E19A" w14:textId="77777777" w:rsidR="00E45C7B" w:rsidRPr="00843DF1" w:rsidRDefault="00E45C7B" w:rsidP="00CA0324">
      <w:pPr>
        <w:spacing w:after="0" w:line="240" w:lineRule="auto"/>
        <w:rPr>
          <w:rFonts w:eastAsia="MS Mincho" w:cs="Times New Roman"/>
          <w:sz w:val="24"/>
          <w:szCs w:val="24"/>
          <w:lang w:val="en-US"/>
        </w:rPr>
      </w:pPr>
      <w:r w:rsidRPr="00AE732E">
        <w:rPr>
          <w:rFonts w:eastAsia="Calibri" w:cs="Times New Roman"/>
          <w:sz w:val="24"/>
          <w:szCs w:val="24"/>
          <w:lang w:val="en-US"/>
        </w:rPr>
        <w:t xml:space="preserve">BP – blood pressure; CVD – cardiovascular disease; NPCDCS – </w:t>
      </w:r>
      <w:r>
        <w:rPr>
          <w:rFonts w:eastAsia="Calibri" w:cs="Times New Roman"/>
          <w:sz w:val="24"/>
          <w:szCs w:val="24"/>
          <w:lang w:val="en-US"/>
        </w:rPr>
        <w:t>National Program</w:t>
      </w:r>
      <w:r w:rsidRPr="00AE732E">
        <w:rPr>
          <w:rFonts w:eastAsia="Calibri" w:cs="Times New Roman"/>
          <w:sz w:val="24"/>
          <w:szCs w:val="24"/>
          <w:lang w:val="en-US"/>
        </w:rPr>
        <w:t xml:space="preserve"> on prevention and c</w:t>
      </w:r>
      <w:r w:rsidRPr="00843DF1">
        <w:rPr>
          <w:rFonts w:eastAsia="Calibri" w:cs="Times New Roman"/>
          <w:sz w:val="24"/>
          <w:szCs w:val="24"/>
          <w:lang w:val="en-US"/>
        </w:rPr>
        <w:t xml:space="preserve">ontrol of </w:t>
      </w:r>
      <w:r>
        <w:rPr>
          <w:rFonts w:eastAsia="Calibri" w:cs="Times New Roman"/>
          <w:sz w:val="24"/>
          <w:szCs w:val="24"/>
          <w:lang w:val="en-US"/>
        </w:rPr>
        <w:t xml:space="preserve">Cancer, </w:t>
      </w:r>
      <w:r w:rsidRPr="00843DF1">
        <w:rPr>
          <w:rFonts w:eastAsia="Calibri" w:cs="Times New Roman"/>
          <w:sz w:val="24"/>
          <w:szCs w:val="24"/>
          <w:lang w:val="en-US"/>
        </w:rPr>
        <w:t>Dia</w:t>
      </w:r>
      <w:r>
        <w:rPr>
          <w:rFonts w:eastAsia="Calibri" w:cs="Times New Roman"/>
          <w:sz w:val="24"/>
          <w:szCs w:val="24"/>
          <w:lang w:val="en-US"/>
        </w:rPr>
        <w:t xml:space="preserve">betes, Cardiovascular diseases </w:t>
      </w:r>
      <w:r w:rsidRPr="00843DF1">
        <w:rPr>
          <w:rFonts w:eastAsia="Calibri" w:cs="Times New Roman"/>
          <w:sz w:val="24"/>
          <w:szCs w:val="24"/>
          <w:lang w:val="en-US"/>
        </w:rPr>
        <w:t>and Stroke</w:t>
      </w:r>
    </w:p>
    <w:p w14:paraId="30529D39" w14:textId="77777777" w:rsidR="00E45C7B" w:rsidRPr="002E1EA4" w:rsidRDefault="00E45C7B" w:rsidP="00CA0324">
      <w:pPr>
        <w:spacing w:after="0" w:line="240" w:lineRule="auto"/>
        <w:rPr>
          <w:rFonts w:eastAsia="Times New Roman" w:cs="Times New Roman"/>
          <w:bCs/>
          <w:sz w:val="24"/>
          <w:szCs w:val="24"/>
        </w:rPr>
      </w:pPr>
    </w:p>
    <w:p w14:paraId="6C666A19" w14:textId="77777777" w:rsidR="00E45C7B" w:rsidRPr="002E1EA4" w:rsidRDefault="00E45C7B" w:rsidP="00CA0324">
      <w:pPr>
        <w:spacing w:after="0" w:line="240" w:lineRule="auto"/>
        <w:rPr>
          <w:rFonts w:eastAsia="Times New Roman" w:cs="Times New Roman"/>
          <w:b/>
          <w:bCs/>
          <w:sz w:val="24"/>
          <w:szCs w:val="24"/>
        </w:rPr>
      </w:pPr>
      <w:r w:rsidRPr="002E1EA4">
        <w:rPr>
          <w:rFonts w:eastAsia="Times New Roman" w:cs="Times New Roman"/>
          <w:b/>
          <w:bCs/>
          <w:sz w:val="24"/>
          <w:szCs w:val="24"/>
        </w:rPr>
        <w:br w:type="page"/>
      </w:r>
    </w:p>
    <w:p w14:paraId="30012B7B" w14:textId="43D047A9" w:rsidR="00E45C7B" w:rsidRPr="002E1EA4" w:rsidRDefault="00E45C7B" w:rsidP="00CA0324">
      <w:pPr>
        <w:rPr>
          <w:rFonts w:eastAsia="Times New Roman" w:cs="Times New Roman"/>
          <w:bCs/>
          <w:sz w:val="24"/>
          <w:szCs w:val="24"/>
        </w:rPr>
      </w:pPr>
      <w:r w:rsidRPr="002E1EA4">
        <w:rPr>
          <w:rFonts w:eastAsia="Times New Roman" w:cs="Times New Roman"/>
          <w:b/>
          <w:bCs/>
          <w:sz w:val="24"/>
          <w:szCs w:val="24"/>
        </w:rPr>
        <w:lastRenderedPageBreak/>
        <w:t xml:space="preserve">Table </w:t>
      </w:r>
      <w:r w:rsidR="00F51F0B">
        <w:rPr>
          <w:rFonts w:eastAsia="Times New Roman" w:cs="Times New Roman"/>
          <w:b/>
          <w:bCs/>
          <w:sz w:val="24"/>
          <w:szCs w:val="24"/>
        </w:rPr>
        <w:t>S</w:t>
      </w:r>
      <w:r w:rsidRPr="002E1EA4">
        <w:rPr>
          <w:rFonts w:eastAsia="Times New Roman" w:cs="Times New Roman"/>
          <w:b/>
          <w:bCs/>
          <w:sz w:val="24"/>
          <w:szCs w:val="24"/>
        </w:rPr>
        <w:t>3-</w:t>
      </w:r>
      <w:r w:rsidRPr="002E1EA4">
        <w:rPr>
          <w:rFonts w:eastAsia="Times New Roman" w:cs="Times New Roman"/>
          <w:bCs/>
          <w:sz w:val="24"/>
          <w:szCs w:val="24"/>
        </w:rPr>
        <w:t xml:space="preserve"> Comparison of treatment paradigms for BP lowering, assuming relative risk reduction from BP lowering drug therapy of 10%, maintaining all other assumptions as in Table 2*</w:t>
      </w:r>
    </w:p>
    <w:tbl>
      <w:tblPr>
        <w:tblW w:w="9616" w:type="dxa"/>
        <w:tblInd w:w="-10" w:type="dxa"/>
        <w:tblBorders>
          <w:top w:val="nil"/>
          <w:left w:val="nil"/>
          <w:right w:val="nil"/>
        </w:tblBorders>
        <w:tblLayout w:type="fixed"/>
        <w:tblLook w:val="0000" w:firstRow="0" w:lastRow="0" w:firstColumn="0" w:lastColumn="0" w:noHBand="0" w:noVBand="0"/>
      </w:tblPr>
      <w:tblGrid>
        <w:gridCol w:w="1985"/>
        <w:gridCol w:w="1559"/>
        <w:gridCol w:w="1394"/>
        <w:gridCol w:w="1559"/>
        <w:gridCol w:w="1559"/>
        <w:gridCol w:w="1560"/>
      </w:tblGrid>
      <w:tr w:rsidR="00E45C7B" w:rsidRPr="008C3F4C" w14:paraId="29AC2C74" w14:textId="77777777" w:rsidTr="00CA0324">
        <w:tc>
          <w:tcPr>
            <w:tcW w:w="1985" w:type="dxa"/>
            <w:tcBorders>
              <w:top w:val="single" w:sz="8" w:space="0" w:color="929292"/>
              <w:left w:val="single" w:sz="8" w:space="0" w:color="929292"/>
              <w:bottom w:val="single" w:sz="8" w:space="0" w:color="929292"/>
              <w:right w:val="single" w:sz="8" w:space="0" w:color="929292"/>
            </w:tcBorders>
          </w:tcPr>
          <w:p w14:paraId="37EDE4D3"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Treatment paradigm for BP lowering</w:t>
            </w:r>
          </w:p>
        </w:tc>
        <w:tc>
          <w:tcPr>
            <w:tcW w:w="1559" w:type="dxa"/>
            <w:tcBorders>
              <w:top w:val="single" w:sz="8" w:space="0" w:color="929292"/>
              <w:bottom w:val="single" w:sz="8" w:space="0" w:color="929292"/>
              <w:right w:val="single" w:sz="8" w:space="0" w:color="929292"/>
            </w:tcBorders>
            <w:tcMar>
              <w:top w:w="80" w:type="nil"/>
              <w:left w:w="40" w:type="nil"/>
              <w:bottom w:w="40" w:type="nil"/>
              <w:right w:w="80" w:type="nil"/>
            </w:tcMar>
          </w:tcPr>
          <w:p w14:paraId="3C705602"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xml:space="preserve">% Population treated </w:t>
            </w:r>
          </w:p>
          <w:p w14:paraId="3CA05F05"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(95% CI)</w:t>
            </w:r>
          </w:p>
        </w:tc>
        <w:tc>
          <w:tcPr>
            <w:tcW w:w="1394" w:type="dxa"/>
            <w:tcBorders>
              <w:top w:val="single" w:sz="8" w:space="0" w:color="929292"/>
              <w:bottom w:val="single" w:sz="8" w:space="0" w:color="929292"/>
              <w:right w:val="single" w:sz="4" w:space="0" w:color="auto"/>
            </w:tcBorders>
          </w:tcPr>
          <w:p w14:paraId="6F6A29EA" w14:textId="77777777" w:rsidR="00E45C7B" w:rsidRPr="00843DF1" w:rsidRDefault="00E45C7B" w:rsidP="00CA0324">
            <w:pPr>
              <w:spacing w:after="0" w:line="240" w:lineRule="auto"/>
              <w:rPr>
                <w:rFonts w:eastAsia="Calibri" w:cs="Times New Roman"/>
                <w:b/>
                <w:sz w:val="24"/>
                <w:szCs w:val="24"/>
                <w:lang w:val="en-US"/>
              </w:rPr>
            </w:pPr>
            <w:r w:rsidRPr="00843DF1">
              <w:rPr>
                <w:rFonts w:eastAsia="Calibri" w:cs="Times New Roman"/>
                <w:b/>
                <w:sz w:val="24"/>
                <w:szCs w:val="24"/>
                <w:lang w:val="en-US"/>
              </w:rPr>
              <w:t xml:space="preserve">CVD events averted over 10 years due to treatment </w:t>
            </w:r>
          </w:p>
          <w:p w14:paraId="56D6F3D0" w14:textId="77777777" w:rsidR="00E45C7B" w:rsidRPr="00843DF1" w:rsidRDefault="00E45C7B" w:rsidP="00CA0324">
            <w:pPr>
              <w:spacing w:after="0" w:line="240" w:lineRule="auto"/>
              <w:rPr>
                <w:rFonts w:eastAsia="Calibri" w:cs="Times New Roman"/>
                <w:b/>
                <w:sz w:val="24"/>
                <w:szCs w:val="24"/>
                <w:lang w:val="en-US"/>
              </w:rPr>
            </w:pPr>
            <w:r w:rsidRPr="00843DF1">
              <w:rPr>
                <w:rFonts w:eastAsia="Calibri" w:cs="Times New Roman"/>
                <w:b/>
                <w:sz w:val="24"/>
                <w:szCs w:val="24"/>
                <w:lang w:val="en-US"/>
              </w:rPr>
              <w:t>n (95% CI)</w:t>
            </w:r>
          </w:p>
        </w:tc>
        <w:tc>
          <w:tcPr>
            <w:tcW w:w="1559" w:type="dxa"/>
            <w:tcBorders>
              <w:top w:val="single" w:sz="8" w:space="0" w:color="929292"/>
              <w:left w:val="single" w:sz="4" w:space="0" w:color="auto"/>
              <w:bottom w:val="single" w:sz="8" w:space="0" w:color="929292"/>
              <w:right w:val="single" w:sz="8" w:space="0" w:color="929292"/>
            </w:tcBorders>
            <w:tcMar>
              <w:top w:w="80" w:type="nil"/>
              <w:left w:w="40" w:type="nil"/>
              <w:bottom w:w="40" w:type="nil"/>
              <w:right w:w="80" w:type="nil"/>
            </w:tcMar>
          </w:tcPr>
          <w:p w14:paraId="0F544B81" w14:textId="77777777" w:rsidR="00E45C7B" w:rsidRPr="00843DF1" w:rsidRDefault="00E45C7B" w:rsidP="00CA0324">
            <w:pPr>
              <w:spacing w:after="0" w:line="240" w:lineRule="auto"/>
              <w:rPr>
                <w:rFonts w:eastAsia="Calibri" w:cs="Times New Roman"/>
                <w:b/>
                <w:sz w:val="24"/>
                <w:szCs w:val="24"/>
                <w:vertAlign w:val="superscript"/>
                <w:lang w:val="en-US"/>
              </w:rPr>
            </w:pPr>
            <w:r>
              <w:rPr>
                <w:rFonts w:eastAsia="Calibri" w:cs="Times New Roman"/>
                <w:b/>
                <w:sz w:val="24"/>
                <w:szCs w:val="24"/>
                <w:lang w:val="en-US"/>
              </w:rPr>
              <w:t xml:space="preserve">Estimated percentage reduction of </w:t>
            </w:r>
            <w:r w:rsidRPr="001C2344">
              <w:rPr>
                <w:rFonts w:eastAsia="Calibri" w:cs="Times New Roman"/>
                <w:b/>
                <w:sz w:val="24"/>
                <w:szCs w:val="24"/>
                <w:lang w:val="en-US"/>
              </w:rPr>
              <w:t xml:space="preserve">CVD events averted over 10 years compared to </w:t>
            </w:r>
            <w:r>
              <w:rPr>
                <w:rFonts w:eastAsia="Calibri" w:cs="Times New Roman"/>
                <w:b/>
                <w:sz w:val="24"/>
                <w:szCs w:val="24"/>
                <w:lang w:val="en-US"/>
              </w:rPr>
              <w:t>no treatment†</w:t>
            </w:r>
          </w:p>
          <w:p w14:paraId="2FE15EA5" w14:textId="77777777" w:rsidR="00E45C7B" w:rsidRPr="00D13D86" w:rsidRDefault="00E45C7B" w:rsidP="00CA0324">
            <w:pPr>
              <w:spacing w:after="0" w:line="240" w:lineRule="auto"/>
              <w:rPr>
                <w:rFonts w:eastAsia="Calibri" w:cs="Times New Roman"/>
                <w:b/>
                <w:sz w:val="24"/>
                <w:szCs w:val="24"/>
                <w:lang w:val="en-US"/>
              </w:rPr>
            </w:pPr>
            <w:r w:rsidRPr="00D13D86">
              <w:rPr>
                <w:rFonts w:eastAsia="Calibri" w:cs="Times New Roman"/>
                <w:b/>
                <w:sz w:val="24"/>
                <w:szCs w:val="24"/>
                <w:lang w:val="en-US"/>
              </w:rPr>
              <w:t>% (95% CI)</w:t>
            </w:r>
          </w:p>
        </w:tc>
        <w:tc>
          <w:tcPr>
            <w:tcW w:w="1559" w:type="dxa"/>
            <w:tcBorders>
              <w:top w:val="single" w:sz="8" w:space="0" w:color="929292"/>
              <w:left w:val="single" w:sz="4" w:space="0" w:color="auto"/>
              <w:bottom w:val="single" w:sz="8" w:space="0" w:color="929292"/>
              <w:right w:val="single" w:sz="8" w:space="0" w:color="929292"/>
            </w:tcBorders>
          </w:tcPr>
          <w:p w14:paraId="73F89E0E" w14:textId="77777777" w:rsidR="00E45C7B" w:rsidRPr="001C2344" w:rsidRDefault="00E45C7B" w:rsidP="00C767F3">
            <w:pPr>
              <w:spacing w:after="0" w:line="240" w:lineRule="auto"/>
              <w:rPr>
                <w:rFonts w:eastAsia="Calibri" w:cs="Times New Roman"/>
                <w:b/>
                <w:sz w:val="24"/>
                <w:szCs w:val="24"/>
                <w:lang w:val="en-US"/>
              </w:rPr>
            </w:pPr>
            <w:r>
              <w:rPr>
                <w:rFonts w:eastAsia="Calibri" w:cs="Times New Roman"/>
                <w:b/>
                <w:sz w:val="24"/>
                <w:szCs w:val="24"/>
                <w:lang w:val="en-US"/>
              </w:rPr>
              <w:t xml:space="preserve">Percentage change in number </w:t>
            </w:r>
            <w:r w:rsidRPr="001C2344">
              <w:rPr>
                <w:rFonts w:eastAsia="Calibri" w:cs="Times New Roman"/>
                <w:b/>
                <w:sz w:val="24"/>
                <w:szCs w:val="24"/>
                <w:lang w:val="en-US"/>
              </w:rPr>
              <w:t>treated compared to current practice</w:t>
            </w:r>
          </w:p>
          <w:p w14:paraId="23D46F2E" w14:textId="77777777" w:rsidR="00E45C7B" w:rsidRPr="008C3F4C" w:rsidRDefault="00E45C7B" w:rsidP="00C767F3">
            <w:pPr>
              <w:spacing w:after="0" w:line="240" w:lineRule="auto"/>
              <w:rPr>
                <w:rFonts w:eastAsia="Calibri" w:cs="Times New Roman"/>
                <w:b/>
                <w:sz w:val="24"/>
                <w:szCs w:val="24"/>
                <w:lang w:val="en-US"/>
              </w:rPr>
            </w:pPr>
            <w:r w:rsidRPr="001C2344">
              <w:rPr>
                <w:rFonts w:eastAsia="Calibri" w:cs="Times New Roman"/>
                <w:b/>
                <w:sz w:val="24"/>
                <w:szCs w:val="24"/>
                <w:lang w:val="en-US"/>
              </w:rPr>
              <w:t>% (95% CI)</w:t>
            </w:r>
          </w:p>
        </w:tc>
        <w:tc>
          <w:tcPr>
            <w:tcW w:w="1560" w:type="dxa"/>
            <w:tcBorders>
              <w:top w:val="single" w:sz="8" w:space="0" w:color="929292"/>
              <w:left w:val="single" w:sz="4" w:space="0" w:color="auto"/>
              <w:bottom w:val="single" w:sz="8" w:space="0" w:color="929292"/>
              <w:right w:val="single" w:sz="8" w:space="0" w:color="929292"/>
            </w:tcBorders>
          </w:tcPr>
          <w:p w14:paraId="27BA075D" w14:textId="77777777" w:rsidR="00E45C7B" w:rsidRPr="008C3F4C" w:rsidRDefault="00E45C7B" w:rsidP="00CA0324">
            <w:pPr>
              <w:spacing w:after="0" w:line="240" w:lineRule="auto"/>
              <w:rPr>
                <w:rFonts w:eastAsia="Calibri" w:cs="Times New Roman"/>
                <w:b/>
                <w:sz w:val="24"/>
                <w:szCs w:val="24"/>
                <w:lang w:val="en-US"/>
              </w:rPr>
            </w:pPr>
            <w:r>
              <w:rPr>
                <w:rFonts w:eastAsia="Calibri" w:cs="Times New Roman"/>
                <w:b/>
                <w:sz w:val="24"/>
                <w:szCs w:val="24"/>
                <w:lang w:val="en-US"/>
              </w:rPr>
              <w:t xml:space="preserve">Percentage change in number </w:t>
            </w:r>
            <w:r w:rsidRPr="008C3F4C">
              <w:rPr>
                <w:rFonts w:eastAsia="Calibri" w:cs="Times New Roman"/>
                <w:b/>
                <w:sz w:val="24"/>
                <w:szCs w:val="24"/>
                <w:lang w:val="en-US"/>
              </w:rPr>
              <w:t>of events averted over 10 years compared to current practice</w:t>
            </w:r>
          </w:p>
          <w:p w14:paraId="26B9317C"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 (95% CI)</w:t>
            </w:r>
          </w:p>
        </w:tc>
      </w:tr>
      <w:tr w:rsidR="00E45C7B" w:rsidRPr="008C3F4C" w14:paraId="5A226333" w14:textId="77777777" w:rsidTr="00CA0324">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4D321FC7"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Current practice</w:t>
            </w:r>
          </w:p>
        </w:tc>
        <w:tc>
          <w:tcPr>
            <w:tcW w:w="1559" w:type="dxa"/>
            <w:tcBorders>
              <w:bottom w:val="single" w:sz="8" w:space="0" w:color="929292"/>
              <w:right w:val="single" w:sz="8" w:space="0" w:color="929292"/>
            </w:tcBorders>
            <w:tcMar>
              <w:top w:w="80" w:type="nil"/>
              <w:left w:w="40" w:type="nil"/>
              <w:bottom w:w="40" w:type="nil"/>
              <w:right w:w="80" w:type="nil"/>
            </w:tcMar>
          </w:tcPr>
          <w:p w14:paraId="16F9F3A1"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19·6</w:t>
            </w:r>
          </w:p>
          <w:p w14:paraId="0E043544"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(18.4-20·9)</w:t>
            </w:r>
          </w:p>
          <w:p w14:paraId="527C3A02" w14:textId="77777777" w:rsidR="00E45C7B" w:rsidRPr="00AE732E" w:rsidRDefault="00E45C7B" w:rsidP="00CA0324">
            <w:pPr>
              <w:spacing w:after="0" w:line="240" w:lineRule="auto"/>
              <w:jc w:val="center"/>
              <w:rPr>
                <w:rFonts w:eastAsia="Calibri" w:cs="Times New Roman"/>
                <w:sz w:val="24"/>
                <w:szCs w:val="24"/>
                <w:lang w:val="en-US"/>
              </w:rPr>
            </w:pPr>
          </w:p>
        </w:tc>
        <w:tc>
          <w:tcPr>
            <w:tcW w:w="1394" w:type="dxa"/>
            <w:tcBorders>
              <w:bottom w:val="single" w:sz="8" w:space="0" w:color="929292"/>
              <w:right w:val="single" w:sz="4" w:space="0" w:color="auto"/>
            </w:tcBorders>
          </w:tcPr>
          <w:p w14:paraId="02CA436F"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334</w:t>
            </w:r>
          </w:p>
          <w:p w14:paraId="2489B199"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(313-355)</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516EFDDF"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3.5</w:t>
            </w:r>
          </w:p>
          <w:p w14:paraId="2A0E22D7"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(3.4-3.7)</w:t>
            </w:r>
          </w:p>
        </w:tc>
        <w:tc>
          <w:tcPr>
            <w:tcW w:w="1559" w:type="dxa"/>
            <w:tcBorders>
              <w:left w:val="single" w:sz="4" w:space="0" w:color="auto"/>
              <w:bottom w:val="single" w:sz="8" w:space="0" w:color="929292"/>
              <w:right w:val="single" w:sz="8" w:space="0" w:color="929292"/>
            </w:tcBorders>
          </w:tcPr>
          <w:p w14:paraId="7B5B48E0"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w:t>
            </w:r>
          </w:p>
        </w:tc>
        <w:tc>
          <w:tcPr>
            <w:tcW w:w="1560" w:type="dxa"/>
            <w:tcBorders>
              <w:left w:val="single" w:sz="4" w:space="0" w:color="auto"/>
              <w:bottom w:val="single" w:sz="8" w:space="0" w:color="929292"/>
              <w:right w:val="single" w:sz="8" w:space="0" w:color="929292"/>
            </w:tcBorders>
          </w:tcPr>
          <w:p w14:paraId="7807B11B"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w:t>
            </w:r>
          </w:p>
        </w:tc>
      </w:tr>
      <w:tr w:rsidR="00E45C7B" w:rsidRPr="008C3F4C" w14:paraId="225AA032" w14:textId="77777777" w:rsidTr="00CA0324">
        <w:tblPrEx>
          <w:tblBorders>
            <w:top w:val="none" w:sz="0" w:space="0" w:color="auto"/>
          </w:tblBorders>
        </w:tblPrEx>
        <w:tc>
          <w:tcPr>
            <w:tcW w:w="1985" w:type="dxa"/>
            <w:tcBorders>
              <w:top w:val="single" w:sz="8" w:space="0" w:color="929292"/>
              <w:left w:val="single" w:sz="8" w:space="0" w:color="929292"/>
              <w:bottom w:val="single" w:sz="8" w:space="0" w:color="929292"/>
              <w:right w:val="single" w:sz="8" w:space="0" w:color="929292"/>
            </w:tcBorders>
          </w:tcPr>
          <w:p w14:paraId="7444883F"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of “hypertension” (BP &gt;140/90 mmHg)</w:t>
            </w:r>
          </w:p>
          <w:p w14:paraId="042BC83C" w14:textId="77777777" w:rsidR="00E45C7B" w:rsidRPr="00AE732E" w:rsidRDefault="00E45C7B" w:rsidP="00CA0324">
            <w:pPr>
              <w:spacing w:after="0" w:line="240" w:lineRule="auto"/>
              <w:ind w:hanging="63"/>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1EAD5647"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32.6</w:t>
            </w:r>
          </w:p>
          <w:p w14:paraId="7AD3A945"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(30.8-34.5)</w:t>
            </w:r>
          </w:p>
        </w:tc>
        <w:tc>
          <w:tcPr>
            <w:tcW w:w="1394" w:type="dxa"/>
            <w:tcBorders>
              <w:bottom w:val="single" w:sz="8" w:space="0" w:color="929292"/>
              <w:right w:val="single" w:sz="4" w:space="0" w:color="auto"/>
            </w:tcBorders>
          </w:tcPr>
          <w:p w14:paraId="2511C736"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579</w:t>
            </w:r>
          </w:p>
          <w:p w14:paraId="361421EF"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(546-612)</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3D6693F5"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6.2</w:t>
            </w:r>
          </w:p>
          <w:p w14:paraId="2346F872"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(5.9-6.4)</w:t>
            </w:r>
          </w:p>
        </w:tc>
        <w:tc>
          <w:tcPr>
            <w:tcW w:w="1559" w:type="dxa"/>
            <w:tcBorders>
              <w:left w:val="single" w:sz="4" w:space="0" w:color="auto"/>
              <w:bottom w:val="single" w:sz="8" w:space="0" w:color="929292"/>
              <w:right w:val="single" w:sz="8" w:space="0" w:color="929292"/>
            </w:tcBorders>
          </w:tcPr>
          <w:p w14:paraId="74B5EA1A"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+66.2</w:t>
            </w:r>
          </w:p>
          <w:p w14:paraId="01E2EC99"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(65.8-66.5)</w:t>
            </w:r>
          </w:p>
        </w:tc>
        <w:tc>
          <w:tcPr>
            <w:tcW w:w="1560" w:type="dxa"/>
            <w:tcBorders>
              <w:left w:val="single" w:sz="4" w:space="0" w:color="auto"/>
              <w:bottom w:val="single" w:sz="8" w:space="0" w:color="929292"/>
              <w:right w:val="single" w:sz="8" w:space="0" w:color="929292"/>
            </w:tcBorders>
          </w:tcPr>
          <w:p w14:paraId="799B5483"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+74.2</w:t>
            </w:r>
          </w:p>
          <w:p w14:paraId="570628DE"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(72.1-76.4)</w:t>
            </w:r>
          </w:p>
        </w:tc>
      </w:tr>
      <w:tr w:rsidR="00E45C7B" w:rsidRPr="008C3F4C" w14:paraId="4DA06F64" w14:textId="77777777" w:rsidTr="00CA0324">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09C065F3"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according to NPCDCS guidelines</w:t>
            </w:r>
          </w:p>
          <w:p w14:paraId="3513CF34" w14:textId="77777777" w:rsidR="00E45C7B" w:rsidRPr="00AE732E" w:rsidRDefault="00E45C7B" w:rsidP="00CA0324">
            <w:pPr>
              <w:spacing w:after="0" w:line="240" w:lineRule="auto"/>
              <w:ind w:hanging="63"/>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5400D302"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21.0</w:t>
            </w:r>
          </w:p>
          <w:p w14:paraId="3EABDAC1"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(19·9-22.2)</w:t>
            </w:r>
          </w:p>
          <w:p w14:paraId="61F3EE96" w14:textId="77777777" w:rsidR="00E45C7B" w:rsidRPr="00843DF1" w:rsidRDefault="00E45C7B" w:rsidP="00CA0324">
            <w:pPr>
              <w:spacing w:after="0" w:line="240" w:lineRule="auto"/>
              <w:jc w:val="center"/>
              <w:rPr>
                <w:rFonts w:eastAsia="Calibri" w:cs="Times New Roman"/>
                <w:sz w:val="24"/>
                <w:szCs w:val="24"/>
                <w:lang w:val="en-US"/>
              </w:rPr>
            </w:pPr>
          </w:p>
        </w:tc>
        <w:tc>
          <w:tcPr>
            <w:tcW w:w="1394" w:type="dxa"/>
            <w:tcBorders>
              <w:bottom w:val="single" w:sz="8" w:space="0" w:color="929292"/>
              <w:right w:val="single" w:sz="4" w:space="0" w:color="auto"/>
            </w:tcBorders>
          </w:tcPr>
          <w:p w14:paraId="6614CD7A"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590</w:t>
            </w:r>
          </w:p>
          <w:p w14:paraId="471BAB1E"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(558-622)</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0B808A06"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6.3</w:t>
            </w:r>
          </w:p>
          <w:p w14:paraId="5D3BBFC6"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(6.0-6.5)</w:t>
            </w:r>
          </w:p>
        </w:tc>
        <w:tc>
          <w:tcPr>
            <w:tcW w:w="1559" w:type="dxa"/>
            <w:tcBorders>
              <w:left w:val="single" w:sz="4" w:space="0" w:color="auto"/>
              <w:bottom w:val="single" w:sz="8" w:space="0" w:color="929292"/>
              <w:right w:val="single" w:sz="8" w:space="0" w:color="929292"/>
            </w:tcBorders>
          </w:tcPr>
          <w:p w14:paraId="58390697"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+7.2</w:t>
            </w:r>
          </w:p>
          <w:p w14:paraId="1EBEABC5"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(6.9-7.4)</w:t>
            </w:r>
          </w:p>
        </w:tc>
        <w:tc>
          <w:tcPr>
            <w:tcW w:w="1560" w:type="dxa"/>
            <w:tcBorders>
              <w:left w:val="single" w:sz="4" w:space="0" w:color="auto"/>
              <w:bottom w:val="single" w:sz="8" w:space="0" w:color="929292"/>
              <w:right w:val="single" w:sz="8" w:space="0" w:color="929292"/>
            </w:tcBorders>
          </w:tcPr>
          <w:p w14:paraId="13D06109"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+77.3</w:t>
            </w:r>
          </w:p>
          <w:p w14:paraId="3C276026"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(75.2-79.3)</w:t>
            </w:r>
          </w:p>
        </w:tc>
      </w:tr>
      <w:tr w:rsidR="00E45C7B" w:rsidRPr="008C3F4C" w14:paraId="2D7F81CE" w14:textId="77777777" w:rsidTr="00CA0324">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1EDE2426"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of all at intermediate and high risk</w:t>
            </w:r>
          </w:p>
          <w:p w14:paraId="4B1D90F5" w14:textId="77777777" w:rsidR="00E45C7B" w:rsidRPr="00AE732E" w:rsidRDefault="00E45C7B" w:rsidP="00CA0324">
            <w:pPr>
              <w:spacing w:after="0" w:line="240" w:lineRule="auto"/>
              <w:ind w:hanging="63"/>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484EE7F6"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23.2</w:t>
            </w:r>
          </w:p>
          <w:p w14:paraId="1625A3DC"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(22.0-24.3)</w:t>
            </w:r>
          </w:p>
          <w:p w14:paraId="3D0BDA15" w14:textId="77777777" w:rsidR="00E45C7B" w:rsidRPr="00843DF1" w:rsidRDefault="00E45C7B" w:rsidP="00CA0324">
            <w:pPr>
              <w:spacing w:after="0" w:line="240" w:lineRule="auto"/>
              <w:jc w:val="center"/>
              <w:rPr>
                <w:rFonts w:eastAsia="Calibri" w:cs="Times New Roman"/>
                <w:sz w:val="24"/>
                <w:szCs w:val="24"/>
                <w:lang w:val="en-US"/>
              </w:rPr>
            </w:pPr>
          </w:p>
        </w:tc>
        <w:tc>
          <w:tcPr>
            <w:tcW w:w="1394" w:type="dxa"/>
            <w:tcBorders>
              <w:bottom w:val="single" w:sz="8" w:space="0" w:color="929292"/>
              <w:right w:val="single" w:sz="4" w:space="0" w:color="auto"/>
            </w:tcBorders>
          </w:tcPr>
          <w:p w14:paraId="0ABA2316"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624</w:t>
            </w:r>
          </w:p>
          <w:p w14:paraId="21E0B319"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(592-655)</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44439116"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6.6</w:t>
            </w:r>
          </w:p>
          <w:p w14:paraId="6F21CC03"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(6.4-6.9)</w:t>
            </w:r>
          </w:p>
        </w:tc>
        <w:tc>
          <w:tcPr>
            <w:tcW w:w="1559" w:type="dxa"/>
            <w:tcBorders>
              <w:left w:val="single" w:sz="4" w:space="0" w:color="auto"/>
              <w:bottom w:val="single" w:sz="8" w:space="0" w:color="929292"/>
              <w:right w:val="single" w:sz="8" w:space="0" w:color="929292"/>
            </w:tcBorders>
          </w:tcPr>
          <w:p w14:paraId="7E9C72D1"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+17.9</w:t>
            </w:r>
          </w:p>
          <w:p w14:paraId="52EDB323"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(17.6-18.2)</w:t>
            </w:r>
          </w:p>
        </w:tc>
        <w:tc>
          <w:tcPr>
            <w:tcW w:w="1560" w:type="dxa"/>
            <w:tcBorders>
              <w:left w:val="single" w:sz="4" w:space="0" w:color="auto"/>
              <w:bottom w:val="single" w:sz="8" w:space="0" w:color="929292"/>
              <w:right w:val="single" w:sz="8" w:space="0" w:color="929292"/>
            </w:tcBorders>
          </w:tcPr>
          <w:p w14:paraId="03FE1F42"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+87.2</w:t>
            </w:r>
          </w:p>
          <w:p w14:paraId="4701DCC6"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(85.5-88.8)</w:t>
            </w:r>
          </w:p>
        </w:tc>
      </w:tr>
      <w:tr w:rsidR="00E45C7B" w:rsidRPr="008C3F4C" w14:paraId="6230FC24" w14:textId="77777777" w:rsidTr="00CA0324">
        <w:tblPrEx>
          <w:tblBorders>
            <w:top w:val="none" w:sz="0" w:space="0" w:color="auto"/>
          </w:tblBorders>
        </w:tblPrEx>
        <w:tc>
          <w:tcPr>
            <w:tcW w:w="1985" w:type="dxa"/>
            <w:tcBorders>
              <w:top w:val="single" w:sz="8" w:space="0" w:color="929292"/>
              <w:left w:val="single" w:sz="8" w:space="0" w:color="929292"/>
              <w:bottom w:val="single" w:sz="8" w:space="0" w:color="929292"/>
              <w:right w:val="single" w:sz="8" w:space="0" w:color="929292"/>
            </w:tcBorders>
          </w:tcPr>
          <w:p w14:paraId="0FA38891"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 xml:space="preserve">Treatment of all at high risk </w:t>
            </w:r>
          </w:p>
        </w:tc>
        <w:tc>
          <w:tcPr>
            <w:tcW w:w="1559" w:type="dxa"/>
            <w:tcBorders>
              <w:bottom w:val="single" w:sz="8" w:space="0" w:color="929292"/>
              <w:right w:val="single" w:sz="8" w:space="0" w:color="929292"/>
            </w:tcBorders>
            <w:tcMar>
              <w:top w:w="80" w:type="nil"/>
              <w:left w:w="40" w:type="nil"/>
              <w:bottom w:w="40" w:type="nil"/>
              <w:right w:w="80" w:type="nil"/>
            </w:tcMar>
          </w:tcPr>
          <w:p w14:paraId="0FBAD628"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17.9</w:t>
            </w:r>
          </w:p>
          <w:p w14:paraId="0DB667D8"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(16·9-18.8)</w:t>
            </w:r>
          </w:p>
          <w:p w14:paraId="29BA7C7F" w14:textId="77777777" w:rsidR="00E45C7B" w:rsidRPr="00AE732E" w:rsidRDefault="00E45C7B" w:rsidP="00CA0324">
            <w:pPr>
              <w:spacing w:after="0" w:line="240" w:lineRule="auto"/>
              <w:jc w:val="center"/>
              <w:rPr>
                <w:rFonts w:eastAsia="Calibri" w:cs="Times New Roman"/>
                <w:sz w:val="24"/>
                <w:szCs w:val="24"/>
                <w:lang w:val="en-US"/>
              </w:rPr>
            </w:pPr>
          </w:p>
        </w:tc>
        <w:tc>
          <w:tcPr>
            <w:tcW w:w="1394" w:type="dxa"/>
            <w:tcBorders>
              <w:bottom w:val="single" w:sz="8" w:space="0" w:color="929292"/>
              <w:right w:val="single" w:sz="4" w:space="0" w:color="auto"/>
            </w:tcBorders>
          </w:tcPr>
          <w:p w14:paraId="7246E25C"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541</w:t>
            </w:r>
          </w:p>
          <w:p w14:paraId="2466D58A"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(512-571)</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181ADB30"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5.8</w:t>
            </w:r>
          </w:p>
          <w:p w14:paraId="595781EC"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(5.5-6.0)</w:t>
            </w:r>
          </w:p>
        </w:tc>
        <w:tc>
          <w:tcPr>
            <w:tcW w:w="1559" w:type="dxa"/>
            <w:tcBorders>
              <w:left w:val="single" w:sz="4" w:space="0" w:color="auto"/>
              <w:bottom w:val="single" w:sz="8" w:space="0" w:color="929292"/>
              <w:right w:val="single" w:sz="8" w:space="0" w:color="929292"/>
            </w:tcBorders>
          </w:tcPr>
          <w:p w14:paraId="0D203180"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-9.0</w:t>
            </w:r>
          </w:p>
          <w:p w14:paraId="2717AB28"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((-8.8)-(-9.2))</w:t>
            </w:r>
          </w:p>
        </w:tc>
        <w:tc>
          <w:tcPr>
            <w:tcW w:w="1560" w:type="dxa"/>
            <w:tcBorders>
              <w:left w:val="single" w:sz="4" w:space="0" w:color="auto"/>
              <w:bottom w:val="single" w:sz="8" w:space="0" w:color="929292"/>
              <w:right w:val="single" w:sz="8" w:space="0" w:color="929292"/>
            </w:tcBorders>
          </w:tcPr>
          <w:p w14:paraId="520DE516" w14:textId="77777777" w:rsidR="00E45C7B" w:rsidRPr="00E85CEC" w:rsidRDefault="00E45C7B" w:rsidP="00CA0324">
            <w:pPr>
              <w:spacing w:after="0" w:line="240" w:lineRule="auto"/>
              <w:jc w:val="center"/>
              <w:rPr>
                <w:rFonts w:eastAsia="Times New Roman" w:cs="Times New Roman"/>
                <w:color w:val="000000"/>
                <w:sz w:val="24"/>
                <w:szCs w:val="24"/>
                <w:lang w:val="en-US"/>
              </w:rPr>
            </w:pPr>
            <w:r w:rsidRPr="00E85CEC">
              <w:rPr>
                <w:rFonts w:eastAsia="Times New Roman" w:cs="Times New Roman"/>
                <w:color w:val="000000"/>
                <w:sz w:val="24"/>
                <w:szCs w:val="24"/>
                <w:lang w:val="en-US"/>
              </w:rPr>
              <w:t>+62.7</w:t>
            </w:r>
          </w:p>
          <w:p w14:paraId="7A1A68BC" w14:textId="77777777" w:rsidR="00E45C7B" w:rsidRPr="008C3F4C" w:rsidRDefault="00E45C7B" w:rsidP="00CA0324">
            <w:pPr>
              <w:spacing w:after="0" w:line="240" w:lineRule="auto"/>
              <w:jc w:val="center"/>
              <w:rPr>
                <w:rFonts w:eastAsia="Calibri" w:cs="Times New Roman"/>
                <w:sz w:val="24"/>
                <w:szCs w:val="24"/>
                <w:lang w:val="en-US"/>
              </w:rPr>
            </w:pPr>
            <w:r w:rsidRPr="00E85CEC">
              <w:rPr>
                <w:rFonts w:eastAsia="Times New Roman" w:cs="Times New Roman"/>
                <w:color w:val="000000"/>
                <w:sz w:val="24"/>
                <w:szCs w:val="24"/>
                <w:lang w:val="en-US"/>
              </w:rPr>
              <w:t>(60.3-65.1)</w:t>
            </w:r>
          </w:p>
        </w:tc>
      </w:tr>
    </w:tbl>
    <w:p w14:paraId="0C45D70F" w14:textId="77777777" w:rsidR="00E45C7B" w:rsidRPr="008C3F4C" w:rsidRDefault="00E45C7B" w:rsidP="00CA0324">
      <w:pPr>
        <w:spacing w:after="0" w:line="240" w:lineRule="auto"/>
        <w:rPr>
          <w:rFonts w:eastAsia="Calibri" w:cs="Times New Roman"/>
          <w:sz w:val="24"/>
          <w:szCs w:val="24"/>
          <w:lang w:val="en-US"/>
        </w:rPr>
      </w:pPr>
      <w:r w:rsidRPr="008C3F4C">
        <w:rPr>
          <w:rFonts w:eastAsia="Calibri" w:cs="Times New Roman"/>
          <w:sz w:val="24"/>
          <w:szCs w:val="24"/>
          <w:lang w:val="en-US"/>
        </w:rPr>
        <w:t>*Weighted estimates</w:t>
      </w:r>
    </w:p>
    <w:p w14:paraId="6E581617" w14:textId="77777777" w:rsidR="00E45C7B" w:rsidRPr="00AE732E" w:rsidRDefault="00E45C7B" w:rsidP="00CA0324">
      <w:pPr>
        <w:spacing w:after="0" w:line="240" w:lineRule="auto"/>
        <w:rPr>
          <w:rFonts w:eastAsia="Calibri" w:cs="Times New Roman"/>
          <w:sz w:val="24"/>
          <w:szCs w:val="24"/>
          <w:lang w:val="en-US"/>
        </w:rPr>
      </w:pPr>
      <w:r>
        <w:rPr>
          <w:rFonts w:eastAsia="Calibri" w:cs="Times New Roman"/>
          <w:sz w:val="24"/>
          <w:szCs w:val="24"/>
          <w:lang w:val="en-US"/>
        </w:rPr>
        <w:t>†</w:t>
      </w:r>
      <w:r w:rsidRPr="00AE732E">
        <w:rPr>
          <w:rFonts w:eastAsia="Calibri" w:cs="Times New Roman"/>
          <w:sz w:val="24"/>
          <w:szCs w:val="24"/>
          <w:lang w:val="en-US"/>
        </w:rPr>
        <w:t>Estimated number of CVD events over 10 years in the untreated population is 9442. This estimate is based on the population risk distribution after adjustment of BP levels in those on BP lowering treatment.</w:t>
      </w:r>
    </w:p>
    <w:p w14:paraId="445460AC" w14:textId="77777777" w:rsidR="00E45C7B" w:rsidRPr="00E85CEC" w:rsidRDefault="00E45C7B" w:rsidP="00CA0324">
      <w:pPr>
        <w:spacing w:after="0" w:line="240" w:lineRule="auto"/>
        <w:rPr>
          <w:rFonts w:eastAsia="Times New Roman" w:cs="Times New Roman"/>
          <w:bCs/>
          <w:sz w:val="24"/>
          <w:szCs w:val="24"/>
          <w:lang w:val="en-US"/>
        </w:rPr>
      </w:pPr>
      <w:r w:rsidRPr="00AE732E">
        <w:rPr>
          <w:rFonts w:eastAsia="Calibri" w:cs="Times New Roman"/>
          <w:sz w:val="24"/>
          <w:szCs w:val="24"/>
          <w:lang w:val="en-US"/>
        </w:rPr>
        <w:t xml:space="preserve">BP – blood pressure; CVD – cardiovascular disease; NPCDCS – </w:t>
      </w:r>
      <w:r>
        <w:rPr>
          <w:rFonts w:eastAsia="Calibri" w:cs="Times New Roman"/>
          <w:sz w:val="24"/>
          <w:szCs w:val="24"/>
          <w:lang w:val="en-US"/>
        </w:rPr>
        <w:t>National Program</w:t>
      </w:r>
      <w:r w:rsidRPr="00AE732E">
        <w:rPr>
          <w:rFonts w:eastAsia="Calibri" w:cs="Times New Roman"/>
          <w:sz w:val="24"/>
          <w:szCs w:val="24"/>
          <w:lang w:val="en-US"/>
        </w:rPr>
        <w:t xml:space="preserve"> on prevention and c</w:t>
      </w:r>
      <w:r w:rsidRPr="00843DF1">
        <w:rPr>
          <w:rFonts w:eastAsia="Calibri" w:cs="Times New Roman"/>
          <w:sz w:val="24"/>
          <w:szCs w:val="24"/>
          <w:lang w:val="en-US"/>
        </w:rPr>
        <w:t xml:space="preserve">ontrol of </w:t>
      </w:r>
      <w:r>
        <w:rPr>
          <w:rFonts w:eastAsia="Calibri" w:cs="Times New Roman"/>
          <w:sz w:val="24"/>
          <w:szCs w:val="24"/>
          <w:lang w:val="en-US"/>
        </w:rPr>
        <w:t xml:space="preserve">Cancer, </w:t>
      </w:r>
      <w:r w:rsidRPr="00843DF1">
        <w:rPr>
          <w:rFonts w:eastAsia="Calibri" w:cs="Times New Roman"/>
          <w:sz w:val="24"/>
          <w:szCs w:val="24"/>
          <w:lang w:val="en-US"/>
        </w:rPr>
        <w:t>Dia</w:t>
      </w:r>
      <w:r>
        <w:rPr>
          <w:rFonts w:eastAsia="Calibri" w:cs="Times New Roman"/>
          <w:sz w:val="24"/>
          <w:szCs w:val="24"/>
          <w:lang w:val="en-US"/>
        </w:rPr>
        <w:t xml:space="preserve">betes, Cardiovascular diseases </w:t>
      </w:r>
      <w:r w:rsidRPr="00843DF1">
        <w:rPr>
          <w:rFonts w:eastAsia="Calibri" w:cs="Times New Roman"/>
          <w:sz w:val="24"/>
          <w:szCs w:val="24"/>
          <w:lang w:val="en-US"/>
        </w:rPr>
        <w:t>and Stroke</w:t>
      </w:r>
    </w:p>
    <w:p w14:paraId="740D8B1C" w14:textId="77777777" w:rsidR="00E45C7B" w:rsidRPr="00E85CEC" w:rsidRDefault="00E45C7B" w:rsidP="00CA0324">
      <w:pPr>
        <w:spacing w:after="0" w:line="240" w:lineRule="auto"/>
        <w:rPr>
          <w:rFonts w:eastAsia="Times New Roman" w:cs="Times New Roman"/>
          <w:b/>
          <w:bCs/>
          <w:sz w:val="24"/>
          <w:szCs w:val="24"/>
          <w:lang w:val="en-US"/>
        </w:rPr>
      </w:pPr>
      <w:r w:rsidRPr="00E85CEC">
        <w:rPr>
          <w:rFonts w:eastAsia="Times New Roman" w:cs="Times New Roman"/>
          <w:b/>
          <w:bCs/>
          <w:sz w:val="24"/>
          <w:szCs w:val="24"/>
          <w:lang w:val="en-US"/>
        </w:rPr>
        <w:br w:type="page"/>
      </w:r>
    </w:p>
    <w:p w14:paraId="469EAF34" w14:textId="53A41113" w:rsidR="00E45C7B" w:rsidRPr="00E85CEC" w:rsidRDefault="00E45C7B" w:rsidP="00CA0324">
      <w:pPr>
        <w:rPr>
          <w:rFonts w:eastAsia="Times New Roman" w:cs="Times New Roman"/>
          <w:bCs/>
          <w:sz w:val="24"/>
          <w:szCs w:val="24"/>
          <w:lang w:val="en-US"/>
        </w:rPr>
      </w:pPr>
      <w:r w:rsidRPr="00E85CEC">
        <w:rPr>
          <w:rFonts w:eastAsia="Times New Roman" w:cs="Times New Roman"/>
          <w:b/>
          <w:bCs/>
          <w:sz w:val="24"/>
          <w:szCs w:val="24"/>
          <w:lang w:val="en-US"/>
        </w:rPr>
        <w:lastRenderedPageBreak/>
        <w:t xml:space="preserve">Table </w:t>
      </w:r>
      <w:r w:rsidR="00F51F0B">
        <w:rPr>
          <w:rFonts w:eastAsia="Times New Roman" w:cs="Times New Roman"/>
          <w:b/>
          <w:bCs/>
          <w:sz w:val="24"/>
          <w:szCs w:val="24"/>
          <w:lang w:val="en-US"/>
        </w:rPr>
        <w:t>S</w:t>
      </w:r>
      <w:r w:rsidRPr="00E85CEC">
        <w:rPr>
          <w:rFonts w:eastAsia="Times New Roman" w:cs="Times New Roman"/>
          <w:b/>
          <w:bCs/>
          <w:sz w:val="24"/>
          <w:szCs w:val="24"/>
          <w:lang w:val="en-US"/>
        </w:rPr>
        <w:t>4-</w:t>
      </w:r>
      <w:r w:rsidRPr="00E85CEC">
        <w:rPr>
          <w:rFonts w:eastAsia="Times New Roman" w:cs="Times New Roman"/>
          <w:bCs/>
          <w:sz w:val="24"/>
          <w:szCs w:val="24"/>
          <w:lang w:val="en-US"/>
        </w:rPr>
        <w:t xml:space="preserve"> Comparison of treatment paradigms for BP lowering, assuming relative risk reduction from BP lowering drug therapy of 20%, maintaining all other assumptions as in Table 2*</w:t>
      </w:r>
    </w:p>
    <w:tbl>
      <w:tblPr>
        <w:tblW w:w="9616" w:type="dxa"/>
        <w:tblInd w:w="-10" w:type="dxa"/>
        <w:tblBorders>
          <w:top w:val="nil"/>
          <w:left w:val="nil"/>
          <w:right w:val="nil"/>
        </w:tblBorders>
        <w:tblLayout w:type="fixed"/>
        <w:tblLook w:val="0000" w:firstRow="0" w:lastRow="0" w:firstColumn="0" w:lastColumn="0" w:noHBand="0" w:noVBand="0"/>
      </w:tblPr>
      <w:tblGrid>
        <w:gridCol w:w="1985"/>
        <w:gridCol w:w="1394"/>
        <w:gridCol w:w="1559"/>
        <w:gridCol w:w="1559"/>
        <w:gridCol w:w="1559"/>
        <w:gridCol w:w="1560"/>
      </w:tblGrid>
      <w:tr w:rsidR="00E45C7B" w:rsidRPr="008C3F4C" w14:paraId="050590F8" w14:textId="77777777" w:rsidTr="00AA1B05">
        <w:tc>
          <w:tcPr>
            <w:tcW w:w="1985" w:type="dxa"/>
            <w:tcBorders>
              <w:top w:val="single" w:sz="8" w:space="0" w:color="929292"/>
              <w:left w:val="single" w:sz="8" w:space="0" w:color="929292"/>
              <w:bottom w:val="single" w:sz="8" w:space="0" w:color="929292"/>
              <w:right w:val="single" w:sz="8" w:space="0" w:color="929292"/>
            </w:tcBorders>
          </w:tcPr>
          <w:p w14:paraId="50B42572"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Treatment paradigm for BP lowering</w:t>
            </w:r>
          </w:p>
        </w:tc>
        <w:tc>
          <w:tcPr>
            <w:tcW w:w="1394" w:type="dxa"/>
            <w:tcBorders>
              <w:top w:val="single" w:sz="8" w:space="0" w:color="929292"/>
              <w:bottom w:val="single" w:sz="8" w:space="0" w:color="929292"/>
              <w:right w:val="single" w:sz="8" w:space="0" w:color="929292"/>
            </w:tcBorders>
            <w:tcMar>
              <w:top w:w="80" w:type="nil"/>
              <w:left w:w="40" w:type="nil"/>
              <w:bottom w:w="40" w:type="nil"/>
              <w:right w:w="80" w:type="nil"/>
            </w:tcMar>
          </w:tcPr>
          <w:p w14:paraId="2A0D722A"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xml:space="preserve">% Population treated </w:t>
            </w:r>
          </w:p>
          <w:p w14:paraId="60E17060"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(95% CI)</w:t>
            </w:r>
          </w:p>
        </w:tc>
        <w:tc>
          <w:tcPr>
            <w:tcW w:w="1559" w:type="dxa"/>
            <w:tcBorders>
              <w:top w:val="single" w:sz="8" w:space="0" w:color="929292"/>
              <w:bottom w:val="single" w:sz="8" w:space="0" w:color="929292"/>
              <w:right w:val="single" w:sz="4" w:space="0" w:color="auto"/>
            </w:tcBorders>
          </w:tcPr>
          <w:p w14:paraId="43A0F8C7"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xml:space="preserve">CVD events averted over 10 years due to treatment </w:t>
            </w:r>
          </w:p>
          <w:p w14:paraId="1174C556" w14:textId="77777777" w:rsidR="00E45C7B" w:rsidRPr="00843DF1" w:rsidRDefault="00E45C7B" w:rsidP="00CA0324">
            <w:pPr>
              <w:spacing w:after="0" w:line="240" w:lineRule="auto"/>
              <w:rPr>
                <w:rFonts w:eastAsia="Calibri" w:cs="Times New Roman"/>
                <w:b/>
                <w:sz w:val="24"/>
                <w:szCs w:val="24"/>
                <w:lang w:val="en-US"/>
              </w:rPr>
            </w:pPr>
            <w:r w:rsidRPr="00843DF1">
              <w:rPr>
                <w:rFonts w:eastAsia="Calibri" w:cs="Times New Roman"/>
                <w:b/>
                <w:sz w:val="24"/>
                <w:szCs w:val="24"/>
                <w:lang w:val="en-US"/>
              </w:rPr>
              <w:t>n (95% CI)</w:t>
            </w:r>
          </w:p>
        </w:tc>
        <w:tc>
          <w:tcPr>
            <w:tcW w:w="1559" w:type="dxa"/>
            <w:tcBorders>
              <w:top w:val="single" w:sz="8" w:space="0" w:color="929292"/>
              <w:left w:val="single" w:sz="4" w:space="0" w:color="auto"/>
              <w:bottom w:val="single" w:sz="8" w:space="0" w:color="929292"/>
              <w:right w:val="single" w:sz="8" w:space="0" w:color="929292"/>
            </w:tcBorders>
            <w:tcMar>
              <w:top w:w="80" w:type="nil"/>
              <w:left w:w="40" w:type="nil"/>
              <w:bottom w:w="40" w:type="nil"/>
              <w:right w:w="80" w:type="nil"/>
            </w:tcMar>
          </w:tcPr>
          <w:p w14:paraId="47C31BF4" w14:textId="77777777" w:rsidR="00E45C7B" w:rsidRPr="00843DF1" w:rsidRDefault="00E45C7B" w:rsidP="00CA0324">
            <w:pPr>
              <w:spacing w:after="0" w:line="240" w:lineRule="auto"/>
              <w:rPr>
                <w:rFonts w:eastAsia="Calibri" w:cs="Times New Roman"/>
                <w:b/>
                <w:sz w:val="24"/>
                <w:szCs w:val="24"/>
                <w:vertAlign w:val="superscript"/>
                <w:lang w:val="en-US"/>
              </w:rPr>
            </w:pPr>
            <w:r>
              <w:rPr>
                <w:rFonts w:eastAsia="Calibri" w:cs="Times New Roman"/>
                <w:b/>
                <w:sz w:val="24"/>
                <w:szCs w:val="24"/>
                <w:lang w:val="en-US"/>
              </w:rPr>
              <w:t xml:space="preserve">Estimated percentage reduction of </w:t>
            </w:r>
            <w:r w:rsidRPr="001C2344">
              <w:rPr>
                <w:rFonts w:eastAsia="Calibri" w:cs="Times New Roman"/>
                <w:b/>
                <w:sz w:val="24"/>
                <w:szCs w:val="24"/>
                <w:lang w:val="en-US"/>
              </w:rPr>
              <w:t xml:space="preserve">CVD events averted over 10 years compared to </w:t>
            </w:r>
            <w:r>
              <w:rPr>
                <w:rFonts w:eastAsia="Calibri" w:cs="Times New Roman"/>
                <w:b/>
                <w:sz w:val="24"/>
                <w:szCs w:val="24"/>
                <w:lang w:val="en-US"/>
              </w:rPr>
              <w:t>no treatment†</w:t>
            </w:r>
          </w:p>
          <w:p w14:paraId="231443D2" w14:textId="77777777" w:rsidR="00E45C7B" w:rsidRPr="00843DF1" w:rsidRDefault="00E45C7B" w:rsidP="00CA0324">
            <w:pPr>
              <w:spacing w:after="0" w:line="240" w:lineRule="auto"/>
              <w:rPr>
                <w:rFonts w:eastAsia="Calibri" w:cs="Times New Roman"/>
                <w:b/>
                <w:sz w:val="24"/>
                <w:szCs w:val="24"/>
                <w:lang w:val="en-US"/>
              </w:rPr>
            </w:pPr>
            <w:r w:rsidRPr="00843DF1">
              <w:rPr>
                <w:rFonts w:eastAsia="Calibri" w:cs="Times New Roman"/>
                <w:b/>
                <w:sz w:val="24"/>
                <w:szCs w:val="24"/>
                <w:lang w:val="en-US"/>
              </w:rPr>
              <w:t>% (95% CI)</w:t>
            </w:r>
          </w:p>
        </w:tc>
        <w:tc>
          <w:tcPr>
            <w:tcW w:w="1559" w:type="dxa"/>
            <w:tcBorders>
              <w:top w:val="single" w:sz="8" w:space="0" w:color="929292"/>
              <w:left w:val="single" w:sz="4" w:space="0" w:color="auto"/>
              <w:bottom w:val="single" w:sz="8" w:space="0" w:color="929292"/>
              <w:right w:val="single" w:sz="8" w:space="0" w:color="929292"/>
            </w:tcBorders>
          </w:tcPr>
          <w:p w14:paraId="5B7AA382" w14:textId="77777777" w:rsidR="00E45C7B" w:rsidRPr="00D13D86" w:rsidRDefault="00E45C7B" w:rsidP="00CA0324">
            <w:pPr>
              <w:spacing w:after="0" w:line="240" w:lineRule="auto"/>
              <w:rPr>
                <w:rFonts w:eastAsia="Calibri" w:cs="Times New Roman"/>
                <w:b/>
                <w:sz w:val="24"/>
                <w:szCs w:val="24"/>
                <w:lang w:val="en-US"/>
              </w:rPr>
            </w:pPr>
            <w:r>
              <w:rPr>
                <w:rFonts w:eastAsia="Calibri" w:cs="Times New Roman"/>
                <w:b/>
                <w:sz w:val="24"/>
                <w:szCs w:val="24"/>
                <w:lang w:val="en-US"/>
              </w:rPr>
              <w:t xml:space="preserve">Percentage change in number of </w:t>
            </w:r>
            <w:r w:rsidRPr="001C2344">
              <w:rPr>
                <w:rFonts w:eastAsia="Calibri" w:cs="Times New Roman"/>
                <w:b/>
                <w:sz w:val="24"/>
                <w:szCs w:val="24"/>
                <w:lang w:val="en-US"/>
              </w:rPr>
              <w:t xml:space="preserve"> </w:t>
            </w:r>
            <w:r w:rsidRPr="00D13D86">
              <w:rPr>
                <w:rFonts w:eastAsia="Calibri" w:cs="Times New Roman"/>
                <w:b/>
                <w:sz w:val="24"/>
                <w:szCs w:val="24"/>
                <w:lang w:val="en-US"/>
              </w:rPr>
              <w:t>treated compared to current practice</w:t>
            </w:r>
          </w:p>
          <w:p w14:paraId="0ADF925D"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 (95% CI)</w:t>
            </w:r>
          </w:p>
        </w:tc>
        <w:tc>
          <w:tcPr>
            <w:tcW w:w="1560" w:type="dxa"/>
            <w:tcBorders>
              <w:top w:val="single" w:sz="8" w:space="0" w:color="929292"/>
              <w:left w:val="single" w:sz="4" w:space="0" w:color="auto"/>
              <w:bottom w:val="single" w:sz="8" w:space="0" w:color="929292"/>
              <w:right w:val="single" w:sz="8" w:space="0" w:color="929292"/>
            </w:tcBorders>
          </w:tcPr>
          <w:p w14:paraId="3DFEAEFC" w14:textId="77777777" w:rsidR="00E45C7B" w:rsidRPr="008C3F4C" w:rsidRDefault="00E45C7B" w:rsidP="00CA0324">
            <w:pPr>
              <w:spacing w:after="0" w:line="240" w:lineRule="auto"/>
              <w:rPr>
                <w:rFonts w:eastAsia="Calibri" w:cs="Times New Roman"/>
                <w:b/>
                <w:sz w:val="24"/>
                <w:szCs w:val="24"/>
                <w:lang w:val="en-US"/>
              </w:rPr>
            </w:pPr>
            <w:r>
              <w:rPr>
                <w:rFonts w:eastAsia="Calibri" w:cs="Times New Roman"/>
                <w:b/>
                <w:sz w:val="24"/>
                <w:szCs w:val="24"/>
                <w:lang w:val="en-US"/>
              </w:rPr>
              <w:t xml:space="preserve">Percentage change in number of </w:t>
            </w:r>
            <w:r w:rsidRPr="001C2344">
              <w:rPr>
                <w:rFonts w:eastAsia="Calibri" w:cs="Times New Roman"/>
                <w:b/>
                <w:sz w:val="24"/>
                <w:szCs w:val="24"/>
                <w:lang w:val="en-US"/>
              </w:rPr>
              <w:t xml:space="preserve"> </w:t>
            </w:r>
            <w:r w:rsidRPr="008C3F4C">
              <w:rPr>
                <w:rFonts w:eastAsia="Calibri" w:cs="Times New Roman"/>
                <w:b/>
                <w:sz w:val="24"/>
                <w:szCs w:val="24"/>
                <w:lang w:val="en-US"/>
              </w:rPr>
              <w:t>events averted over 10 years compared to current practice</w:t>
            </w:r>
          </w:p>
          <w:p w14:paraId="6E8BD209"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 (95% CI)</w:t>
            </w:r>
          </w:p>
        </w:tc>
      </w:tr>
      <w:tr w:rsidR="00E45C7B" w:rsidRPr="008C3F4C" w14:paraId="1090A9A0" w14:textId="77777777" w:rsidTr="00AA1B05">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41972A93"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Current practice</w:t>
            </w:r>
          </w:p>
        </w:tc>
        <w:tc>
          <w:tcPr>
            <w:tcW w:w="1394" w:type="dxa"/>
            <w:tcBorders>
              <w:bottom w:val="single" w:sz="8" w:space="0" w:color="929292"/>
              <w:right w:val="single" w:sz="8" w:space="0" w:color="929292"/>
            </w:tcBorders>
            <w:tcMar>
              <w:top w:w="80" w:type="nil"/>
              <w:left w:w="40" w:type="nil"/>
              <w:bottom w:w="40" w:type="nil"/>
              <w:right w:w="80" w:type="nil"/>
            </w:tcMar>
          </w:tcPr>
          <w:p w14:paraId="5F4910E2"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19·6</w:t>
            </w:r>
          </w:p>
          <w:p w14:paraId="111992E2"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(18·4-20·9)</w:t>
            </w:r>
          </w:p>
          <w:p w14:paraId="1D24A758" w14:textId="77777777" w:rsidR="00E45C7B" w:rsidRPr="00AE732E" w:rsidRDefault="00E45C7B" w:rsidP="00CA0324">
            <w:pPr>
              <w:spacing w:after="0" w:line="240" w:lineRule="auto"/>
              <w:jc w:val="center"/>
              <w:rPr>
                <w:rFonts w:eastAsia="Calibri" w:cs="Times New Roman"/>
                <w:sz w:val="24"/>
                <w:szCs w:val="24"/>
                <w:lang w:val="en-US"/>
              </w:rPr>
            </w:pPr>
          </w:p>
        </w:tc>
        <w:tc>
          <w:tcPr>
            <w:tcW w:w="1559" w:type="dxa"/>
            <w:tcBorders>
              <w:bottom w:val="single" w:sz="8" w:space="0" w:color="929292"/>
              <w:right w:val="single" w:sz="4" w:space="0" w:color="auto"/>
            </w:tcBorders>
          </w:tcPr>
          <w:p w14:paraId="22349A23"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669</w:t>
            </w:r>
          </w:p>
          <w:p w14:paraId="5709E8E9"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(627-710)</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32391554"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7.1</w:t>
            </w:r>
          </w:p>
          <w:p w14:paraId="52F3F375"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(6.8-7.3)</w:t>
            </w:r>
          </w:p>
        </w:tc>
        <w:tc>
          <w:tcPr>
            <w:tcW w:w="1559" w:type="dxa"/>
            <w:tcBorders>
              <w:left w:val="single" w:sz="4" w:space="0" w:color="auto"/>
              <w:bottom w:val="single" w:sz="8" w:space="0" w:color="929292"/>
              <w:right w:val="single" w:sz="8" w:space="0" w:color="929292"/>
            </w:tcBorders>
          </w:tcPr>
          <w:p w14:paraId="73CFB554"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w:t>
            </w:r>
          </w:p>
        </w:tc>
        <w:tc>
          <w:tcPr>
            <w:tcW w:w="1560" w:type="dxa"/>
            <w:tcBorders>
              <w:left w:val="single" w:sz="4" w:space="0" w:color="auto"/>
              <w:bottom w:val="single" w:sz="8" w:space="0" w:color="929292"/>
              <w:right w:val="single" w:sz="8" w:space="0" w:color="929292"/>
            </w:tcBorders>
          </w:tcPr>
          <w:p w14:paraId="026C51F4"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w:t>
            </w:r>
          </w:p>
        </w:tc>
      </w:tr>
      <w:tr w:rsidR="00E45C7B" w:rsidRPr="008C3F4C" w14:paraId="7A093F0F" w14:textId="77777777" w:rsidTr="00AA1B05">
        <w:tblPrEx>
          <w:tblBorders>
            <w:top w:val="none" w:sz="0" w:space="0" w:color="auto"/>
          </w:tblBorders>
        </w:tblPrEx>
        <w:tc>
          <w:tcPr>
            <w:tcW w:w="1985" w:type="dxa"/>
            <w:tcBorders>
              <w:top w:val="single" w:sz="8" w:space="0" w:color="929292"/>
              <w:left w:val="single" w:sz="8" w:space="0" w:color="929292"/>
              <w:bottom w:val="single" w:sz="8" w:space="0" w:color="929292"/>
              <w:right w:val="single" w:sz="8" w:space="0" w:color="929292"/>
            </w:tcBorders>
          </w:tcPr>
          <w:p w14:paraId="18C82A82"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of “hypertension” (BP &gt;140/90 mmHg)</w:t>
            </w:r>
          </w:p>
          <w:p w14:paraId="52137D5D" w14:textId="77777777" w:rsidR="00E45C7B" w:rsidRPr="00AE732E" w:rsidRDefault="00E45C7B" w:rsidP="00CA0324">
            <w:pPr>
              <w:spacing w:after="0" w:line="240" w:lineRule="auto"/>
              <w:ind w:hanging="63"/>
              <w:rPr>
                <w:rFonts w:eastAsia="Calibri" w:cs="Times New Roman"/>
                <w:sz w:val="24"/>
                <w:szCs w:val="24"/>
                <w:lang w:val="en-US"/>
              </w:rPr>
            </w:pPr>
          </w:p>
        </w:tc>
        <w:tc>
          <w:tcPr>
            <w:tcW w:w="1394" w:type="dxa"/>
            <w:tcBorders>
              <w:bottom w:val="single" w:sz="8" w:space="0" w:color="929292"/>
              <w:right w:val="single" w:sz="8" w:space="0" w:color="929292"/>
            </w:tcBorders>
            <w:tcMar>
              <w:top w:w="80" w:type="nil"/>
              <w:left w:w="40" w:type="nil"/>
              <w:bottom w:w="40" w:type="nil"/>
              <w:right w:w="80" w:type="nil"/>
            </w:tcMar>
          </w:tcPr>
          <w:p w14:paraId="50BD4535"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32.6</w:t>
            </w:r>
          </w:p>
          <w:p w14:paraId="0814D5BA"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(30.8-34.5)</w:t>
            </w:r>
          </w:p>
        </w:tc>
        <w:tc>
          <w:tcPr>
            <w:tcW w:w="1559" w:type="dxa"/>
            <w:tcBorders>
              <w:bottom w:val="single" w:sz="8" w:space="0" w:color="929292"/>
              <w:right w:val="single" w:sz="4" w:space="0" w:color="auto"/>
            </w:tcBorders>
          </w:tcPr>
          <w:p w14:paraId="22580163"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1158</w:t>
            </w:r>
          </w:p>
          <w:p w14:paraId="2539EB03"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(1092-1224)</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39F9A6D6"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12.3</w:t>
            </w:r>
          </w:p>
          <w:p w14:paraId="398223ED"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(12.0-12.6)</w:t>
            </w:r>
          </w:p>
        </w:tc>
        <w:tc>
          <w:tcPr>
            <w:tcW w:w="1559" w:type="dxa"/>
            <w:tcBorders>
              <w:left w:val="single" w:sz="4" w:space="0" w:color="auto"/>
              <w:bottom w:val="single" w:sz="8" w:space="0" w:color="929292"/>
              <w:right w:val="single" w:sz="8" w:space="0" w:color="929292"/>
            </w:tcBorders>
          </w:tcPr>
          <w:p w14:paraId="50A9202D"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+66.2</w:t>
            </w:r>
          </w:p>
          <w:p w14:paraId="03443977"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(65.8-66.5)</w:t>
            </w:r>
          </w:p>
        </w:tc>
        <w:tc>
          <w:tcPr>
            <w:tcW w:w="1560" w:type="dxa"/>
            <w:tcBorders>
              <w:left w:val="single" w:sz="4" w:space="0" w:color="auto"/>
              <w:bottom w:val="single" w:sz="8" w:space="0" w:color="929292"/>
              <w:right w:val="single" w:sz="8" w:space="0" w:color="929292"/>
            </w:tcBorders>
          </w:tcPr>
          <w:p w14:paraId="6B5D38E9"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+74.2</w:t>
            </w:r>
          </w:p>
          <w:p w14:paraId="725D22B4"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(72.7-75.8)</w:t>
            </w:r>
          </w:p>
        </w:tc>
      </w:tr>
      <w:tr w:rsidR="00E45C7B" w:rsidRPr="008C3F4C" w14:paraId="5B181E89" w14:textId="77777777" w:rsidTr="00AA1B05">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4FC52366"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according to NPCDCS guidelines</w:t>
            </w:r>
          </w:p>
          <w:p w14:paraId="58EBF11F" w14:textId="77777777" w:rsidR="00E45C7B" w:rsidRPr="00AE732E" w:rsidRDefault="00E45C7B" w:rsidP="00CA0324">
            <w:pPr>
              <w:spacing w:after="0" w:line="240" w:lineRule="auto"/>
              <w:ind w:hanging="63"/>
              <w:rPr>
                <w:rFonts w:eastAsia="Calibri" w:cs="Times New Roman"/>
                <w:sz w:val="24"/>
                <w:szCs w:val="24"/>
                <w:lang w:val="en-US"/>
              </w:rPr>
            </w:pPr>
          </w:p>
        </w:tc>
        <w:tc>
          <w:tcPr>
            <w:tcW w:w="1394" w:type="dxa"/>
            <w:tcBorders>
              <w:bottom w:val="single" w:sz="8" w:space="0" w:color="929292"/>
              <w:right w:val="single" w:sz="8" w:space="0" w:color="929292"/>
            </w:tcBorders>
            <w:tcMar>
              <w:top w:w="80" w:type="nil"/>
              <w:left w:w="40" w:type="nil"/>
              <w:bottom w:w="40" w:type="nil"/>
              <w:right w:w="80" w:type="nil"/>
            </w:tcMar>
          </w:tcPr>
          <w:p w14:paraId="6E8E0FC5"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21.0</w:t>
            </w:r>
          </w:p>
          <w:p w14:paraId="5AFFECC7"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(19·9-22.2)</w:t>
            </w:r>
          </w:p>
          <w:p w14:paraId="272B8402" w14:textId="77777777" w:rsidR="00E45C7B" w:rsidRPr="00843DF1" w:rsidRDefault="00E45C7B" w:rsidP="00CA0324">
            <w:pPr>
              <w:spacing w:after="0" w:line="240" w:lineRule="auto"/>
              <w:jc w:val="center"/>
              <w:rPr>
                <w:rFonts w:eastAsia="Calibri" w:cs="Times New Roman"/>
                <w:sz w:val="24"/>
                <w:szCs w:val="24"/>
                <w:lang w:val="en-US"/>
              </w:rPr>
            </w:pPr>
          </w:p>
        </w:tc>
        <w:tc>
          <w:tcPr>
            <w:tcW w:w="1559" w:type="dxa"/>
            <w:tcBorders>
              <w:bottom w:val="single" w:sz="8" w:space="0" w:color="929292"/>
              <w:right w:val="single" w:sz="4" w:space="0" w:color="auto"/>
            </w:tcBorders>
          </w:tcPr>
          <w:p w14:paraId="4B7401EA"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1180</w:t>
            </w:r>
          </w:p>
          <w:p w14:paraId="3C7A48E5"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(1116-1244)</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3A4B5FB2"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12.5</w:t>
            </w:r>
          </w:p>
          <w:p w14:paraId="78A2F5B8"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(12.2-12.9)</w:t>
            </w:r>
          </w:p>
        </w:tc>
        <w:tc>
          <w:tcPr>
            <w:tcW w:w="1559" w:type="dxa"/>
            <w:tcBorders>
              <w:left w:val="single" w:sz="4" w:space="0" w:color="auto"/>
              <w:bottom w:val="single" w:sz="8" w:space="0" w:color="929292"/>
              <w:right w:val="single" w:sz="8" w:space="0" w:color="929292"/>
            </w:tcBorders>
          </w:tcPr>
          <w:p w14:paraId="1EB98DAE"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+7.2</w:t>
            </w:r>
          </w:p>
          <w:p w14:paraId="4F7D0D2C"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(6.9-7.4)</w:t>
            </w:r>
          </w:p>
        </w:tc>
        <w:tc>
          <w:tcPr>
            <w:tcW w:w="1560" w:type="dxa"/>
            <w:tcBorders>
              <w:left w:val="single" w:sz="4" w:space="0" w:color="auto"/>
              <w:bottom w:val="single" w:sz="8" w:space="0" w:color="929292"/>
              <w:right w:val="single" w:sz="8" w:space="0" w:color="929292"/>
            </w:tcBorders>
          </w:tcPr>
          <w:p w14:paraId="0B6F3D56"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+77.3</w:t>
            </w:r>
          </w:p>
          <w:p w14:paraId="4590B261"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(75.8-78.7)</w:t>
            </w:r>
          </w:p>
        </w:tc>
      </w:tr>
      <w:tr w:rsidR="00E45C7B" w:rsidRPr="008C3F4C" w14:paraId="6140F775" w14:textId="77777777" w:rsidTr="00AA1B05">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47584BCE"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of all at intermediate and high risk</w:t>
            </w:r>
          </w:p>
          <w:p w14:paraId="2160F61B" w14:textId="77777777" w:rsidR="00E45C7B" w:rsidRPr="00AE732E" w:rsidRDefault="00E45C7B" w:rsidP="00CA0324">
            <w:pPr>
              <w:spacing w:after="0" w:line="240" w:lineRule="auto"/>
              <w:ind w:hanging="63"/>
              <w:rPr>
                <w:rFonts w:eastAsia="Calibri" w:cs="Times New Roman"/>
                <w:sz w:val="24"/>
                <w:szCs w:val="24"/>
                <w:lang w:val="en-US"/>
              </w:rPr>
            </w:pPr>
          </w:p>
        </w:tc>
        <w:tc>
          <w:tcPr>
            <w:tcW w:w="1394" w:type="dxa"/>
            <w:tcBorders>
              <w:bottom w:val="single" w:sz="8" w:space="0" w:color="929292"/>
              <w:right w:val="single" w:sz="8" w:space="0" w:color="929292"/>
            </w:tcBorders>
            <w:tcMar>
              <w:top w:w="80" w:type="nil"/>
              <w:left w:w="40" w:type="nil"/>
              <w:bottom w:w="40" w:type="nil"/>
              <w:right w:w="80" w:type="nil"/>
            </w:tcMar>
          </w:tcPr>
          <w:p w14:paraId="1FCE1C3D"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23.2</w:t>
            </w:r>
          </w:p>
          <w:p w14:paraId="411E0D01"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(22.0-24.3)</w:t>
            </w:r>
          </w:p>
          <w:p w14:paraId="38E5A5B9" w14:textId="77777777" w:rsidR="00E45C7B" w:rsidRPr="00843DF1" w:rsidRDefault="00E45C7B" w:rsidP="00CA0324">
            <w:pPr>
              <w:spacing w:after="0" w:line="240" w:lineRule="auto"/>
              <w:jc w:val="center"/>
              <w:rPr>
                <w:rFonts w:eastAsia="Calibri" w:cs="Times New Roman"/>
                <w:sz w:val="24"/>
                <w:szCs w:val="24"/>
                <w:lang w:val="en-US"/>
              </w:rPr>
            </w:pPr>
          </w:p>
        </w:tc>
        <w:tc>
          <w:tcPr>
            <w:tcW w:w="1559" w:type="dxa"/>
            <w:tcBorders>
              <w:bottom w:val="single" w:sz="8" w:space="0" w:color="929292"/>
              <w:right w:val="single" w:sz="4" w:space="0" w:color="auto"/>
            </w:tcBorders>
          </w:tcPr>
          <w:p w14:paraId="5D137330"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1247</w:t>
            </w:r>
          </w:p>
          <w:p w14:paraId="4E36CF21"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(1184-1311)</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27B504E6"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13.2</w:t>
            </w:r>
          </w:p>
          <w:p w14:paraId="6689B236"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(12.9-13.6)</w:t>
            </w:r>
          </w:p>
        </w:tc>
        <w:tc>
          <w:tcPr>
            <w:tcW w:w="1559" w:type="dxa"/>
            <w:tcBorders>
              <w:left w:val="single" w:sz="4" w:space="0" w:color="auto"/>
              <w:bottom w:val="single" w:sz="8" w:space="0" w:color="929292"/>
              <w:right w:val="single" w:sz="8" w:space="0" w:color="929292"/>
            </w:tcBorders>
          </w:tcPr>
          <w:p w14:paraId="4B86A678"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+17.9</w:t>
            </w:r>
          </w:p>
          <w:p w14:paraId="07AD362B"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(17.6-18.2)</w:t>
            </w:r>
          </w:p>
        </w:tc>
        <w:tc>
          <w:tcPr>
            <w:tcW w:w="1560" w:type="dxa"/>
            <w:tcBorders>
              <w:left w:val="single" w:sz="4" w:space="0" w:color="auto"/>
              <w:bottom w:val="single" w:sz="8" w:space="0" w:color="929292"/>
              <w:right w:val="single" w:sz="8" w:space="0" w:color="929292"/>
            </w:tcBorders>
          </w:tcPr>
          <w:p w14:paraId="1B03CAAB"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+87.2</w:t>
            </w:r>
          </w:p>
          <w:p w14:paraId="7B82BAB0"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(86.0-88.4)</w:t>
            </w:r>
          </w:p>
        </w:tc>
      </w:tr>
      <w:tr w:rsidR="00E45C7B" w:rsidRPr="008C3F4C" w14:paraId="02D101F6" w14:textId="77777777" w:rsidTr="00AA1B05">
        <w:tblPrEx>
          <w:tblBorders>
            <w:top w:val="none" w:sz="0" w:space="0" w:color="auto"/>
          </w:tblBorders>
        </w:tblPrEx>
        <w:tc>
          <w:tcPr>
            <w:tcW w:w="1985" w:type="dxa"/>
            <w:tcBorders>
              <w:top w:val="single" w:sz="8" w:space="0" w:color="929292"/>
              <w:left w:val="single" w:sz="8" w:space="0" w:color="929292"/>
              <w:bottom w:val="single" w:sz="8" w:space="0" w:color="929292"/>
              <w:right w:val="single" w:sz="8" w:space="0" w:color="929292"/>
            </w:tcBorders>
          </w:tcPr>
          <w:p w14:paraId="146237B8"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 xml:space="preserve">Treatment of all at high risk </w:t>
            </w:r>
          </w:p>
        </w:tc>
        <w:tc>
          <w:tcPr>
            <w:tcW w:w="1394" w:type="dxa"/>
            <w:tcBorders>
              <w:bottom w:val="single" w:sz="8" w:space="0" w:color="929292"/>
              <w:right w:val="single" w:sz="8" w:space="0" w:color="929292"/>
            </w:tcBorders>
            <w:tcMar>
              <w:top w:w="80" w:type="nil"/>
              <w:left w:w="40" w:type="nil"/>
              <w:bottom w:w="40" w:type="nil"/>
              <w:right w:w="80" w:type="nil"/>
            </w:tcMar>
          </w:tcPr>
          <w:p w14:paraId="17005D1F"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17·9</w:t>
            </w:r>
          </w:p>
          <w:p w14:paraId="0401287C"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(16·9-18.8)</w:t>
            </w:r>
          </w:p>
          <w:p w14:paraId="3B7AD5B1" w14:textId="77777777" w:rsidR="00E45C7B" w:rsidRPr="00AE732E" w:rsidRDefault="00E45C7B" w:rsidP="00CA0324">
            <w:pPr>
              <w:spacing w:after="0" w:line="240" w:lineRule="auto"/>
              <w:jc w:val="center"/>
              <w:rPr>
                <w:rFonts w:eastAsia="Calibri" w:cs="Times New Roman"/>
                <w:sz w:val="24"/>
                <w:szCs w:val="24"/>
                <w:lang w:val="en-US"/>
              </w:rPr>
            </w:pPr>
          </w:p>
        </w:tc>
        <w:tc>
          <w:tcPr>
            <w:tcW w:w="1559" w:type="dxa"/>
            <w:tcBorders>
              <w:bottom w:val="single" w:sz="8" w:space="0" w:color="929292"/>
              <w:right w:val="single" w:sz="4" w:space="0" w:color="auto"/>
            </w:tcBorders>
          </w:tcPr>
          <w:p w14:paraId="7264CD6D"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1083</w:t>
            </w:r>
          </w:p>
          <w:p w14:paraId="2029BE8B"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(1023-1142)</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7C7F9C5B"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11.5</w:t>
            </w:r>
          </w:p>
          <w:p w14:paraId="469E424C"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(11.2-11.8)</w:t>
            </w:r>
          </w:p>
        </w:tc>
        <w:tc>
          <w:tcPr>
            <w:tcW w:w="1559" w:type="dxa"/>
            <w:tcBorders>
              <w:left w:val="single" w:sz="4" w:space="0" w:color="auto"/>
              <w:bottom w:val="single" w:sz="8" w:space="0" w:color="929292"/>
              <w:right w:val="single" w:sz="8" w:space="0" w:color="929292"/>
            </w:tcBorders>
          </w:tcPr>
          <w:p w14:paraId="40624589"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-9.0</w:t>
            </w:r>
          </w:p>
          <w:p w14:paraId="15127024"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((-8.8)-(-9.2))</w:t>
            </w:r>
          </w:p>
        </w:tc>
        <w:tc>
          <w:tcPr>
            <w:tcW w:w="1560" w:type="dxa"/>
            <w:tcBorders>
              <w:left w:val="single" w:sz="4" w:space="0" w:color="auto"/>
              <w:bottom w:val="single" w:sz="8" w:space="0" w:color="929292"/>
              <w:right w:val="single" w:sz="8" w:space="0" w:color="929292"/>
            </w:tcBorders>
          </w:tcPr>
          <w:p w14:paraId="7F64C09C" w14:textId="77777777" w:rsidR="00E45C7B" w:rsidRPr="002E1EA4" w:rsidRDefault="00E45C7B" w:rsidP="00CA0324">
            <w:pPr>
              <w:spacing w:after="0" w:line="240" w:lineRule="auto"/>
              <w:jc w:val="center"/>
              <w:rPr>
                <w:rFonts w:eastAsia="Times New Roman" w:cs="Times New Roman"/>
                <w:color w:val="000000"/>
                <w:sz w:val="24"/>
                <w:szCs w:val="24"/>
              </w:rPr>
            </w:pPr>
            <w:r w:rsidRPr="002E1EA4">
              <w:rPr>
                <w:rFonts w:eastAsia="Times New Roman" w:cs="Times New Roman"/>
                <w:color w:val="000000"/>
                <w:sz w:val="24"/>
                <w:szCs w:val="24"/>
              </w:rPr>
              <w:t>+62.7</w:t>
            </w:r>
          </w:p>
          <w:p w14:paraId="573E0EF7" w14:textId="77777777" w:rsidR="00E45C7B" w:rsidRPr="008C3F4C" w:rsidRDefault="00E45C7B" w:rsidP="00CA0324">
            <w:pPr>
              <w:spacing w:after="0" w:line="240" w:lineRule="auto"/>
              <w:jc w:val="center"/>
              <w:rPr>
                <w:rFonts w:eastAsia="Calibri" w:cs="Times New Roman"/>
                <w:sz w:val="24"/>
                <w:szCs w:val="24"/>
                <w:lang w:val="en-US"/>
              </w:rPr>
            </w:pPr>
            <w:r w:rsidRPr="002E1EA4">
              <w:rPr>
                <w:rFonts w:eastAsia="Times New Roman" w:cs="Times New Roman"/>
                <w:color w:val="000000"/>
                <w:sz w:val="24"/>
                <w:szCs w:val="24"/>
              </w:rPr>
              <w:t>(61.0-64.4)</w:t>
            </w:r>
          </w:p>
        </w:tc>
      </w:tr>
    </w:tbl>
    <w:p w14:paraId="2744E0E2" w14:textId="77777777" w:rsidR="00E45C7B" w:rsidRPr="008C3F4C" w:rsidRDefault="00E45C7B" w:rsidP="00CA0324">
      <w:pPr>
        <w:spacing w:after="0" w:line="240" w:lineRule="auto"/>
        <w:rPr>
          <w:rFonts w:eastAsia="Calibri" w:cs="Times New Roman"/>
          <w:sz w:val="24"/>
          <w:szCs w:val="24"/>
          <w:lang w:val="en-US"/>
        </w:rPr>
      </w:pPr>
      <w:r w:rsidRPr="008C3F4C">
        <w:rPr>
          <w:rFonts w:eastAsia="Calibri" w:cs="Times New Roman"/>
          <w:sz w:val="24"/>
          <w:szCs w:val="24"/>
          <w:lang w:val="en-US"/>
        </w:rPr>
        <w:t>*Weighted estimates</w:t>
      </w:r>
    </w:p>
    <w:p w14:paraId="1873FF85" w14:textId="77777777" w:rsidR="00E45C7B" w:rsidRPr="00AE732E" w:rsidRDefault="00E45C7B" w:rsidP="00CA0324">
      <w:pPr>
        <w:spacing w:after="0" w:line="240" w:lineRule="auto"/>
        <w:rPr>
          <w:rFonts w:eastAsia="Calibri" w:cs="Times New Roman"/>
          <w:sz w:val="24"/>
          <w:szCs w:val="24"/>
          <w:lang w:val="en-US"/>
        </w:rPr>
      </w:pPr>
      <w:r>
        <w:rPr>
          <w:rFonts w:eastAsia="Calibri" w:cs="Times New Roman"/>
          <w:sz w:val="24"/>
          <w:szCs w:val="24"/>
          <w:lang w:val="en-US"/>
        </w:rPr>
        <w:t>†</w:t>
      </w:r>
      <w:r w:rsidRPr="00AE732E">
        <w:rPr>
          <w:rFonts w:eastAsia="Calibri" w:cs="Times New Roman"/>
          <w:sz w:val="24"/>
          <w:szCs w:val="24"/>
          <w:lang w:val="en-US"/>
        </w:rPr>
        <w:t>Estimated number of CVD events over 10 years in the untreated population is 9442. This estimate is based on the population risk distribution after adjustment of BP levels in those on BP lowering treatment.</w:t>
      </w:r>
    </w:p>
    <w:p w14:paraId="351E4B63" w14:textId="77777777" w:rsidR="00E45C7B" w:rsidRPr="00723850" w:rsidRDefault="00E45C7B" w:rsidP="00CA0324">
      <w:pPr>
        <w:spacing w:after="0" w:line="240" w:lineRule="auto"/>
        <w:rPr>
          <w:rFonts w:eastAsia="Times New Roman" w:cs="Times New Roman"/>
          <w:bCs/>
          <w:sz w:val="24"/>
          <w:szCs w:val="24"/>
        </w:rPr>
      </w:pPr>
      <w:r w:rsidRPr="00AE732E">
        <w:rPr>
          <w:rFonts w:eastAsia="Calibri" w:cs="Times New Roman"/>
          <w:sz w:val="24"/>
          <w:szCs w:val="24"/>
          <w:lang w:val="en-US"/>
        </w:rPr>
        <w:t xml:space="preserve">BP – blood pressure; CVD – cardiovascular disease; NPCDCS – </w:t>
      </w:r>
      <w:r>
        <w:rPr>
          <w:rFonts w:eastAsia="Calibri" w:cs="Times New Roman"/>
          <w:sz w:val="24"/>
          <w:szCs w:val="24"/>
          <w:lang w:val="en-US"/>
        </w:rPr>
        <w:t>National Program</w:t>
      </w:r>
      <w:r w:rsidRPr="00AE732E">
        <w:rPr>
          <w:rFonts w:eastAsia="Calibri" w:cs="Times New Roman"/>
          <w:sz w:val="24"/>
          <w:szCs w:val="24"/>
          <w:lang w:val="en-US"/>
        </w:rPr>
        <w:t xml:space="preserve"> on prevention and c</w:t>
      </w:r>
      <w:r w:rsidRPr="00843DF1">
        <w:rPr>
          <w:rFonts w:eastAsia="Calibri" w:cs="Times New Roman"/>
          <w:sz w:val="24"/>
          <w:szCs w:val="24"/>
          <w:lang w:val="en-US"/>
        </w:rPr>
        <w:t xml:space="preserve">ontrol of </w:t>
      </w:r>
      <w:r>
        <w:rPr>
          <w:rFonts w:eastAsia="Calibri" w:cs="Times New Roman"/>
          <w:sz w:val="24"/>
          <w:szCs w:val="24"/>
          <w:lang w:val="en-US"/>
        </w:rPr>
        <w:t xml:space="preserve">Cancer, </w:t>
      </w:r>
      <w:r w:rsidRPr="00843DF1">
        <w:rPr>
          <w:rFonts w:eastAsia="Calibri" w:cs="Times New Roman"/>
          <w:sz w:val="24"/>
          <w:szCs w:val="24"/>
          <w:lang w:val="en-US"/>
        </w:rPr>
        <w:t>Dia</w:t>
      </w:r>
      <w:r>
        <w:rPr>
          <w:rFonts w:eastAsia="Calibri" w:cs="Times New Roman"/>
          <w:sz w:val="24"/>
          <w:szCs w:val="24"/>
          <w:lang w:val="en-US"/>
        </w:rPr>
        <w:t xml:space="preserve">betes, Cardiovascular diseases </w:t>
      </w:r>
      <w:r w:rsidRPr="00843DF1">
        <w:rPr>
          <w:rFonts w:eastAsia="Calibri" w:cs="Times New Roman"/>
          <w:sz w:val="24"/>
          <w:szCs w:val="24"/>
          <w:lang w:val="en-US"/>
        </w:rPr>
        <w:t>and Stroke</w:t>
      </w:r>
    </w:p>
    <w:p w14:paraId="663EE609" w14:textId="77777777" w:rsidR="00E45C7B" w:rsidRPr="00723850" w:rsidRDefault="00E45C7B" w:rsidP="00CA0324">
      <w:pPr>
        <w:spacing w:after="0" w:line="240" w:lineRule="auto"/>
        <w:rPr>
          <w:rFonts w:eastAsia="Times New Roman" w:cs="Times New Roman"/>
          <w:b/>
          <w:bCs/>
          <w:sz w:val="24"/>
          <w:szCs w:val="24"/>
        </w:rPr>
      </w:pPr>
      <w:r w:rsidRPr="00723850">
        <w:rPr>
          <w:rFonts w:eastAsia="Times New Roman" w:cs="Times New Roman"/>
          <w:b/>
          <w:bCs/>
          <w:sz w:val="24"/>
          <w:szCs w:val="24"/>
        </w:rPr>
        <w:br w:type="page"/>
      </w:r>
    </w:p>
    <w:p w14:paraId="160BD5A4" w14:textId="1A00D0D5" w:rsidR="00E45C7B" w:rsidRPr="00723850" w:rsidRDefault="00E45C7B" w:rsidP="00CA0324">
      <w:pPr>
        <w:rPr>
          <w:rFonts w:eastAsia="Times New Roman" w:cs="Times New Roman"/>
          <w:bCs/>
          <w:sz w:val="24"/>
          <w:szCs w:val="24"/>
        </w:rPr>
      </w:pPr>
      <w:r w:rsidRPr="00723850">
        <w:rPr>
          <w:rFonts w:eastAsia="Times New Roman" w:cs="Times New Roman"/>
          <w:b/>
          <w:bCs/>
          <w:sz w:val="24"/>
          <w:szCs w:val="24"/>
        </w:rPr>
        <w:lastRenderedPageBreak/>
        <w:t xml:space="preserve">Table </w:t>
      </w:r>
      <w:r w:rsidR="00F51F0B">
        <w:rPr>
          <w:rFonts w:eastAsia="Times New Roman" w:cs="Times New Roman"/>
          <w:b/>
          <w:bCs/>
          <w:sz w:val="24"/>
          <w:szCs w:val="24"/>
        </w:rPr>
        <w:t>S</w:t>
      </w:r>
      <w:r w:rsidRPr="00723850">
        <w:rPr>
          <w:rFonts w:eastAsia="Times New Roman" w:cs="Times New Roman"/>
          <w:b/>
          <w:bCs/>
          <w:sz w:val="24"/>
          <w:szCs w:val="24"/>
        </w:rPr>
        <w:t>5-</w:t>
      </w:r>
      <w:r w:rsidRPr="00723850">
        <w:rPr>
          <w:rFonts w:eastAsia="Times New Roman" w:cs="Times New Roman"/>
          <w:bCs/>
          <w:sz w:val="24"/>
          <w:szCs w:val="24"/>
        </w:rPr>
        <w:t xml:space="preserve"> Comparison of treatment paradigms for BP lowering, assuming pre-treatment levels were higher by 10 mmHg for SBP and 5 mmHg for DBP, among those already taking BP lowering drugs, maintaining all other assumptions as in Table 2*</w:t>
      </w:r>
    </w:p>
    <w:tbl>
      <w:tblPr>
        <w:tblW w:w="9616" w:type="dxa"/>
        <w:tblInd w:w="-10" w:type="dxa"/>
        <w:tblBorders>
          <w:top w:val="nil"/>
          <w:left w:val="nil"/>
          <w:right w:val="nil"/>
        </w:tblBorders>
        <w:tblLayout w:type="fixed"/>
        <w:tblLook w:val="0000" w:firstRow="0" w:lastRow="0" w:firstColumn="0" w:lastColumn="0" w:noHBand="0" w:noVBand="0"/>
      </w:tblPr>
      <w:tblGrid>
        <w:gridCol w:w="1985"/>
        <w:gridCol w:w="1559"/>
        <w:gridCol w:w="1394"/>
        <w:gridCol w:w="1559"/>
        <w:gridCol w:w="1559"/>
        <w:gridCol w:w="1560"/>
      </w:tblGrid>
      <w:tr w:rsidR="00E45C7B" w:rsidRPr="008C3F4C" w14:paraId="37E68764" w14:textId="77777777" w:rsidTr="00CA0324">
        <w:tc>
          <w:tcPr>
            <w:tcW w:w="1985" w:type="dxa"/>
            <w:tcBorders>
              <w:top w:val="single" w:sz="8" w:space="0" w:color="929292"/>
              <w:left w:val="single" w:sz="8" w:space="0" w:color="929292"/>
              <w:bottom w:val="single" w:sz="8" w:space="0" w:color="929292"/>
              <w:right w:val="single" w:sz="8" w:space="0" w:color="929292"/>
            </w:tcBorders>
          </w:tcPr>
          <w:p w14:paraId="5F0FBD68"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Treatment paradigm for BP lowering</w:t>
            </w:r>
          </w:p>
        </w:tc>
        <w:tc>
          <w:tcPr>
            <w:tcW w:w="1559" w:type="dxa"/>
            <w:tcBorders>
              <w:top w:val="single" w:sz="8" w:space="0" w:color="929292"/>
              <w:bottom w:val="single" w:sz="8" w:space="0" w:color="929292"/>
              <w:right w:val="single" w:sz="8" w:space="0" w:color="929292"/>
            </w:tcBorders>
            <w:tcMar>
              <w:top w:w="80" w:type="nil"/>
              <w:left w:w="40" w:type="nil"/>
              <w:bottom w:w="40" w:type="nil"/>
              <w:right w:w="80" w:type="nil"/>
            </w:tcMar>
          </w:tcPr>
          <w:p w14:paraId="79E22DE6"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xml:space="preserve">% Population treated </w:t>
            </w:r>
          </w:p>
          <w:p w14:paraId="7507B8B4"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(95% CI)</w:t>
            </w:r>
          </w:p>
        </w:tc>
        <w:tc>
          <w:tcPr>
            <w:tcW w:w="1394" w:type="dxa"/>
            <w:tcBorders>
              <w:top w:val="single" w:sz="8" w:space="0" w:color="929292"/>
              <w:bottom w:val="single" w:sz="8" w:space="0" w:color="929292"/>
              <w:right w:val="single" w:sz="4" w:space="0" w:color="auto"/>
            </w:tcBorders>
          </w:tcPr>
          <w:p w14:paraId="4445BDD0"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xml:space="preserve">CVD events averted over 10 years due to treatment </w:t>
            </w:r>
          </w:p>
          <w:p w14:paraId="428FA81C" w14:textId="77777777" w:rsidR="00E45C7B" w:rsidRPr="00843DF1" w:rsidRDefault="00E45C7B" w:rsidP="00CA0324">
            <w:pPr>
              <w:spacing w:after="0" w:line="240" w:lineRule="auto"/>
              <w:rPr>
                <w:rFonts w:eastAsia="Calibri" w:cs="Times New Roman"/>
                <w:b/>
                <w:sz w:val="24"/>
                <w:szCs w:val="24"/>
                <w:lang w:val="en-US"/>
              </w:rPr>
            </w:pPr>
            <w:r w:rsidRPr="00843DF1">
              <w:rPr>
                <w:rFonts w:eastAsia="Calibri" w:cs="Times New Roman"/>
                <w:b/>
                <w:sz w:val="24"/>
                <w:szCs w:val="24"/>
                <w:lang w:val="en-US"/>
              </w:rPr>
              <w:t>n (95% CI)</w:t>
            </w:r>
          </w:p>
        </w:tc>
        <w:tc>
          <w:tcPr>
            <w:tcW w:w="1559" w:type="dxa"/>
            <w:tcBorders>
              <w:top w:val="single" w:sz="8" w:space="0" w:color="929292"/>
              <w:left w:val="single" w:sz="4" w:space="0" w:color="auto"/>
              <w:bottom w:val="single" w:sz="8" w:space="0" w:color="929292"/>
              <w:right w:val="single" w:sz="8" w:space="0" w:color="929292"/>
            </w:tcBorders>
            <w:tcMar>
              <w:top w:w="80" w:type="nil"/>
              <w:left w:w="40" w:type="nil"/>
              <w:bottom w:w="40" w:type="nil"/>
              <w:right w:w="80" w:type="nil"/>
            </w:tcMar>
          </w:tcPr>
          <w:p w14:paraId="1C3101F5" w14:textId="77777777" w:rsidR="00E45C7B" w:rsidRPr="00843DF1" w:rsidRDefault="00E45C7B" w:rsidP="00CA0324">
            <w:pPr>
              <w:spacing w:after="0" w:line="240" w:lineRule="auto"/>
              <w:rPr>
                <w:rFonts w:eastAsia="Calibri" w:cs="Times New Roman"/>
                <w:b/>
                <w:sz w:val="24"/>
                <w:szCs w:val="24"/>
                <w:vertAlign w:val="superscript"/>
                <w:lang w:val="en-US"/>
              </w:rPr>
            </w:pPr>
            <w:r>
              <w:rPr>
                <w:rFonts w:eastAsia="Calibri" w:cs="Times New Roman"/>
                <w:b/>
                <w:sz w:val="24"/>
                <w:szCs w:val="24"/>
                <w:lang w:val="en-US"/>
              </w:rPr>
              <w:t xml:space="preserve">Estimated percentage reduction of </w:t>
            </w:r>
            <w:r w:rsidRPr="001C2344">
              <w:rPr>
                <w:rFonts w:eastAsia="Calibri" w:cs="Times New Roman"/>
                <w:b/>
                <w:sz w:val="24"/>
                <w:szCs w:val="24"/>
                <w:lang w:val="en-US"/>
              </w:rPr>
              <w:t xml:space="preserve">CVD events averted over 10 years compared to </w:t>
            </w:r>
            <w:r>
              <w:rPr>
                <w:rFonts w:eastAsia="Calibri" w:cs="Times New Roman"/>
                <w:b/>
                <w:sz w:val="24"/>
                <w:szCs w:val="24"/>
                <w:lang w:val="en-US"/>
              </w:rPr>
              <w:t>no treatment</w:t>
            </w:r>
            <w:r w:rsidRPr="00E85CEC">
              <w:rPr>
                <w:rFonts w:eastAsia="Calibri" w:cs="Times New Roman"/>
                <w:b/>
                <w:sz w:val="24"/>
                <w:szCs w:val="24"/>
                <w:lang w:val="en-US"/>
              </w:rPr>
              <w:t>†</w:t>
            </w:r>
          </w:p>
          <w:p w14:paraId="1F24C7EE" w14:textId="77777777" w:rsidR="00E45C7B" w:rsidRPr="00D13D86" w:rsidRDefault="00E45C7B" w:rsidP="00CA0324">
            <w:pPr>
              <w:spacing w:after="0" w:line="240" w:lineRule="auto"/>
              <w:rPr>
                <w:rFonts w:eastAsia="Calibri" w:cs="Times New Roman"/>
                <w:b/>
                <w:sz w:val="24"/>
                <w:szCs w:val="24"/>
                <w:lang w:val="en-US"/>
              </w:rPr>
            </w:pPr>
            <w:r w:rsidRPr="00D13D86">
              <w:rPr>
                <w:rFonts w:eastAsia="Calibri" w:cs="Times New Roman"/>
                <w:b/>
                <w:sz w:val="24"/>
                <w:szCs w:val="24"/>
                <w:lang w:val="en-US"/>
              </w:rPr>
              <w:t>% (95% CI)</w:t>
            </w:r>
          </w:p>
        </w:tc>
        <w:tc>
          <w:tcPr>
            <w:tcW w:w="1559" w:type="dxa"/>
            <w:tcBorders>
              <w:top w:val="single" w:sz="8" w:space="0" w:color="929292"/>
              <w:left w:val="single" w:sz="4" w:space="0" w:color="auto"/>
              <w:bottom w:val="single" w:sz="8" w:space="0" w:color="929292"/>
              <w:right w:val="single" w:sz="8" w:space="0" w:color="929292"/>
            </w:tcBorders>
          </w:tcPr>
          <w:p w14:paraId="6116CA94" w14:textId="77777777" w:rsidR="00E45C7B" w:rsidRPr="00D13D86" w:rsidRDefault="00E45C7B" w:rsidP="00CA0324">
            <w:pPr>
              <w:spacing w:after="0" w:line="240" w:lineRule="auto"/>
              <w:rPr>
                <w:rFonts w:eastAsia="Calibri" w:cs="Times New Roman"/>
                <w:b/>
                <w:sz w:val="24"/>
                <w:szCs w:val="24"/>
                <w:lang w:val="en-US"/>
              </w:rPr>
            </w:pPr>
            <w:r>
              <w:rPr>
                <w:rFonts w:eastAsia="Calibri" w:cs="Times New Roman"/>
                <w:b/>
                <w:sz w:val="24"/>
                <w:szCs w:val="24"/>
                <w:lang w:val="en-US"/>
              </w:rPr>
              <w:t xml:space="preserve">Percentage change in number </w:t>
            </w:r>
            <w:r w:rsidRPr="00D13D86">
              <w:rPr>
                <w:rFonts w:eastAsia="Calibri" w:cs="Times New Roman"/>
                <w:b/>
                <w:sz w:val="24"/>
                <w:szCs w:val="24"/>
                <w:lang w:val="en-US"/>
              </w:rPr>
              <w:t>population treated compared to current practice</w:t>
            </w:r>
          </w:p>
          <w:p w14:paraId="426676CB"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 (95% CI)</w:t>
            </w:r>
          </w:p>
        </w:tc>
        <w:tc>
          <w:tcPr>
            <w:tcW w:w="1560" w:type="dxa"/>
            <w:tcBorders>
              <w:top w:val="single" w:sz="8" w:space="0" w:color="929292"/>
              <w:left w:val="single" w:sz="4" w:space="0" w:color="auto"/>
              <w:bottom w:val="single" w:sz="8" w:space="0" w:color="929292"/>
              <w:right w:val="single" w:sz="8" w:space="0" w:color="929292"/>
            </w:tcBorders>
          </w:tcPr>
          <w:p w14:paraId="6FE81A37" w14:textId="77777777" w:rsidR="00E45C7B" w:rsidRPr="008C3F4C" w:rsidRDefault="00E45C7B" w:rsidP="00CA0324">
            <w:pPr>
              <w:spacing w:after="0" w:line="240" w:lineRule="auto"/>
              <w:rPr>
                <w:rFonts w:eastAsia="Calibri" w:cs="Times New Roman"/>
                <w:b/>
                <w:sz w:val="24"/>
                <w:szCs w:val="24"/>
                <w:lang w:val="en-US"/>
              </w:rPr>
            </w:pPr>
            <w:r>
              <w:rPr>
                <w:rFonts w:eastAsia="Calibri" w:cs="Times New Roman"/>
                <w:b/>
                <w:sz w:val="24"/>
                <w:szCs w:val="24"/>
                <w:lang w:val="en-US"/>
              </w:rPr>
              <w:t xml:space="preserve">Percentage change in number </w:t>
            </w:r>
            <w:r w:rsidRPr="008C3F4C">
              <w:rPr>
                <w:rFonts w:eastAsia="Calibri" w:cs="Times New Roman"/>
                <w:b/>
                <w:sz w:val="24"/>
                <w:szCs w:val="24"/>
                <w:lang w:val="en-US"/>
              </w:rPr>
              <w:t>of events averted over 10 years compared to current practice</w:t>
            </w:r>
          </w:p>
          <w:p w14:paraId="3642B355"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 (95% CI)</w:t>
            </w:r>
          </w:p>
        </w:tc>
      </w:tr>
      <w:tr w:rsidR="00E45C7B" w:rsidRPr="008C3F4C" w14:paraId="4AA2890B" w14:textId="77777777" w:rsidTr="00CA0324">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21E4D40F"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Current practice</w:t>
            </w:r>
          </w:p>
          <w:p w14:paraId="62A7F6EC" w14:textId="77777777" w:rsidR="00E45C7B" w:rsidRPr="00AE732E" w:rsidRDefault="00E45C7B" w:rsidP="00CA0324">
            <w:pPr>
              <w:spacing w:after="0" w:line="240" w:lineRule="auto"/>
              <w:ind w:hanging="63"/>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60B8B3C5"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19.6</w:t>
            </w:r>
          </w:p>
          <w:p w14:paraId="28D565F5"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(18.4-20.9)</w:t>
            </w:r>
          </w:p>
          <w:p w14:paraId="1DB5363B" w14:textId="77777777" w:rsidR="00E45C7B" w:rsidRPr="00843DF1" w:rsidRDefault="00E45C7B" w:rsidP="00CA0324">
            <w:pPr>
              <w:spacing w:after="0" w:line="240" w:lineRule="auto"/>
              <w:jc w:val="center"/>
              <w:rPr>
                <w:rFonts w:eastAsia="Calibri" w:cs="Times New Roman"/>
                <w:sz w:val="24"/>
                <w:szCs w:val="24"/>
                <w:lang w:val="en-US"/>
              </w:rPr>
            </w:pPr>
          </w:p>
        </w:tc>
        <w:tc>
          <w:tcPr>
            <w:tcW w:w="1394" w:type="dxa"/>
            <w:tcBorders>
              <w:bottom w:val="single" w:sz="8" w:space="0" w:color="929292"/>
              <w:right w:val="single" w:sz="4" w:space="0" w:color="auto"/>
            </w:tcBorders>
          </w:tcPr>
          <w:p w14:paraId="4BEE4130"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515</w:t>
            </w:r>
          </w:p>
          <w:p w14:paraId="0E479A6B"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(483-547)</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6BFBB563"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5.4</w:t>
            </w:r>
          </w:p>
          <w:p w14:paraId="326A91D9"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(5.2-5.6)</w:t>
            </w:r>
          </w:p>
        </w:tc>
        <w:tc>
          <w:tcPr>
            <w:tcW w:w="1559" w:type="dxa"/>
            <w:tcBorders>
              <w:left w:val="single" w:sz="4" w:space="0" w:color="auto"/>
              <w:bottom w:val="single" w:sz="8" w:space="0" w:color="929292"/>
              <w:right w:val="single" w:sz="8" w:space="0" w:color="929292"/>
            </w:tcBorders>
          </w:tcPr>
          <w:p w14:paraId="3D6A077A"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w:t>
            </w:r>
          </w:p>
        </w:tc>
        <w:tc>
          <w:tcPr>
            <w:tcW w:w="1560" w:type="dxa"/>
            <w:tcBorders>
              <w:left w:val="single" w:sz="4" w:space="0" w:color="auto"/>
              <w:bottom w:val="single" w:sz="8" w:space="0" w:color="929292"/>
              <w:right w:val="single" w:sz="8" w:space="0" w:color="929292"/>
            </w:tcBorders>
          </w:tcPr>
          <w:p w14:paraId="27AD9E66"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w:t>
            </w:r>
          </w:p>
        </w:tc>
      </w:tr>
      <w:tr w:rsidR="00E45C7B" w:rsidRPr="008C3F4C" w14:paraId="449F69EE" w14:textId="77777777" w:rsidTr="00CA0324">
        <w:tblPrEx>
          <w:tblBorders>
            <w:top w:val="none" w:sz="0" w:space="0" w:color="auto"/>
          </w:tblBorders>
        </w:tblPrEx>
        <w:tc>
          <w:tcPr>
            <w:tcW w:w="1985" w:type="dxa"/>
            <w:tcBorders>
              <w:top w:val="single" w:sz="8" w:space="0" w:color="929292"/>
              <w:left w:val="single" w:sz="8" w:space="0" w:color="929292"/>
              <w:bottom w:val="single" w:sz="8" w:space="0" w:color="929292"/>
              <w:right w:val="single" w:sz="8" w:space="0" w:color="929292"/>
            </w:tcBorders>
          </w:tcPr>
          <w:p w14:paraId="58704A9A"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of “hypertension” (BP &gt;140/90 mmHg)</w:t>
            </w:r>
          </w:p>
          <w:p w14:paraId="66EAED74" w14:textId="77777777" w:rsidR="00E45C7B" w:rsidRPr="00AE732E" w:rsidRDefault="00E45C7B" w:rsidP="00CA0324">
            <w:pPr>
              <w:spacing w:after="0" w:line="240" w:lineRule="auto"/>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5DA4707A"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33.5</w:t>
            </w:r>
          </w:p>
          <w:p w14:paraId="087BE366"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(31.6-35.4)</w:t>
            </w:r>
          </w:p>
        </w:tc>
        <w:tc>
          <w:tcPr>
            <w:tcW w:w="1394" w:type="dxa"/>
            <w:tcBorders>
              <w:bottom w:val="single" w:sz="8" w:space="0" w:color="929292"/>
              <w:right w:val="single" w:sz="4" w:space="0" w:color="auto"/>
            </w:tcBorders>
          </w:tcPr>
          <w:p w14:paraId="13CF62D3"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893</w:t>
            </w:r>
          </w:p>
          <w:p w14:paraId="160EF6EC"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(842-943)</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57236D09"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9.4</w:t>
            </w:r>
          </w:p>
          <w:p w14:paraId="051AE00B"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(9.1-9.7)</w:t>
            </w:r>
          </w:p>
        </w:tc>
        <w:tc>
          <w:tcPr>
            <w:tcW w:w="1559" w:type="dxa"/>
            <w:tcBorders>
              <w:left w:val="single" w:sz="4" w:space="0" w:color="auto"/>
              <w:bottom w:val="single" w:sz="8" w:space="0" w:color="929292"/>
              <w:right w:val="single" w:sz="8" w:space="0" w:color="929292"/>
            </w:tcBorders>
          </w:tcPr>
          <w:p w14:paraId="7311BD71"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+70.7</w:t>
            </w:r>
          </w:p>
          <w:p w14:paraId="0A9D81C7"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(70.3-71.2)</w:t>
            </w:r>
          </w:p>
        </w:tc>
        <w:tc>
          <w:tcPr>
            <w:tcW w:w="1560" w:type="dxa"/>
            <w:tcBorders>
              <w:left w:val="single" w:sz="4" w:space="0" w:color="auto"/>
              <w:bottom w:val="single" w:sz="8" w:space="0" w:color="929292"/>
              <w:right w:val="single" w:sz="8" w:space="0" w:color="929292"/>
            </w:tcBorders>
          </w:tcPr>
          <w:p w14:paraId="57886E28"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+74.3</w:t>
            </w:r>
          </w:p>
          <w:p w14:paraId="27F6DD95"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(72.3-76.3)</w:t>
            </w:r>
          </w:p>
        </w:tc>
      </w:tr>
      <w:tr w:rsidR="00E45C7B" w:rsidRPr="008C3F4C" w14:paraId="0FB334DA" w14:textId="77777777" w:rsidTr="00CA0324">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32AFB045"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according to NPCDCS guidelines</w:t>
            </w:r>
          </w:p>
          <w:p w14:paraId="190A149F" w14:textId="77777777" w:rsidR="00E45C7B" w:rsidRPr="00AE732E" w:rsidRDefault="00E45C7B" w:rsidP="00CA0324">
            <w:pPr>
              <w:spacing w:after="0" w:line="240" w:lineRule="auto"/>
              <w:ind w:hanging="63"/>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32C5CB2A"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21.5</w:t>
            </w:r>
          </w:p>
          <w:p w14:paraId="690FD4F6"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(20.4-22.7)</w:t>
            </w:r>
          </w:p>
        </w:tc>
        <w:tc>
          <w:tcPr>
            <w:tcW w:w="1394" w:type="dxa"/>
            <w:tcBorders>
              <w:bottom w:val="single" w:sz="8" w:space="0" w:color="929292"/>
              <w:right w:val="single" w:sz="4" w:space="0" w:color="auto"/>
            </w:tcBorders>
          </w:tcPr>
          <w:p w14:paraId="1F69BEE1"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903</w:t>
            </w:r>
          </w:p>
          <w:p w14:paraId="36CC8B97"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(854-951)</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6013EF21"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9.5</w:t>
            </w:r>
          </w:p>
          <w:p w14:paraId="77C9A591"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(9.2-9.8)</w:t>
            </w:r>
          </w:p>
        </w:tc>
        <w:tc>
          <w:tcPr>
            <w:tcW w:w="1559" w:type="dxa"/>
            <w:tcBorders>
              <w:left w:val="single" w:sz="4" w:space="0" w:color="auto"/>
              <w:bottom w:val="single" w:sz="8" w:space="0" w:color="929292"/>
              <w:right w:val="single" w:sz="8" w:space="0" w:color="929292"/>
            </w:tcBorders>
          </w:tcPr>
          <w:p w14:paraId="0DE1B10D"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+9.7</w:t>
            </w:r>
          </w:p>
          <w:p w14:paraId="2651FF7D"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(9.4-10.0)</w:t>
            </w:r>
          </w:p>
        </w:tc>
        <w:tc>
          <w:tcPr>
            <w:tcW w:w="1560" w:type="dxa"/>
            <w:tcBorders>
              <w:left w:val="single" w:sz="4" w:space="0" w:color="auto"/>
              <w:bottom w:val="single" w:sz="8" w:space="0" w:color="929292"/>
              <w:right w:val="single" w:sz="8" w:space="0" w:color="929292"/>
            </w:tcBorders>
          </w:tcPr>
          <w:p w14:paraId="32C327FE"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+76.0</w:t>
            </w:r>
          </w:p>
          <w:p w14:paraId="03E1FCFD"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(74.0-78.0)</w:t>
            </w:r>
          </w:p>
        </w:tc>
      </w:tr>
      <w:tr w:rsidR="00E45C7B" w:rsidRPr="008C3F4C" w14:paraId="6AB53F46" w14:textId="77777777" w:rsidTr="00CA0324">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68FF58D9"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of all at intermediate and high risk</w:t>
            </w:r>
          </w:p>
          <w:p w14:paraId="27006BE1" w14:textId="77777777" w:rsidR="00E45C7B" w:rsidRPr="00AE732E" w:rsidRDefault="00E45C7B" w:rsidP="00CA0324">
            <w:pPr>
              <w:spacing w:after="0" w:line="240" w:lineRule="auto"/>
              <w:ind w:hanging="63"/>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5637518E"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23.6</w:t>
            </w:r>
          </w:p>
          <w:p w14:paraId="2340A4FB"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(22.4-24.8)</w:t>
            </w:r>
          </w:p>
        </w:tc>
        <w:tc>
          <w:tcPr>
            <w:tcW w:w="1394" w:type="dxa"/>
            <w:tcBorders>
              <w:bottom w:val="single" w:sz="8" w:space="0" w:color="929292"/>
              <w:right w:val="single" w:sz="4" w:space="0" w:color="auto"/>
            </w:tcBorders>
          </w:tcPr>
          <w:p w14:paraId="0205F659"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953</w:t>
            </w:r>
          </w:p>
          <w:p w14:paraId="39C85A8C"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(904-1001)</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564678C3"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10.0</w:t>
            </w:r>
          </w:p>
          <w:p w14:paraId="6893C1C1"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(9.7-10.3)</w:t>
            </w:r>
          </w:p>
        </w:tc>
        <w:tc>
          <w:tcPr>
            <w:tcW w:w="1559" w:type="dxa"/>
            <w:tcBorders>
              <w:left w:val="single" w:sz="4" w:space="0" w:color="auto"/>
              <w:bottom w:val="single" w:sz="8" w:space="0" w:color="929292"/>
              <w:right w:val="single" w:sz="8" w:space="0" w:color="929292"/>
            </w:tcBorders>
          </w:tcPr>
          <w:p w14:paraId="077CFF0E"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+20.4</w:t>
            </w:r>
          </w:p>
          <w:p w14:paraId="61516BD0"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(20.0-20.8)</w:t>
            </w:r>
          </w:p>
        </w:tc>
        <w:tc>
          <w:tcPr>
            <w:tcW w:w="1560" w:type="dxa"/>
            <w:tcBorders>
              <w:left w:val="single" w:sz="4" w:space="0" w:color="auto"/>
              <w:bottom w:val="single" w:sz="8" w:space="0" w:color="929292"/>
              <w:right w:val="single" w:sz="8" w:space="0" w:color="929292"/>
            </w:tcBorders>
          </w:tcPr>
          <w:p w14:paraId="0BA1FF74"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+85.6</w:t>
            </w:r>
          </w:p>
          <w:p w14:paraId="60D1C667"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(84.0-87.2)</w:t>
            </w:r>
          </w:p>
        </w:tc>
      </w:tr>
      <w:tr w:rsidR="00E45C7B" w:rsidRPr="008C3F4C" w14:paraId="7A46340F" w14:textId="77777777" w:rsidTr="00CA0324">
        <w:tblPrEx>
          <w:tblBorders>
            <w:top w:val="none" w:sz="0" w:space="0" w:color="auto"/>
          </w:tblBorders>
        </w:tblPrEx>
        <w:tc>
          <w:tcPr>
            <w:tcW w:w="1985" w:type="dxa"/>
            <w:tcBorders>
              <w:top w:val="single" w:sz="8" w:space="0" w:color="929292"/>
              <w:left w:val="single" w:sz="8" w:space="0" w:color="929292"/>
              <w:bottom w:val="single" w:sz="8" w:space="0" w:color="929292"/>
              <w:right w:val="single" w:sz="8" w:space="0" w:color="929292"/>
            </w:tcBorders>
          </w:tcPr>
          <w:p w14:paraId="464942CF"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 xml:space="preserve">Treatment of all at high risk </w:t>
            </w:r>
          </w:p>
        </w:tc>
        <w:tc>
          <w:tcPr>
            <w:tcW w:w="1559" w:type="dxa"/>
            <w:tcBorders>
              <w:bottom w:val="single" w:sz="8" w:space="0" w:color="929292"/>
              <w:right w:val="single" w:sz="8" w:space="0" w:color="929292"/>
            </w:tcBorders>
            <w:tcMar>
              <w:top w:w="80" w:type="nil"/>
              <w:left w:w="40" w:type="nil"/>
              <w:bottom w:w="40" w:type="nil"/>
              <w:right w:w="80" w:type="nil"/>
            </w:tcMar>
          </w:tcPr>
          <w:p w14:paraId="0394EC00"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18.1</w:t>
            </w:r>
          </w:p>
          <w:p w14:paraId="032E6597"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(17.1-19.1)</w:t>
            </w:r>
          </w:p>
        </w:tc>
        <w:tc>
          <w:tcPr>
            <w:tcW w:w="1394" w:type="dxa"/>
            <w:tcBorders>
              <w:bottom w:val="single" w:sz="8" w:space="0" w:color="929292"/>
              <w:right w:val="single" w:sz="4" w:space="0" w:color="auto"/>
            </w:tcBorders>
          </w:tcPr>
          <w:p w14:paraId="25FBFE11"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824</w:t>
            </w:r>
          </w:p>
          <w:p w14:paraId="4F4E8C19"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(779-869)</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13617539"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8.7</w:t>
            </w:r>
          </w:p>
          <w:p w14:paraId="1CDAD2E4"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(8.4-9.0)</w:t>
            </w:r>
          </w:p>
        </w:tc>
        <w:tc>
          <w:tcPr>
            <w:tcW w:w="1559" w:type="dxa"/>
            <w:tcBorders>
              <w:left w:val="single" w:sz="4" w:space="0" w:color="auto"/>
              <w:bottom w:val="single" w:sz="8" w:space="0" w:color="929292"/>
              <w:right w:val="single" w:sz="8" w:space="0" w:color="929292"/>
            </w:tcBorders>
          </w:tcPr>
          <w:p w14:paraId="11D93DBD"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-7.7</w:t>
            </w:r>
          </w:p>
          <w:p w14:paraId="56222505"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((-7.4)-(-7.9))</w:t>
            </w:r>
          </w:p>
        </w:tc>
        <w:tc>
          <w:tcPr>
            <w:tcW w:w="1560" w:type="dxa"/>
            <w:tcBorders>
              <w:left w:val="single" w:sz="4" w:space="0" w:color="auto"/>
              <w:bottom w:val="single" w:sz="8" w:space="0" w:color="929292"/>
              <w:right w:val="single" w:sz="8" w:space="0" w:color="929292"/>
            </w:tcBorders>
          </w:tcPr>
          <w:p w14:paraId="76F314D8"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+60.7</w:t>
            </w:r>
          </w:p>
          <w:p w14:paraId="66738F1D"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(58.4-62.9)</w:t>
            </w:r>
          </w:p>
        </w:tc>
      </w:tr>
    </w:tbl>
    <w:p w14:paraId="72480C32" w14:textId="77777777" w:rsidR="00E45C7B" w:rsidRPr="008C3F4C" w:rsidRDefault="00E45C7B" w:rsidP="00CA0324">
      <w:pPr>
        <w:spacing w:after="0" w:line="240" w:lineRule="auto"/>
        <w:rPr>
          <w:rFonts w:eastAsia="Calibri" w:cs="Times New Roman"/>
          <w:sz w:val="24"/>
          <w:szCs w:val="24"/>
          <w:lang w:val="en-US"/>
        </w:rPr>
      </w:pPr>
      <w:r w:rsidRPr="008C3F4C">
        <w:rPr>
          <w:rFonts w:eastAsia="Calibri" w:cs="Times New Roman"/>
          <w:sz w:val="24"/>
          <w:szCs w:val="24"/>
          <w:lang w:val="en-US"/>
        </w:rPr>
        <w:t>*Weighted estimates</w:t>
      </w:r>
    </w:p>
    <w:p w14:paraId="5108D7F8" w14:textId="77777777" w:rsidR="00E45C7B" w:rsidRPr="00AE732E" w:rsidRDefault="00E45C7B" w:rsidP="00CA0324">
      <w:pPr>
        <w:spacing w:after="0" w:line="240" w:lineRule="auto"/>
        <w:rPr>
          <w:rFonts w:eastAsia="Calibri" w:cs="Times New Roman"/>
          <w:sz w:val="24"/>
          <w:szCs w:val="24"/>
          <w:lang w:val="en-US"/>
        </w:rPr>
      </w:pPr>
      <w:r w:rsidRPr="00E85CEC">
        <w:rPr>
          <w:rFonts w:eastAsia="Calibri" w:cs="Times New Roman"/>
          <w:sz w:val="24"/>
          <w:szCs w:val="24"/>
          <w:lang w:val="en-US"/>
        </w:rPr>
        <w:t>†</w:t>
      </w:r>
      <w:r w:rsidRPr="00AE732E">
        <w:rPr>
          <w:rFonts w:eastAsia="Calibri" w:cs="Times New Roman"/>
          <w:sz w:val="24"/>
          <w:szCs w:val="24"/>
          <w:lang w:val="en-US"/>
        </w:rPr>
        <w:t>Estimated number of CVD events over 10 years in the untreated population is 9533. This estimate is based on the population risk distribution after adjustment of BP levels in those on BP lowering treatment.</w:t>
      </w:r>
    </w:p>
    <w:p w14:paraId="5B521E08" w14:textId="77777777" w:rsidR="00E45C7B" w:rsidRPr="00723850" w:rsidRDefault="00E45C7B" w:rsidP="00CA0324">
      <w:pPr>
        <w:rPr>
          <w:rFonts w:eastAsia="Times New Roman" w:cs="Times New Roman"/>
          <w:bCs/>
          <w:sz w:val="24"/>
          <w:szCs w:val="24"/>
        </w:rPr>
      </w:pPr>
      <w:r w:rsidRPr="00843DF1">
        <w:rPr>
          <w:rFonts w:eastAsia="Calibri" w:cs="Times New Roman"/>
          <w:sz w:val="24"/>
          <w:szCs w:val="24"/>
          <w:lang w:val="en-US"/>
        </w:rPr>
        <w:t xml:space="preserve">BP – blood pressure; CVD – cardiovascular disease; NPCDCS – </w:t>
      </w:r>
      <w:r>
        <w:rPr>
          <w:rFonts w:eastAsia="Calibri" w:cs="Times New Roman"/>
          <w:sz w:val="24"/>
          <w:szCs w:val="24"/>
          <w:lang w:val="en-US"/>
        </w:rPr>
        <w:t>National Program</w:t>
      </w:r>
      <w:r w:rsidRPr="00AE732E">
        <w:rPr>
          <w:rFonts w:eastAsia="Calibri" w:cs="Times New Roman"/>
          <w:sz w:val="24"/>
          <w:szCs w:val="24"/>
          <w:lang w:val="en-US"/>
        </w:rPr>
        <w:t xml:space="preserve"> on prevention and c</w:t>
      </w:r>
      <w:r w:rsidRPr="00843DF1">
        <w:rPr>
          <w:rFonts w:eastAsia="Calibri" w:cs="Times New Roman"/>
          <w:sz w:val="24"/>
          <w:szCs w:val="24"/>
          <w:lang w:val="en-US"/>
        </w:rPr>
        <w:t xml:space="preserve">ontrol of </w:t>
      </w:r>
      <w:r>
        <w:rPr>
          <w:rFonts w:eastAsia="Calibri" w:cs="Times New Roman"/>
          <w:sz w:val="24"/>
          <w:szCs w:val="24"/>
          <w:lang w:val="en-US"/>
        </w:rPr>
        <w:t xml:space="preserve">Cancer, </w:t>
      </w:r>
      <w:r w:rsidRPr="00843DF1">
        <w:rPr>
          <w:rFonts w:eastAsia="Calibri" w:cs="Times New Roman"/>
          <w:sz w:val="24"/>
          <w:szCs w:val="24"/>
          <w:lang w:val="en-US"/>
        </w:rPr>
        <w:t>Dia</w:t>
      </w:r>
      <w:r>
        <w:rPr>
          <w:rFonts w:eastAsia="Calibri" w:cs="Times New Roman"/>
          <w:sz w:val="24"/>
          <w:szCs w:val="24"/>
          <w:lang w:val="en-US"/>
        </w:rPr>
        <w:t xml:space="preserve">betes, Cardiovascular diseases </w:t>
      </w:r>
      <w:r w:rsidRPr="00843DF1">
        <w:rPr>
          <w:rFonts w:eastAsia="Calibri" w:cs="Times New Roman"/>
          <w:sz w:val="24"/>
          <w:szCs w:val="24"/>
          <w:lang w:val="en-US"/>
        </w:rPr>
        <w:t>and Stroke</w:t>
      </w:r>
    </w:p>
    <w:p w14:paraId="78570A0B" w14:textId="59262A2F" w:rsidR="00E45C7B" w:rsidRPr="00723850" w:rsidRDefault="00E45C7B" w:rsidP="00CA0324">
      <w:pPr>
        <w:pageBreakBefore/>
        <w:rPr>
          <w:rFonts w:eastAsia="Times New Roman" w:cs="Times New Roman"/>
          <w:bCs/>
          <w:sz w:val="24"/>
          <w:szCs w:val="24"/>
        </w:rPr>
      </w:pPr>
      <w:r w:rsidRPr="00723850">
        <w:rPr>
          <w:rFonts w:eastAsia="Times New Roman" w:cs="Times New Roman"/>
          <w:b/>
          <w:bCs/>
          <w:sz w:val="24"/>
          <w:szCs w:val="24"/>
        </w:rPr>
        <w:lastRenderedPageBreak/>
        <w:t xml:space="preserve">Table </w:t>
      </w:r>
      <w:r w:rsidR="00F51F0B">
        <w:rPr>
          <w:rFonts w:eastAsia="Times New Roman" w:cs="Times New Roman"/>
          <w:b/>
          <w:bCs/>
          <w:sz w:val="24"/>
          <w:szCs w:val="24"/>
        </w:rPr>
        <w:t>S</w:t>
      </w:r>
      <w:bookmarkStart w:id="0" w:name="_GoBack"/>
      <w:bookmarkEnd w:id="0"/>
      <w:r w:rsidRPr="00723850">
        <w:rPr>
          <w:rFonts w:eastAsia="Times New Roman" w:cs="Times New Roman"/>
          <w:b/>
          <w:bCs/>
          <w:sz w:val="24"/>
          <w:szCs w:val="24"/>
        </w:rPr>
        <w:t>6-</w:t>
      </w:r>
      <w:r w:rsidRPr="00723850">
        <w:rPr>
          <w:rFonts w:eastAsia="Times New Roman" w:cs="Times New Roman"/>
          <w:bCs/>
          <w:sz w:val="24"/>
          <w:szCs w:val="24"/>
        </w:rPr>
        <w:t xml:space="preserve"> Comparison of treatment paradigms for BP lowering, assuming pre-treatment levels were higher by 5 mmHg for SBP and 3 mmHg for DBP, among those already taking BP lowering drugs, maintaining all other assumptions as in Table 2*</w:t>
      </w:r>
    </w:p>
    <w:tbl>
      <w:tblPr>
        <w:tblW w:w="9616" w:type="dxa"/>
        <w:tblInd w:w="-10" w:type="dxa"/>
        <w:tblBorders>
          <w:top w:val="nil"/>
          <w:left w:val="nil"/>
          <w:right w:val="nil"/>
        </w:tblBorders>
        <w:tblLayout w:type="fixed"/>
        <w:tblLook w:val="0000" w:firstRow="0" w:lastRow="0" w:firstColumn="0" w:lastColumn="0" w:noHBand="0" w:noVBand="0"/>
      </w:tblPr>
      <w:tblGrid>
        <w:gridCol w:w="1985"/>
        <w:gridCol w:w="1559"/>
        <w:gridCol w:w="1394"/>
        <w:gridCol w:w="1559"/>
        <w:gridCol w:w="1559"/>
        <w:gridCol w:w="1560"/>
      </w:tblGrid>
      <w:tr w:rsidR="00E45C7B" w:rsidRPr="008C3F4C" w14:paraId="1BDB98CB" w14:textId="77777777" w:rsidTr="00CA0324">
        <w:tc>
          <w:tcPr>
            <w:tcW w:w="1985" w:type="dxa"/>
            <w:tcBorders>
              <w:top w:val="single" w:sz="8" w:space="0" w:color="929292"/>
              <w:left w:val="single" w:sz="8" w:space="0" w:color="929292"/>
              <w:bottom w:val="single" w:sz="8" w:space="0" w:color="929292"/>
              <w:right w:val="single" w:sz="8" w:space="0" w:color="929292"/>
            </w:tcBorders>
          </w:tcPr>
          <w:p w14:paraId="3E2952D7"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Treatment paradigm for BP lowering</w:t>
            </w:r>
          </w:p>
        </w:tc>
        <w:tc>
          <w:tcPr>
            <w:tcW w:w="1559" w:type="dxa"/>
            <w:tcBorders>
              <w:top w:val="single" w:sz="8" w:space="0" w:color="929292"/>
              <w:bottom w:val="single" w:sz="8" w:space="0" w:color="929292"/>
              <w:right w:val="single" w:sz="8" w:space="0" w:color="929292"/>
            </w:tcBorders>
            <w:tcMar>
              <w:top w:w="80" w:type="nil"/>
              <w:left w:w="40" w:type="nil"/>
              <w:bottom w:w="40" w:type="nil"/>
              <w:right w:w="80" w:type="nil"/>
            </w:tcMar>
          </w:tcPr>
          <w:p w14:paraId="525BCBE9"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xml:space="preserve">% Population treated </w:t>
            </w:r>
          </w:p>
          <w:p w14:paraId="26AA8043"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(95% CI)</w:t>
            </w:r>
          </w:p>
        </w:tc>
        <w:tc>
          <w:tcPr>
            <w:tcW w:w="1394" w:type="dxa"/>
            <w:tcBorders>
              <w:top w:val="single" w:sz="8" w:space="0" w:color="929292"/>
              <w:bottom w:val="single" w:sz="8" w:space="0" w:color="929292"/>
              <w:right w:val="single" w:sz="4" w:space="0" w:color="auto"/>
            </w:tcBorders>
          </w:tcPr>
          <w:p w14:paraId="76076347" w14:textId="77777777" w:rsidR="00E45C7B" w:rsidRPr="00AE732E" w:rsidRDefault="00E45C7B" w:rsidP="00CA0324">
            <w:pPr>
              <w:spacing w:after="0" w:line="240" w:lineRule="auto"/>
              <w:rPr>
                <w:rFonts w:eastAsia="Calibri" w:cs="Times New Roman"/>
                <w:b/>
                <w:sz w:val="24"/>
                <w:szCs w:val="24"/>
                <w:lang w:val="en-US"/>
              </w:rPr>
            </w:pPr>
            <w:r w:rsidRPr="00AE732E">
              <w:rPr>
                <w:rFonts w:eastAsia="Calibri" w:cs="Times New Roman"/>
                <w:b/>
                <w:sz w:val="24"/>
                <w:szCs w:val="24"/>
                <w:lang w:val="en-US"/>
              </w:rPr>
              <w:t xml:space="preserve">CVD events averted over 10 years due to treatment </w:t>
            </w:r>
          </w:p>
          <w:p w14:paraId="14788BF0" w14:textId="77777777" w:rsidR="00E45C7B" w:rsidRPr="00843DF1" w:rsidRDefault="00E45C7B" w:rsidP="00CA0324">
            <w:pPr>
              <w:spacing w:after="0" w:line="240" w:lineRule="auto"/>
              <w:rPr>
                <w:rFonts w:eastAsia="Calibri" w:cs="Times New Roman"/>
                <w:b/>
                <w:sz w:val="24"/>
                <w:szCs w:val="24"/>
                <w:lang w:val="en-US"/>
              </w:rPr>
            </w:pPr>
            <w:r w:rsidRPr="00843DF1">
              <w:rPr>
                <w:rFonts w:eastAsia="Calibri" w:cs="Times New Roman"/>
                <w:b/>
                <w:sz w:val="24"/>
                <w:szCs w:val="24"/>
                <w:lang w:val="en-US"/>
              </w:rPr>
              <w:t>n (95% CI)</w:t>
            </w:r>
          </w:p>
        </w:tc>
        <w:tc>
          <w:tcPr>
            <w:tcW w:w="1559" w:type="dxa"/>
            <w:tcBorders>
              <w:top w:val="single" w:sz="8" w:space="0" w:color="929292"/>
              <w:left w:val="single" w:sz="4" w:space="0" w:color="auto"/>
              <w:bottom w:val="single" w:sz="8" w:space="0" w:color="929292"/>
              <w:right w:val="single" w:sz="8" w:space="0" w:color="929292"/>
            </w:tcBorders>
            <w:tcMar>
              <w:top w:w="80" w:type="nil"/>
              <w:left w:w="40" w:type="nil"/>
              <w:bottom w:w="40" w:type="nil"/>
              <w:right w:w="80" w:type="nil"/>
            </w:tcMar>
          </w:tcPr>
          <w:p w14:paraId="6F9D3473" w14:textId="77777777" w:rsidR="00E45C7B" w:rsidRPr="00843DF1" w:rsidRDefault="00E45C7B" w:rsidP="00CA0324">
            <w:pPr>
              <w:spacing w:after="0" w:line="240" w:lineRule="auto"/>
              <w:rPr>
                <w:rFonts w:eastAsia="Calibri" w:cs="Times New Roman"/>
                <w:b/>
                <w:sz w:val="24"/>
                <w:szCs w:val="24"/>
                <w:vertAlign w:val="superscript"/>
                <w:lang w:val="en-US"/>
              </w:rPr>
            </w:pPr>
            <w:r>
              <w:rPr>
                <w:rFonts w:eastAsia="Calibri" w:cs="Times New Roman"/>
                <w:b/>
                <w:sz w:val="24"/>
                <w:szCs w:val="24"/>
                <w:lang w:val="en-US"/>
              </w:rPr>
              <w:t xml:space="preserve">Estimated percentage reduction of </w:t>
            </w:r>
            <w:r w:rsidRPr="001C2344">
              <w:rPr>
                <w:rFonts w:eastAsia="Calibri" w:cs="Times New Roman"/>
                <w:b/>
                <w:sz w:val="24"/>
                <w:szCs w:val="24"/>
                <w:lang w:val="en-US"/>
              </w:rPr>
              <w:t xml:space="preserve">CVD events averted over 10 years compared to </w:t>
            </w:r>
            <w:r>
              <w:rPr>
                <w:rFonts w:eastAsia="Calibri" w:cs="Times New Roman"/>
                <w:b/>
                <w:sz w:val="24"/>
                <w:szCs w:val="24"/>
                <w:lang w:val="en-US"/>
              </w:rPr>
              <w:t>no treatment†</w:t>
            </w:r>
          </w:p>
          <w:p w14:paraId="7CF21DCE" w14:textId="77777777" w:rsidR="00E45C7B" w:rsidRPr="00843DF1" w:rsidRDefault="00E45C7B" w:rsidP="00CA0324">
            <w:pPr>
              <w:spacing w:after="0" w:line="240" w:lineRule="auto"/>
              <w:rPr>
                <w:rFonts w:eastAsia="Calibri" w:cs="Times New Roman"/>
                <w:b/>
                <w:sz w:val="24"/>
                <w:szCs w:val="24"/>
                <w:lang w:val="en-US"/>
              </w:rPr>
            </w:pPr>
            <w:r w:rsidRPr="00843DF1">
              <w:rPr>
                <w:rFonts w:eastAsia="Calibri" w:cs="Times New Roman"/>
                <w:b/>
                <w:sz w:val="24"/>
                <w:szCs w:val="24"/>
                <w:lang w:val="en-US"/>
              </w:rPr>
              <w:t>% (95% CI)</w:t>
            </w:r>
          </w:p>
        </w:tc>
        <w:tc>
          <w:tcPr>
            <w:tcW w:w="1559" w:type="dxa"/>
            <w:tcBorders>
              <w:top w:val="single" w:sz="8" w:space="0" w:color="929292"/>
              <w:left w:val="single" w:sz="4" w:space="0" w:color="auto"/>
              <w:bottom w:val="single" w:sz="8" w:space="0" w:color="929292"/>
              <w:right w:val="single" w:sz="8" w:space="0" w:color="929292"/>
            </w:tcBorders>
          </w:tcPr>
          <w:p w14:paraId="6F6E55C1" w14:textId="77777777" w:rsidR="00E45C7B" w:rsidRPr="00D13D86" w:rsidRDefault="00E45C7B" w:rsidP="00CA0324">
            <w:pPr>
              <w:spacing w:after="0" w:line="240" w:lineRule="auto"/>
              <w:rPr>
                <w:rFonts w:eastAsia="Calibri" w:cs="Times New Roman"/>
                <w:b/>
                <w:sz w:val="24"/>
                <w:szCs w:val="24"/>
                <w:lang w:val="en-US"/>
              </w:rPr>
            </w:pPr>
            <w:r>
              <w:rPr>
                <w:rFonts w:eastAsia="Calibri" w:cs="Times New Roman"/>
                <w:b/>
                <w:sz w:val="24"/>
                <w:szCs w:val="24"/>
                <w:lang w:val="en-US"/>
              </w:rPr>
              <w:t xml:space="preserve">Percentage change in number </w:t>
            </w:r>
            <w:r w:rsidRPr="00D13D86">
              <w:rPr>
                <w:rFonts w:eastAsia="Calibri" w:cs="Times New Roman"/>
                <w:b/>
                <w:sz w:val="24"/>
                <w:szCs w:val="24"/>
                <w:lang w:val="en-US"/>
              </w:rPr>
              <w:t>treated compared to current practice</w:t>
            </w:r>
          </w:p>
          <w:p w14:paraId="76DCB8EF"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 (95% CI)</w:t>
            </w:r>
          </w:p>
        </w:tc>
        <w:tc>
          <w:tcPr>
            <w:tcW w:w="1560" w:type="dxa"/>
            <w:tcBorders>
              <w:top w:val="single" w:sz="8" w:space="0" w:color="929292"/>
              <w:left w:val="single" w:sz="4" w:space="0" w:color="auto"/>
              <w:bottom w:val="single" w:sz="8" w:space="0" w:color="929292"/>
              <w:right w:val="single" w:sz="8" w:space="0" w:color="929292"/>
            </w:tcBorders>
          </w:tcPr>
          <w:p w14:paraId="0CAF915A" w14:textId="77777777" w:rsidR="00E45C7B" w:rsidRPr="008C3F4C" w:rsidRDefault="00E45C7B" w:rsidP="00CA0324">
            <w:pPr>
              <w:spacing w:after="0" w:line="240" w:lineRule="auto"/>
              <w:rPr>
                <w:rFonts w:eastAsia="Calibri" w:cs="Times New Roman"/>
                <w:b/>
                <w:sz w:val="24"/>
                <w:szCs w:val="24"/>
                <w:lang w:val="en-US"/>
              </w:rPr>
            </w:pPr>
            <w:r>
              <w:rPr>
                <w:rFonts w:eastAsia="Calibri" w:cs="Times New Roman"/>
                <w:b/>
                <w:sz w:val="24"/>
                <w:szCs w:val="24"/>
                <w:lang w:val="en-US"/>
              </w:rPr>
              <w:t xml:space="preserve">Percentage change in number </w:t>
            </w:r>
            <w:r w:rsidRPr="008C3F4C">
              <w:rPr>
                <w:rFonts w:eastAsia="Calibri" w:cs="Times New Roman"/>
                <w:b/>
                <w:sz w:val="24"/>
                <w:szCs w:val="24"/>
                <w:lang w:val="en-US"/>
              </w:rPr>
              <w:t>of events averted over 10 years compared to current practice</w:t>
            </w:r>
          </w:p>
          <w:p w14:paraId="4667EC28" w14:textId="77777777" w:rsidR="00E45C7B" w:rsidRPr="008C3F4C" w:rsidRDefault="00E45C7B" w:rsidP="00CA0324">
            <w:pPr>
              <w:spacing w:after="0" w:line="240" w:lineRule="auto"/>
              <w:rPr>
                <w:rFonts w:eastAsia="Calibri" w:cs="Times New Roman"/>
                <w:b/>
                <w:sz w:val="24"/>
                <w:szCs w:val="24"/>
                <w:lang w:val="en-US"/>
              </w:rPr>
            </w:pPr>
            <w:r w:rsidRPr="008C3F4C">
              <w:rPr>
                <w:rFonts w:eastAsia="Calibri" w:cs="Times New Roman"/>
                <w:b/>
                <w:sz w:val="24"/>
                <w:szCs w:val="24"/>
                <w:lang w:val="en-US"/>
              </w:rPr>
              <w:t>% (95% CI)</w:t>
            </w:r>
          </w:p>
        </w:tc>
      </w:tr>
      <w:tr w:rsidR="00E45C7B" w:rsidRPr="008C3F4C" w14:paraId="717378C0" w14:textId="77777777" w:rsidTr="00CA0324">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52816A8D"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Current practice</w:t>
            </w:r>
          </w:p>
          <w:p w14:paraId="49E19603" w14:textId="77777777" w:rsidR="00E45C7B" w:rsidRPr="00AE732E" w:rsidRDefault="00E45C7B" w:rsidP="00CA0324">
            <w:pPr>
              <w:spacing w:after="0" w:line="240" w:lineRule="auto"/>
              <w:ind w:hanging="63"/>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6E44D56B"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19.6</w:t>
            </w:r>
          </w:p>
          <w:p w14:paraId="61BC4C07"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(18.4-20.9)</w:t>
            </w:r>
          </w:p>
          <w:p w14:paraId="0FBD8096" w14:textId="77777777" w:rsidR="00E45C7B" w:rsidRPr="00843DF1" w:rsidRDefault="00E45C7B" w:rsidP="00CA0324">
            <w:pPr>
              <w:spacing w:after="0" w:line="240" w:lineRule="auto"/>
              <w:jc w:val="center"/>
              <w:rPr>
                <w:rFonts w:eastAsia="Calibri" w:cs="Times New Roman"/>
                <w:sz w:val="24"/>
                <w:szCs w:val="24"/>
                <w:lang w:val="en-US"/>
              </w:rPr>
            </w:pPr>
          </w:p>
        </w:tc>
        <w:tc>
          <w:tcPr>
            <w:tcW w:w="1394" w:type="dxa"/>
            <w:tcBorders>
              <w:bottom w:val="single" w:sz="8" w:space="0" w:color="929292"/>
              <w:right w:val="single" w:sz="4" w:space="0" w:color="auto"/>
            </w:tcBorders>
          </w:tcPr>
          <w:p w14:paraId="73FABE60"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471</w:t>
            </w:r>
          </w:p>
          <w:p w14:paraId="75665871"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(442-500.1)</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725BD2B8"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5.1</w:t>
            </w:r>
          </w:p>
          <w:p w14:paraId="47AFDDCC"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(4.9-5.3)</w:t>
            </w:r>
          </w:p>
        </w:tc>
        <w:tc>
          <w:tcPr>
            <w:tcW w:w="1559" w:type="dxa"/>
            <w:tcBorders>
              <w:left w:val="single" w:sz="4" w:space="0" w:color="auto"/>
              <w:bottom w:val="single" w:sz="8" w:space="0" w:color="929292"/>
              <w:right w:val="single" w:sz="8" w:space="0" w:color="929292"/>
            </w:tcBorders>
          </w:tcPr>
          <w:p w14:paraId="40DCA5D0"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w:t>
            </w:r>
          </w:p>
        </w:tc>
        <w:tc>
          <w:tcPr>
            <w:tcW w:w="1560" w:type="dxa"/>
            <w:tcBorders>
              <w:left w:val="single" w:sz="4" w:space="0" w:color="auto"/>
              <w:bottom w:val="single" w:sz="8" w:space="0" w:color="929292"/>
              <w:right w:val="single" w:sz="8" w:space="0" w:color="929292"/>
            </w:tcBorders>
          </w:tcPr>
          <w:p w14:paraId="6BD1FA12"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w:t>
            </w:r>
          </w:p>
        </w:tc>
      </w:tr>
      <w:tr w:rsidR="00E45C7B" w:rsidRPr="008C3F4C" w14:paraId="295CEE7E" w14:textId="77777777" w:rsidTr="00CA0324">
        <w:tblPrEx>
          <w:tblBorders>
            <w:top w:val="none" w:sz="0" w:space="0" w:color="auto"/>
          </w:tblBorders>
        </w:tblPrEx>
        <w:tc>
          <w:tcPr>
            <w:tcW w:w="1985" w:type="dxa"/>
            <w:tcBorders>
              <w:top w:val="single" w:sz="8" w:space="0" w:color="929292"/>
              <w:left w:val="single" w:sz="8" w:space="0" w:color="929292"/>
              <w:bottom w:val="single" w:sz="8" w:space="0" w:color="929292"/>
              <w:right w:val="single" w:sz="8" w:space="0" w:color="929292"/>
            </w:tcBorders>
          </w:tcPr>
          <w:p w14:paraId="75EC5376"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of “hypertension” (BP &gt;140/90 mmHg)</w:t>
            </w:r>
          </w:p>
          <w:p w14:paraId="064ABD7F" w14:textId="77777777" w:rsidR="00E45C7B" w:rsidRPr="00AE732E" w:rsidRDefault="00E45C7B" w:rsidP="00CA0324">
            <w:pPr>
              <w:spacing w:after="0" w:line="240" w:lineRule="auto"/>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7C546CB4"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31.9</w:t>
            </w:r>
          </w:p>
          <w:p w14:paraId="4DDB1EBD"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(30.1-33.8)</w:t>
            </w:r>
          </w:p>
        </w:tc>
        <w:tc>
          <w:tcPr>
            <w:tcW w:w="1394" w:type="dxa"/>
            <w:tcBorders>
              <w:bottom w:val="single" w:sz="8" w:space="0" w:color="929292"/>
              <w:right w:val="single" w:sz="4" w:space="0" w:color="auto"/>
            </w:tcBorders>
          </w:tcPr>
          <w:p w14:paraId="6A37217C"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828</w:t>
            </w:r>
          </w:p>
          <w:p w14:paraId="600C704E"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(780-876)</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583D4D81"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9.0</w:t>
            </w:r>
          </w:p>
          <w:p w14:paraId="42D340A7"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(8.7-9.3)</w:t>
            </w:r>
          </w:p>
        </w:tc>
        <w:tc>
          <w:tcPr>
            <w:tcW w:w="1559" w:type="dxa"/>
            <w:tcBorders>
              <w:left w:val="single" w:sz="4" w:space="0" w:color="auto"/>
              <w:bottom w:val="single" w:sz="8" w:space="0" w:color="929292"/>
              <w:right w:val="single" w:sz="8" w:space="0" w:color="929292"/>
            </w:tcBorders>
          </w:tcPr>
          <w:p w14:paraId="3D642AFF"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+62.6</w:t>
            </w:r>
          </w:p>
          <w:p w14:paraId="46D25ACB"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(62.2-63.0)</w:t>
            </w:r>
          </w:p>
        </w:tc>
        <w:tc>
          <w:tcPr>
            <w:tcW w:w="1560" w:type="dxa"/>
            <w:tcBorders>
              <w:left w:val="single" w:sz="4" w:space="0" w:color="auto"/>
              <w:bottom w:val="single" w:sz="8" w:space="0" w:color="929292"/>
              <w:right w:val="single" w:sz="8" w:space="0" w:color="929292"/>
            </w:tcBorders>
          </w:tcPr>
          <w:p w14:paraId="0EF1F5A4"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+76.9</w:t>
            </w:r>
          </w:p>
          <w:p w14:paraId="73694A86"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(75.2-78.7)</w:t>
            </w:r>
          </w:p>
        </w:tc>
      </w:tr>
      <w:tr w:rsidR="00E45C7B" w:rsidRPr="008C3F4C" w14:paraId="290849C9" w14:textId="77777777" w:rsidTr="00CA0324">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6D361C55"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according to NPCDCS guidelines</w:t>
            </w:r>
          </w:p>
          <w:p w14:paraId="4FE9CA6F" w14:textId="77777777" w:rsidR="00E45C7B" w:rsidRPr="00AE732E" w:rsidRDefault="00E45C7B" w:rsidP="00CA0324">
            <w:pPr>
              <w:spacing w:after="0" w:line="240" w:lineRule="auto"/>
              <w:ind w:hanging="63"/>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5707F158"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20.3</w:t>
            </w:r>
          </w:p>
          <w:p w14:paraId="66C2A1D2"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(19.2-21.4)</w:t>
            </w:r>
          </w:p>
        </w:tc>
        <w:tc>
          <w:tcPr>
            <w:tcW w:w="1394" w:type="dxa"/>
            <w:tcBorders>
              <w:bottom w:val="single" w:sz="8" w:space="0" w:color="929292"/>
              <w:right w:val="single" w:sz="4" w:space="0" w:color="auto"/>
            </w:tcBorders>
          </w:tcPr>
          <w:p w14:paraId="53C6E1DC"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848</w:t>
            </w:r>
          </w:p>
          <w:p w14:paraId="0FD39655"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(802-894)</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433AF373"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9.2</w:t>
            </w:r>
          </w:p>
          <w:p w14:paraId="479A61F0"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(8.9-9.5)</w:t>
            </w:r>
          </w:p>
        </w:tc>
        <w:tc>
          <w:tcPr>
            <w:tcW w:w="1559" w:type="dxa"/>
            <w:tcBorders>
              <w:left w:val="single" w:sz="4" w:space="0" w:color="auto"/>
              <w:bottom w:val="single" w:sz="8" w:space="0" w:color="929292"/>
              <w:right w:val="single" w:sz="8" w:space="0" w:color="929292"/>
            </w:tcBorders>
          </w:tcPr>
          <w:p w14:paraId="08AC01E4"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+3.3</w:t>
            </w:r>
          </w:p>
          <w:p w14:paraId="49D1492A"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(3.1-3.4)</w:t>
            </w:r>
          </w:p>
        </w:tc>
        <w:tc>
          <w:tcPr>
            <w:tcW w:w="1560" w:type="dxa"/>
            <w:tcBorders>
              <w:left w:val="single" w:sz="4" w:space="0" w:color="auto"/>
              <w:bottom w:val="single" w:sz="8" w:space="0" w:color="929292"/>
              <w:right w:val="single" w:sz="8" w:space="0" w:color="929292"/>
            </w:tcBorders>
          </w:tcPr>
          <w:p w14:paraId="7CF0B914"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+76.0</w:t>
            </w:r>
          </w:p>
          <w:p w14:paraId="39F938E4"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(74.0-78.0)</w:t>
            </w:r>
          </w:p>
        </w:tc>
      </w:tr>
      <w:tr w:rsidR="00E45C7B" w:rsidRPr="008C3F4C" w14:paraId="75281317" w14:textId="77777777" w:rsidTr="00CA0324">
        <w:tblPrEx>
          <w:tblBorders>
            <w:top w:val="none" w:sz="0" w:space="0" w:color="auto"/>
          </w:tblBorders>
        </w:tblPrEx>
        <w:tc>
          <w:tcPr>
            <w:tcW w:w="1985" w:type="dxa"/>
            <w:tcBorders>
              <w:left w:val="single" w:sz="8" w:space="0" w:color="929292"/>
              <w:bottom w:val="single" w:sz="8" w:space="0" w:color="929292"/>
              <w:right w:val="single" w:sz="8" w:space="0" w:color="929292"/>
            </w:tcBorders>
          </w:tcPr>
          <w:p w14:paraId="3E037E62"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Treatment of all at intermediate and high risk</w:t>
            </w:r>
          </w:p>
          <w:p w14:paraId="271451B1" w14:textId="77777777" w:rsidR="00E45C7B" w:rsidRPr="00AE732E" w:rsidRDefault="00E45C7B" w:rsidP="00CA0324">
            <w:pPr>
              <w:spacing w:after="0" w:line="240" w:lineRule="auto"/>
              <w:ind w:hanging="63"/>
              <w:rPr>
                <w:rFonts w:eastAsia="Calibri" w:cs="Times New Roman"/>
                <w:sz w:val="24"/>
                <w:szCs w:val="24"/>
                <w:lang w:val="en-US"/>
              </w:rPr>
            </w:pPr>
          </w:p>
        </w:tc>
        <w:tc>
          <w:tcPr>
            <w:tcW w:w="1559" w:type="dxa"/>
            <w:tcBorders>
              <w:bottom w:val="single" w:sz="8" w:space="0" w:color="929292"/>
              <w:right w:val="single" w:sz="8" w:space="0" w:color="929292"/>
            </w:tcBorders>
            <w:tcMar>
              <w:top w:w="80" w:type="nil"/>
              <w:left w:w="40" w:type="nil"/>
              <w:bottom w:w="40" w:type="nil"/>
              <w:right w:w="80" w:type="nil"/>
            </w:tcMar>
          </w:tcPr>
          <w:p w14:paraId="518EAFD8"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22.5</w:t>
            </w:r>
          </w:p>
          <w:p w14:paraId="69FCC250"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(21.3-23.6)</w:t>
            </w:r>
          </w:p>
        </w:tc>
        <w:tc>
          <w:tcPr>
            <w:tcW w:w="1394" w:type="dxa"/>
            <w:tcBorders>
              <w:bottom w:val="single" w:sz="8" w:space="0" w:color="929292"/>
              <w:right w:val="single" w:sz="4" w:space="0" w:color="auto"/>
            </w:tcBorders>
          </w:tcPr>
          <w:p w14:paraId="20B776E4"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900</w:t>
            </w:r>
          </w:p>
          <w:p w14:paraId="3958DE06"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(855-945)</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214A53D0"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9.8</w:t>
            </w:r>
          </w:p>
          <w:p w14:paraId="3B7E1EEA"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(9.5-10.0)</w:t>
            </w:r>
          </w:p>
        </w:tc>
        <w:tc>
          <w:tcPr>
            <w:tcW w:w="1559" w:type="dxa"/>
            <w:tcBorders>
              <w:left w:val="single" w:sz="4" w:space="0" w:color="auto"/>
              <w:bottom w:val="single" w:sz="8" w:space="0" w:color="929292"/>
              <w:right w:val="single" w:sz="8" w:space="0" w:color="929292"/>
            </w:tcBorders>
          </w:tcPr>
          <w:p w14:paraId="7074D45E"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+14.4</w:t>
            </w:r>
          </w:p>
          <w:p w14:paraId="4D04006D"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(14.1-14.7)</w:t>
            </w:r>
          </w:p>
        </w:tc>
        <w:tc>
          <w:tcPr>
            <w:tcW w:w="1560" w:type="dxa"/>
            <w:tcBorders>
              <w:left w:val="single" w:sz="4" w:space="0" w:color="auto"/>
              <w:bottom w:val="single" w:sz="8" w:space="0" w:color="929292"/>
              <w:right w:val="single" w:sz="8" w:space="0" w:color="929292"/>
            </w:tcBorders>
          </w:tcPr>
          <w:p w14:paraId="2D912D31"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+85.6</w:t>
            </w:r>
          </w:p>
          <w:p w14:paraId="357F713D"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(84.0-87.2)</w:t>
            </w:r>
          </w:p>
        </w:tc>
      </w:tr>
      <w:tr w:rsidR="00E45C7B" w:rsidRPr="008C3F4C" w14:paraId="4097B555" w14:textId="77777777" w:rsidTr="00CA0324">
        <w:tblPrEx>
          <w:tblBorders>
            <w:top w:val="none" w:sz="0" w:space="0" w:color="auto"/>
          </w:tblBorders>
        </w:tblPrEx>
        <w:tc>
          <w:tcPr>
            <w:tcW w:w="1985" w:type="dxa"/>
            <w:tcBorders>
              <w:top w:val="single" w:sz="8" w:space="0" w:color="929292"/>
              <w:left w:val="single" w:sz="8" w:space="0" w:color="929292"/>
              <w:bottom w:val="single" w:sz="8" w:space="0" w:color="929292"/>
              <w:right w:val="single" w:sz="8" w:space="0" w:color="929292"/>
            </w:tcBorders>
          </w:tcPr>
          <w:p w14:paraId="1D7142B5" w14:textId="77777777" w:rsidR="00E45C7B" w:rsidRPr="008C3F4C" w:rsidRDefault="00E45C7B" w:rsidP="00CA0324">
            <w:pPr>
              <w:spacing w:after="0" w:line="240" w:lineRule="auto"/>
              <w:ind w:hanging="63"/>
              <w:rPr>
                <w:rFonts w:eastAsia="Calibri" w:cs="Times New Roman"/>
                <w:sz w:val="24"/>
                <w:szCs w:val="24"/>
                <w:lang w:val="en-US"/>
              </w:rPr>
            </w:pPr>
            <w:r w:rsidRPr="008C3F4C">
              <w:rPr>
                <w:rFonts w:eastAsia="Calibri" w:cs="Times New Roman"/>
                <w:sz w:val="24"/>
                <w:szCs w:val="24"/>
                <w:lang w:val="en-US"/>
              </w:rPr>
              <w:t xml:space="preserve">Treatment of all at high risk </w:t>
            </w:r>
          </w:p>
        </w:tc>
        <w:tc>
          <w:tcPr>
            <w:tcW w:w="1559" w:type="dxa"/>
            <w:tcBorders>
              <w:bottom w:val="single" w:sz="8" w:space="0" w:color="929292"/>
              <w:right w:val="single" w:sz="8" w:space="0" w:color="929292"/>
            </w:tcBorders>
            <w:tcMar>
              <w:top w:w="80" w:type="nil"/>
              <w:left w:w="40" w:type="nil"/>
              <w:bottom w:w="40" w:type="nil"/>
              <w:right w:w="80" w:type="nil"/>
            </w:tcMar>
          </w:tcPr>
          <w:p w14:paraId="1D18DC38"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17.0</w:t>
            </w:r>
          </w:p>
          <w:p w14:paraId="5DC5083D"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(16.1-18.0)</w:t>
            </w:r>
          </w:p>
        </w:tc>
        <w:tc>
          <w:tcPr>
            <w:tcW w:w="1394" w:type="dxa"/>
            <w:tcBorders>
              <w:bottom w:val="single" w:sz="8" w:space="0" w:color="929292"/>
              <w:right w:val="single" w:sz="4" w:space="0" w:color="auto"/>
            </w:tcBorders>
          </w:tcPr>
          <w:p w14:paraId="6AD9F954"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773</w:t>
            </w:r>
          </w:p>
          <w:p w14:paraId="473EFE4E"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(730-817)</w:t>
            </w:r>
          </w:p>
        </w:tc>
        <w:tc>
          <w:tcPr>
            <w:tcW w:w="1559" w:type="dxa"/>
            <w:tcBorders>
              <w:left w:val="single" w:sz="4" w:space="0" w:color="auto"/>
              <w:bottom w:val="single" w:sz="8" w:space="0" w:color="929292"/>
              <w:right w:val="single" w:sz="8" w:space="0" w:color="929292"/>
            </w:tcBorders>
            <w:tcMar>
              <w:top w:w="80" w:type="nil"/>
              <w:left w:w="40" w:type="nil"/>
              <w:bottom w:w="40" w:type="nil"/>
              <w:right w:w="80" w:type="nil"/>
            </w:tcMar>
          </w:tcPr>
          <w:p w14:paraId="56AEDAAA"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8.4</w:t>
            </w:r>
          </w:p>
          <w:p w14:paraId="0D078DEB"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(8.1-8.7)</w:t>
            </w:r>
          </w:p>
          <w:p w14:paraId="75DC21E5" w14:textId="77777777" w:rsidR="00E45C7B" w:rsidRPr="008C3F4C" w:rsidRDefault="00E45C7B" w:rsidP="00CA0324">
            <w:pPr>
              <w:spacing w:after="0" w:line="240" w:lineRule="auto"/>
              <w:jc w:val="center"/>
              <w:rPr>
                <w:rFonts w:eastAsia="Calibri" w:cs="Times New Roman"/>
                <w:sz w:val="24"/>
                <w:szCs w:val="24"/>
                <w:lang w:val="en-US"/>
              </w:rPr>
            </w:pPr>
          </w:p>
        </w:tc>
        <w:tc>
          <w:tcPr>
            <w:tcW w:w="1559" w:type="dxa"/>
            <w:tcBorders>
              <w:left w:val="single" w:sz="4" w:space="0" w:color="auto"/>
              <w:bottom w:val="single" w:sz="8" w:space="0" w:color="929292"/>
              <w:right w:val="single" w:sz="8" w:space="0" w:color="929292"/>
            </w:tcBorders>
          </w:tcPr>
          <w:p w14:paraId="190D50DE" w14:textId="77777777" w:rsidR="00E45C7B" w:rsidRPr="00AE732E" w:rsidRDefault="00E45C7B" w:rsidP="00CA0324">
            <w:pPr>
              <w:spacing w:after="0" w:line="240" w:lineRule="auto"/>
              <w:jc w:val="center"/>
              <w:rPr>
                <w:rFonts w:eastAsia="Calibri" w:cs="Times New Roman"/>
                <w:sz w:val="24"/>
                <w:szCs w:val="24"/>
                <w:lang w:val="en-US"/>
              </w:rPr>
            </w:pPr>
            <w:r w:rsidRPr="008C3F4C">
              <w:rPr>
                <w:rFonts w:eastAsia="Calibri" w:cs="Times New Roman"/>
                <w:sz w:val="24"/>
                <w:szCs w:val="24"/>
                <w:lang w:val="en-US"/>
              </w:rPr>
              <w:t>-13.2</w:t>
            </w:r>
          </w:p>
          <w:p w14:paraId="2EE42619" w14:textId="77777777" w:rsidR="00E45C7B" w:rsidRPr="00AE732E" w:rsidRDefault="00E45C7B" w:rsidP="00CA0324">
            <w:pPr>
              <w:spacing w:after="0" w:line="240" w:lineRule="auto"/>
              <w:jc w:val="center"/>
              <w:rPr>
                <w:rFonts w:eastAsia="Calibri" w:cs="Times New Roman"/>
                <w:sz w:val="24"/>
                <w:szCs w:val="24"/>
                <w:lang w:val="en-US"/>
              </w:rPr>
            </w:pPr>
            <w:r w:rsidRPr="00AE732E">
              <w:rPr>
                <w:rFonts w:eastAsia="Calibri" w:cs="Times New Roman"/>
                <w:sz w:val="24"/>
                <w:szCs w:val="24"/>
                <w:lang w:val="en-US"/>
              </w:rPr>
              <w:t>((-13.0)-(-13.5))</w:t>
            </w:r>
          </w:p>
        </w:tc>
        <w:tc>
          <w:tcPr>
            <w:tcW w:w="1560" w:type="dxa"/>
            <w:tcBorders>
              <w:left w:val="single" w:sz="4" w:space="0" w:color="auto"/>
              <w:bottom w:val="single" w:sz="8" w:space="0" w:color="929292"/>
              <w:right w:val="single" w:sz="8" w:space="0" w:color="929292"/>
            </w:tcBorders>
          </w:tcPr>
          <w:p w14:paraId="01965192" w14:textId="77777777" w:rsidR="00E45C7B" w:rsidRPr="00723850" w:rsidRDefault="00E45C7B" w:rsidP="00CA0324">
            <w:pPr>
              <w:spacing w:after="0" w:line="240" w:lineRule="auto"/>
              <w:jc w:val="center"/>
              <w:rPr>
                <w:rFonts w:eastAsia="Times New Roman" w:cs="Times New Roman"/>
                <w:color w:val="000000"/>
                <w:sz w:val="24"/>
                <w:szCs w:val="24"/>
              </w:rPr>
            </w:pPr>
            <w:r w:rsidRPr="00723850">
              <w:rPr>
                <w:rFonts w:eastAsia="Times New Roman" w:cs="Times New Roman"/>
                <w:color w:val="000000"/>
                <w:sz w:val="24"/>
                <w:szCs w:val="24"/>
              </w:rPr>
              <w:t>+65.0</w:t>
            </w:r>
          </w:p>
          <w:p w14:paraId="7EC40243" w14:textId="77777777" w:rsidR="00E45C7B" w:rsidRPr="008C3F4C" w:rsidRDefault="00E45C7B" w:rsidP="00CA0324">
            <w:pPr>
              <w:spacing w:after="0" w:line="240" w:lineRule="auto"/>
              <w:jc w:val="center"/>
              <w:rPr>
                <w:rFonts w:eastAsia="Calibri" w:cs="Times New Roman"/>
                <w:sz w:val="24"/>
                <w:szCs w:val="24"/>
                <w:lang w:val="en-US"/>
              </w:rPr>
            </w:pPr>
            <w:r w:rsidRPr="00723850">
              <w:rPr>
                <w:rFonts w:eastAsia="Times New Roman" w:cs="Times New Roman"/>
                <w:color w:val="000000"/>
                <w:sz w:val="24"/>
                <w:szCs w:val="24"/>
              </w:rPr>
              <w:t>(63.0-67.0)</w:t>
            </w:r>
          </w:p>
        </w:tc>
      </w:tr>
    </w:tbl>
    <w:p w14:paraId="17145FF6" w14:textId="77777777" w:rsidR="00E45C7B" w:rsidRPr="008C3F4C" w:rsidRDefault="00E45C7B" w:rsidP="00CA0324">
      <w:pPr>
        <w:spacing w:after="0" w:line="240" w:lineRule="auto"/>
        <w:rPr>
          <w:rFonts w:eastAsia="Calibri" w:cs="Times New Roman"/>
          <w:sz w:val="24"/>
          <w:szCs w:val="24"/>
          <w:lang w:val="en-US"/>
        </w:rPr>
      </w:pPr>
      <w:r w:rsidRPr="008C3F4C">
        <w:rPr>
          <w:rFonts w:eastAsia="Calibri" w:cs="Times New Roman"/>
          <w:sz w:val="24"/>
          <w:szCs w:val="24"/>
          <w:lang w:val="en-US"/>
        </w:rPr>
        <w:t>*Weighted estimates</w:t>
      </w:r>
    </w:p>
    <w:p w14:paraId="03B2314B" w14:textId="77777777" w:rsidR="00E45C7B" w:rsidRPr="00AE732E" w:rsidRDefault="00E45C7B" w:rsidP="00CA0324">
      <w:pPr>
        <w:spacing w:after="0" w:line="240" w:lineRule="auto"/>
        <w:rPr>
          <w:rFonts w:eastAsia="Calibri" w:cs="Times New Roman"/>
          <w:sz w:val="24"/>
          <w:szCs w:val="24"/>
          <w:lang w:val="en-US"/>
        </w:rPr>
      </w:pPr>
      <w:r>
        <w:rPr>
          <w:rFonts w:eastAsia="Calibri" w:cs="Times New Roman"/>
          <w:sz w:val="24"/>
          <w:szCs w:val="24"/>
          <w:lang w:val="en-US"/>
        </w:rPr>
        <w:t>†</w:t>
      </w:r>
      <w:r w:rsidRPr="00AE732E">
        <w:rPr>
          <w:rFonts w:eastAsia="Calibri" w:cs="Times New Roman"/>
          <w:sz w:val="24"/>
          <w:szCs w:val="24"/>
          <w:lang w:val="en-US"/>
        </w:rPr>
        <w:t>Estimated number of CVD events over 10 years in the untreated population is 9533. This estimate is based on the population risk distribution after adjustment of BP levels in those on BP lowering treatment.</w:t>
      </w:r>
    </w:p>
    <w:p w14:paraId="6619C450" w14:textId="77777777" w:rsidR="00E45C7B" w:rsidRPr="00723850" w:rsidRDefault="00E45C7B" w:rsidP="00CA0324">
      <w:pPr>
        <w:rPr>
          <w:rFonts w:eastAsia="Times New Roman" w:cs="Times New Roman"/>
          <w:bCs/>
          <w:sz w:val="24"/>
          <w:szCs w:val="24"/>
        </w:rPr>
      </w:pPr>
      <w:r w:rsidRPr="00AE732E">
        <w:rPr>
          <w:rFonts w:eastAsia="Calibri" w:cs="Times New Roman"/>
          <w:sz w:val="24"/>
          <w:szCs w:val="24"/>
          <w:lang w:val="en-US"/>
        </w:rPr>
        <w:t>BP – blood pressure; CVD – cardiovascular dise</w:t>
      </w:r>
      <w:r>
        <w:rPr>
          <w:rFonts w:eastAsia="Calibri" w:cs="Times New Roman"/>
          <w:sz w:val="24"/>
          <w:szCs w:val="24"/>
          <w:lang w:val="en-US"/>
        </w:rPr>
        <w:t>ase; NPCDCS – National Program</w:t>
      </w:r>
      <w:r w:rsidRPr="00AE732E">
        <w:rPr>
          <w:rFonts w:eastAsia="Calibri" w:cs="Times New Roman"/>
          <w:sz w:val="24"/>
          <w:szCs w:val="24"/>
          <w:lang w:val="en-US"/>
        </w:rPr>
        <w:t xml:space="preserve"> on prevention and c</w:t>
      </w:r>
      <w:r w:rsidRPr="00843DF1">
        <w:rPr>
          <w:rFonts w:eastAsia="Calibri" w:cs="Times New Roman"/>
          <w:sz w:val="24"/>
          <w:szCs w:val="24"/>
          <w:lang w:val="en-US"/>
        </w:rPr>
        <w:t xml:space="preserve">ontrol of </w:t>
      </w:r>
      <w:r>
        <w:rPr>
          <w:rFonts w:eastAsia="Calibri" w:cs="Times New Roman"/>
          <w:sz w:val="24"/>
          <w:szCs w:val="24"/>
          <w:lang w:val="en-US"/>
        </w:rPr>
        <w:t xml:space="preserve">Cancer, </w:t>
      </w:r>
      <w:r w:rsidRPr="00843DF1">
        <w:rPr>
          <w:rFonts w:eastAsia="Calibri" w:cs="Times New Roman"/>
          <w:sz w:val="24"/>
          <w:szCs w:val="24"/>
          <w:lang w:val="en-US"/>
        </w:rPr>
        <w:t>Dia</w:t>
      </w:r>
      <w:r>
        <w:rPr>
          <w:rFonts w:eastAsia="Calibri" w:cs="Times New Roman"/>
          <w:sz w:val="24"/>
          <w:szCs w:val="24"/>
          <w:lang w:val="en-US"/>
        </w:rPr>
        <w:t xml:space="preserve">betes, Cardiovascular diseases </w:t>
      </w:r>
      <w:r w:rsidRPr="00843DF1">
        <w:rPr>
          <w:rFonts w:eastAsia="Calibri" w:cs="Times New Roman"/>
          <w:sz w:val="24"/>
          <w:szCs w:val="24"/>
          <w:lang w:val="en-US"/>
        </w:rPr>
        <w:t>and Stroke</w:t>
      </w:r>
    </w:p>
    <w:p w14:paraId="058D2881" w14:textId="77777777" w:rsidR="00065E78" w:rsidRDefault="00956C9E"/>
    <w:sectPr w:rsidR="00065E78" w:rsidSect="002C27D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80FCDD" w14:textId="77777777" w:rsidR="00956C9E" w:rsidRDefault="00956C9E">
      <w:pPr>
        <w:spacing w:after="0" w:line="240" w:lineRule="auto"/>
      </w:pPr>
      <w:r>
        <w:separator/>
      </w:r>
    </w:p>
  </w:endnote>
  <w:endnote w:type="continuationSeparator" w:id="0">
    <w:p w14:paraId="68A5A4D7" w14:textId="77777777" w:rsidR="00956C9E" w:rsidRDefault="00956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1877589"/>
      <w:docPartObj>
        <w:docPartGallery w:val="Page Numbers (Bottom of Page)"/>
        <w:docPartUnique/>
      </w:docPartObj>
    </w:sdtPr>
    <w:sdtEndPr>
      <w:rPr>
        <w:noProof/>
      </w:rPr>
    </w:sdtEndPr>
    <w:sdtContent>
      <w:p w14:paraId="6E7BC869" w14:textId="77777777" w:rsidR="007613F6" w:rsidRDefault="0049389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1DC4457B" w14:textId="77777777" w:rsidR="007613F6" w:rsidRDefault="00956C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D236F" w14:textId="77777777" w:rsidR="00956C9E" w:rsidRDefault="00956C9E">
      <w:pPr>
        <w:spacing w:after="0" w:line="240" w:lineRule="auto"/>
      </w:pPr>
      <w:r>
        <w:separator/>
      </w:r>
    </w:p>
  </w:footnote>
  <w:footnote w:type="continuationSeparator" w:id="0">
    <w:p w14:paraId="357FD8CF" w14:textId="77777777" w:rsidR="00956C9E" w:rsidRDefault="00956C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4"/>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7B323C"/>
    <w:multiLevelType w:val="multilevel"/>
    <w:tmpl w:val="DB28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025083"/>
    <w:multiLevelType w:val="hybridMultilevel"/>
    <w:tmpl w:val="E4842D36"/>
    <w:lvl w:ilvl="0" w:tplc="CB5411F0">
      <w:start w:val="1"/>
      <w:numFmt w:val="bullet"/>
      <w:lvlText w:val="•"/>
      <w:lvlJc w:val="left"/>
      <w:pPr>
        <w:tabs>
          <w:tab w:val="num" w:pos="720"/>
        </w:tabs>
        <w:ind w:left="720" w:hanging="360"/>
      </w:pPr>
      <w:rPr>
        <w:rFonts w:ascii="Arial" w:hAnsi="Arial" w:hint="default"/>
      </w:rPr>
    </w:lvl>
    <w:lvl w:ilvl="1" w:tplc="8690D4CE" w:tentative="1">
      <w:start w:val="1"/>
      <w:numFmt w:val="bullet"/>
      <w:lvlText w:val="•"/>
      <w:lvlJc w:val="left"/>
      <w:pPr>
        <w:tabs>
          <w:tab w:val="num" w:pos="1440"/>
        </w:tabs>
        <w:ind w:left="1440" w:hanging="360"/>
      </w:pPr>
      <w:rPr>
        <w:rFonts w:ascii="Arial" w:hAnsi="Arial" w:hint="default"/>
      </w:rPr>
    </w:lvl>
    <w:lvl w:ilvl="2" w:tplc="6AF22418" w:tentative="1">
      <w:start w:val="1"/>
      <w:numFmt w:val="bullet"/>
      <w:lvlText w:val="•"/>
      <w:lvlJc w:val="left"/>
      <w:pPr>
        <w:tabs>
          <w:tab w:val="num" w:pos="2160"/>
        </w:tabs>
        <w:ind w:left="2160" w:hanging="360"/>
      </w:pPr>
      <w:rPr>
        <w:rFonts w:ascii="Arial" w:hAnsi="Arial" w:hint="default"/>
      </w:rPr>
    </w:lvl>
    <w:lvl w:ilvl="3" w:tplc="04743C36" w:tentative="1">
      <w:start w:val="1"/>
      <w:numFmt w:val="bullet"/>
      <w:lvlText w:val="•"/>
      <w:lvlJc w:val="left"/>
      <w:pPr>
        <w:tabs>
          <w:tab w:val="num" w:pos="2880"/>
        </w:tabs>
        <w:ind w:left="2880" w:hanging="360"/>
      </w:pPr>
      <w:rPr>
        <w:rFonts w:ascii="Arial" w:hAnsi="Arial" w:hint="default"/>
      </w:rPr>
    </w:lvl>
    <w:lvl w:ilvl="4" w:tplc="36687B9E" w:tentative="1">
      <w:start w:val="1"/>
      <w:numFmt w:val="bullet"/>
      <w:lvlText w:val="•"/>
      <w:lvlJc w:val="left"/>
      <w:pPr>
        <w:tabs>
          <w:tab w:val="num" w:pos="3600"/>
        </w:tabs>
        <w:ind w:left="3600" w:hanging="360"/>
      </w:pPr>
      <w:rPr>
        <w:rFonts w:ascii="Arial" w:hAnsi="Arial" w:hint="default"/>
      </w:rPr>
    </w:lvl>
    <w:lvl w:ilvl="5" w:tplc="01A8DB34" w:tentative="1">
      <w:start w:val="1"/>
      <w:numFmt w:val="bullet"/>
      <w:lvlText w:val="•"/>
      <w:lvlJc w:val="left"/>
      <w:pPr>
        <w:tabs>
          <w:tab w:val="num" w:pos="4320"/>
        </w:tabs>
        <w:ind w:left="4320" w:hanging="360"/>
      </w:pPr>
      <w:rPr>
        <w:rFonts w:ascii="Arial" w:hAnsi="Arial" w:hint="default"/>
      </w:rPr>
    </w:lvl>
    <w:lvl w:ilvl="6" w:tplc="FCBA1BE2" w:tentative="1">
      <w:start w:val="1"/>
      <w:numFmt w:val="bullet"/>
      <w:lvlText w:val="•"/>
      <w:lvlJc w:val="left"/>
      <w:pPr>
        <w:tabs>
          <w:tab w:val="num" w:pos="5040"/>
        </w:tabs>
        <w:ind w:left="5040" w:hanging="360"/>
      </w:pPr>
      <w:rPr>
        <w:rFonts w:ascii="Arial" w:hAnsi="Arial" w:hint="default"/>
      </w:rPr>
    </w:lvl>
    <w:lvl w:ilvl="7" w:tplc="ED3EF144" w:tentative="1">
      <w:start w:val="1"/>
      <w:numFmt w:val="bullet"/>
      <w:lvlText w:val="•"/>
      <w:lvlJc w:val="left"/>
      <w:pPr>
        <w:tabs>
          <w:tab w:val="num" w:pos="5760"/>
        </w:tabs>
        <w:ind w:left="5760" w:hanging="360"/>
      </w:pPr>
      <w:rPr>
        <w:rFonts w:ascii="Arial" w:hAnsi="Arial" w:hint="default"/>
      </w:rPr>
    </w:lvl>
    <w:lvl w:ilvl="8" w:tplc="791478F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1D838E2"/>
    <w:multiLevelType w:val="multilevel"/>
    <w:tmpl w:val="0A328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7F24E72"/>
    <w:multiLevelType w:val="hybridMultilevel"/>
    <w:tmpl w:val="50FE833E"/>
    <w:lvl w:ilvl="0" w:tplc="89562E08">
      <w:start w:val="1"/>
      <w:numFmt w:val="bullet"/>
      <w:lvlText w:val="•"/>
      <w:lvlJc w:val="left"/>
      <w:pPr>
        <w:tabs>
          <w:tab w:val="num" w:pos="720"/>
        </w:tabs>
        <w:ind w:left="720" w:hanging="360"/>
      </w:pPr>
      <w:rPr>
        <w:rFonts w:ascii="Arial" w:hAnsi="Arial" w:hint="default"/>
      </w:rPr>
    </w:lvl>
    <w:lvl w:ilvl="1" w:tplc="422C050A" w:tentative="1">
      <w:start w:val="1"/>
      <w:numFmt w:val="bullet"/>
      <w:lvlText w:val="•"/>
      <w:lvlJc w:val="left"/>
      <w:pPr>
        <w:tabs>
          <w:tab w:val="num" w:pos="1440"/>
        </w:tabs>
        <w:ind w:left="1440" w:hanging="360"/>
      </w:pPr>
      <w:rPr>
        <w:rFonts w:ascii="Arial" w:hAnsi="Arial" w:hint="default"/>
      </w:rPr>
    </w:lvl>
    <w:lvl w:ilvl="2" w:tplc="C3169F44" w:tentative="1">
      <w:start w:val="1"/>
      <w:numFmt w:val="bullet"/>
      <w:lvlText w:val="•"/>
      <w:lvlJc w:val="left"/>
      <w:pPr>
        <w:tabs>
          <w:tab w:val="num" w:pos="2160"/>
        </w:tabs>
        <w:ind w:left="2160" w:hanging="360"/>
      </w:pPr>
      <w:rPr>
        <w:rFonts w:ascii="Arial" w:hAnsi="Arial" w:hint="default"/>
      </w:rPr>
    </w:lvl>
    <w:lvl w:ilvl="3" w:tplc="61128146" w:tentative="1">
      <w:start w:val="1"/>
      <w:numFmt w:val="bullet"/>
      <w:lvlText w:val="•"/>
      <w:lvlJc w:val="left"/>
      <w:pPr>
        <w:tabs>
          <w:tab w:val="num" w:pos="2880"/>
        </w:tabs>
        <w:ind w:left="2880" w:hanging="360"/>
      </w:pPr>
      <w:rPr>
        <w:rFonts w:ascii="Arial" w:hAnsi="Arial" w:hint="default"/>
      </w:rPr>
    </w:lvl>
    <w:lvl w:ilvl="4" w:tplc="EF508ED6" w:tentative="1">
      <w:start w:val="1"/>
      <w:numFmt w:val="bullet"/>
      <w:lvlText w:val="•"/>
      <w:lvlJc w:val="left"/>
      <w:pPr>
        <w:tabs>
          <w:tab w:val="num" w:pos="3600"/>
        </w:tabs>
        <w:ind w:left="3600" w:hanging="360"/>
      </w:pPr>
      <w:rPr>
        <w:rFonts w:ascii="Arial" w:hAnsi="Arial" w:hint="default"/>
      </w:rPr>
    </w:lvl>
    <w:lvl w:ilvl="5" w:tplc="21FAE4DC" w:tentative="1">
      <w:start w:val="1"/>
      <w:numFmt w:val="bullet"/>
      <w:lvlText w:val="•"/>
      <w:lvlJc w:val="left"/>
      <w:pPr>
        <w:tabs>
          <w:tab w:val="num" w:pos="4320"/>
        </w:tabs>
        <w:ind w:left="4320" w:hanging="360"/>
      </w:pPr>
      <w:rPr>
        <w:rFonts w:ascii="Arial" w:hAnsi="Arial" w:hint="default"/>
      </w:rPr>
    </w:lvl>
    <w:lvl w:ilvl="6" w:tplc="7F3484E4" w:tentative="1">
      <w:start w:val="1"/>
      <w:numFmt w:val="bullet"/>
      <w:lvlText w:val="•"/>
      <w:lvlJc w:val="left"/>
      <w:pPr>
        <w:tabs>
          <w:tab w:val="num" w:pos="5040"/>
        </w:tabs>
        <w:ind w:left="5040" w:hanging="360"/>
      </w:pPr>
      <w:rPr>
        <w:rFonts w:ascii="Arial" w:hAnsi="Arial" w:hint="default"/>
      </w:rPr>
    </w:lvl>
    <w:lvl w:ilvl="7" w:tplc="B9740D0A" w:tentative="1">
      <w:start w:val="1"/>
      <w:numFmt w:val="bullet"/>
      <w:lvlText w:val="•"/>
      <w:lvlJc w:val="left"/>
      <w:pPr>
        <w:tabs>
          <w:tab w:val="num" w:pos="5760"/>
        </w:tabs>
        <w:ind w:left="5760" w:hanging="360"/>
      </w:pPr>
      <w:rPr>
        <w:rFonts w:ascii="Arial" w:hAnsi="Arial" w:hint="default"/>
      </w:rPr>
    </w:lvl>
    <w:lvl w:ilvl="8" w:tplc="8F06682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EFF5186"/>
    <w:multiLevelType w:val="hybridMultilevel"/>
    <w:tmpl w:val="0EA63786"/>
    <w:lvl w:ilvl="0" w:tplc="2E4EE45A">
      <w:start w:val="5814"/>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45C7B"/>
    <w:rsid w:val="00023BE5"/>
    <w:rsid w:val="000535DC"/>
    <w:rsid w:val="000825DF"/>
    <w:rsid w:val="000D2F3B"/>
    <w:rsid w:val="001464C5"/>
    <w:rsid w:val="0049389D"/>
    <w:rsid w:val="00531043"/>
    <w:rsid w:val="00603082"/>
    <w:rsid w:val="00621093"/>
    <w:rsid w:val="00687A09"/>
    <w:rsid w:val="006A32F5"/>
    <w:rsid w:val="006A36B4"/>
    <w:rsid w:val="007E09CF"/>
    <w:rsid w:val="008309C3"/>
    <w:rsid w:val="00956C9E"/>
    <w:rsid w:val="00A16240"/>
    <w:rsid w:val="00A175BC"/>
    <w:rsid w:val="00A76EFB"/>
    <w:rsid w:val="00B8584F"/>
    <w:rsid w:val="00BD7556"/>
    <w:rsid w:val="00BE7E91"/>
    <w:rsid w:val="00DE621B"/>
    <w:rsid w:val="00E45C7B"/>
    <w:rsid w:val="00E84FA6"/>
    <w:rsid w:val="00F43762"/>
    <w:rsid w:val="00F51F0B"/>
    <w:rsid w:val="00F73800"/>
    <w:rsid w:val="00F76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A1BBE8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45C7B"/>
    <w:pPr>
      <w:spacing w:after="200" w:line="276" w:lineRule="auto"/>
    </w:pPr>
    <w:rPr>
      <w:sz w:val="22"/>
      <w:szCs w:val="22"/>
      <w:lang w:val="en-IN"/>
    </w:rPr>
  </w:style>
  <w:style w:type="paragraph" w:styleId="Heading1">
    <w:name w:val="heading 1"/>
    <w:basedOn w:val="Normal"/>
    <w:next w:val="Normal"/>
    <w:link w:val="Heading1Char"/>
    <w:uiPriority w:val="9"/>
    <w:qFormat/>
    <w:rsid w:val="00E45C7B"/>
    <w:pPr>
      <w:keepNext/>
      <w:keepLines/>
      <w:spacing w:before="480" w:after="0"/>
      <w:outlineLvl w:val="0"/>
    </w:pPr>
    <w:rPr>
      <w:rFonts w:asciiTheme="majorHAnsi" w:eastAsiaTheme="majorEastAsia" w:hAnsiTheme="majorHAnsi" w:cstheme="majorBidi"/>
      <w:b/>
      <w:bCs/>
      <w:color w:val="2E74B5" w:themeColor="accent1" w:themeShade="BF"/>
      <w:sz w:val="28"/>
      <w:szCs w:val="28"/>
      <w:lang w:val="en-AU" w:eastAsia="en-AU"/>
    </w:rPr>
  </w:style>
  <w:style w:type="paragraph" w:styleId="Heading2">
    <w:name w:val="heading 2"/>
    <w:basedOn w:val="Normal"/>
    <w:next w:val="Normal"/>
    <w:link w:val="Heading2Char"/>
    <w:uiPriority w:val="9"/>
    <w:unhideWhenUsed/>
    <w:qFormat/>
    <w:rsid w:val="00E45C7B"/>
    <w:pPr>
      <w:keepNext/>
      <w:keepLines/>
      <w:spacing w:before="200" w:after="0"/>
      <w:outlineLvl w:val="1"/>
    </w:pPr>
    <w:rPr>
      <w:rFonts w:asciiTheme="majorHAnsi" w:eastAsiaTheme="majorEastAsia" w:hAnsiTheme="majorHAnsi" w:cstheme="majorBidi"/>
      <w:b/>
      <w:bCs/>
      <w:color w:val="5B9BD5" w:themeColor="accent1"/>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C7B"/>
    <w:rPr>
      <w:rFonts w:asciiTheme="majorHAnsi" w:eastAsiaTheme="majorEastAsia" w:hAnsiTheme="majorHAnsi" w:cstheme="majorBidi"/>
      <w:b/>
      <w:bCs/>
      <w:color w:val="2E74B5" w:themeColor="accent1" w:themeShade="BF"/>
      <w:sz w:val="28"/>
      <w:szCs w:val="28"/>
      <w:lang w:val="en-AU" w:eastAsia="en-AU"/>
    </w:rPr>
  </w:style>
  <w:style w:type="character" w:customStyle="1" w:styleId="Heading2Char">
    <w:name w:val="Heading 2 Char"/>
    <w:basedOn w:val="DefaultParagraphFont"/>
    <w:link w:val="Heading2"/>
    <w:uiPriority w:val="9"/>
    <w:rsid w:val="00E45C7B"/>
    <w:rPr>
      <w:rFonts w:asciiTheme="majorHAnsi" w:eastAsiaTheme="majorEastAsia" w:hAnsiTheme="majorHAnsi" w:cstheme="majorBidi"/>
      <w:b/>
      <w:bCs/>
      <w:color w:val="5B9BD5" w:themeColor="accent1"/>
      <w:sz w:val="26"/>
      <w:szCs w:val="26"/>
      <w:lang w:val="en-AU"/>
    </w:rPr>
  </w:style>
  <w:style w:type="character" w:customStyle="1" w:styleId="FootnoteTextChar">
    <w:name w:val="Footnote Text Char"/>
    <w:basedOn w:val="DefaultParagraphFont"/>
    <w:link w:val="FootnoteText"/>
    <w:uiPriority w:val="99"/>
    <w:semiHidden/>
    <w:rsid w:val="00E45C7B"/>
    <w:rPr>
      <w:sz w:val="20"/>
      <w:szCs w:val="20"/>
      <w:lang w:val="en-AU"/>
    </w:rPr>
  </w:style>
  <w:style w:type="paragraph" w:styleId="FootnoteText">
    <w:name w:val="footnote text"/>
    <w:basedOn w:val="Normal"/>
    <w:link w:val="FootnoteTextChar"/>
    <w:uiPriority w:val="99"/>
    <w:semiHidden/>
    <w:unhideWhenUsed/>
    <w:rsid w:val="00E45C7B"/>
    <w:pPr>
      <w:spacing w:after="0" w:line="240" w:lineRule="auto"/>
    </w:pPr>
    <w:rPr>
      <w:sz w:val="20"/>
      <w:szCs w:val="20"/>
      <w:lang w:val="en-AU"/>
    </w:rPr>
  </w:style>
  <w:style w:type="character" w:customStyle="1" w:styleId="FootnoteTextChar1">
    <w:name w:val="Footnote Text Char1"/>
    <w:basedOn w:val="DefaultParagraphFont"/>
    <w:uiPriority w:val="99"/>
    <w:semiHidden/>
    <w:rsid w:val="00E45C7B"/>
    <w:rPr>
      <w:lang w:val="en-IN"/>
    </w:rPr>
  </w:style>
  <w:style w:type="character" w:customStyle="1" w:styleId="BalloonTextChar">
    <w:name w:val="Balloon Text Char"/>
    <w:basedOn w:val="DefaultParagraphFont"/>
    <w:link w:val="BalloonText"/>
    <w:uiPriority w:val="99"/>
    <w:semiHidden/>
    <w:rsid w:val="00E45C7B"/>
    <w:rPr>
      <w:rFonts w:ascii="Tahoma" w:hAnsi="Tahoma" w:cs="Tahoma"/>
      <w:sz w:val="16"/>
      <w:szCs w:val="16"/>
    </w:rPr>
  </w:style>
  <w:style w:type="paragraph" w:styleId="BalloonText">
    <w:name w:val="Balloon Text"/>
    <w:basedOn w:val="Normal"/>
    <w:link w:val="BalloonTextChar"/>
    <w:uiPriority w:val="99"/>
    <w:semiHidden/>
    <w:unhideWhenUsed/>
    <w:rsid w:val="00E45C7B"/>
    <w:pPr>
      <w:spacing w:after="0" w:line="240" w:lineRule="auto"/>
    </w:pPr>
    <w:rPr>
      <w:rFonts w:ascii="Tahoma" w:hAnsi="Tahoma" w:cs="Tahoma"/>
      <w:sz w:val="16"/>
      <w:szCs w:val="16"/>
      <w:lang w:val="en-GB"/>
    </w:rPr>
  </w:style>
  <w:style w:type="character" w:customStyle="1" w:styleId="BalloonTextChar1">
    <w:name w:val="Balloon Text Char1"/>
    <w:basedOn w:val="DefaultParagraphFont"/>
    <w:uiPriority w:val="99"/>
    <w:semiHidden/>
    <w:rsid w:val="00E45C7B"/>
    <w:rPr>
      <w:rFonts w:ascii="Times New Roman" w:hAnsi="Times New Roman" w:cs="Times New Roman"/>
      <w:sz w:val="18"/>
      <w:szCs w:val="18"/>
      <w:lang w:val="en-IN"/>
    </w:rPr>
  </w:style>
  <w:style w:type="character" w:customStyle="1" w:styleId="BodyText3Char">
    <w:name w:val="Body Text 3 Char"/>
    <w:aliases w:val="Char Char"/>
    <w:basedOn w:val="DefaultParagraphFont"/>
    <w:link w:val="BodyText3"/>
    <w:locked/>
    <w:rsid w:val="00E45C7B"/>
    <w:rPr>
      <w:rFonts w:ascii="Arial" w:hAnsi="Arial" w:cs="Arial"/>
      <w:lang w:val="en-AU"/>
    </w:rPr>
  </w:style>
  <w:style w:type="paragraph" w:styleId="BodyText3">
    <w:name w:val="Body Text 3"/>
    <w:aliases w:val="Char"/>
    <w:basedOn w:val="Normal"/>
    <w:link w:val="BodyText3Char"/>
    <w:unhideWhenUsed/>
    <w:rsid w:val="00E45C7B"/>
    <w:pPr>
      <w:spacing w:after="0" w:line="360" w:lineRule="auto"/>
      <w:jc w:val="both"/>
    </w:pPr>
    <w:rPr>
      <w:rFonts w:ascii="Arial" w:hAnsi="Arial" w:cs="Arial"/>
      <w:sz w:val="24"/>
      <w:szCs w:val="24"/>
      <w:lang w:val="en-AU"/>
    </w:rPr>
  </w:style>
  <w:style w:type="character" w:customStyle="1" w:styleId="BodyText3Char1">
    <w:name w:val="Body Text 3 Char1"/>
    <w:basedOn w:val="DefaultParagraphFont"/>
    <w:uiPriority w:val="99"/>
    <w:semiHidden/>
    <w:rsid w:val="00E45C7B"/>
    <w:rPr>
      <w:sz w:val="16"/>
      <w:szCs w:val="16"/>
    </w:rPr>
  </w:style>
  <w:style w:type="character" w:customStyle="1" w:styleId="HeaderChar">
    <w:name w:val="Header Char"/>
    <w:basedOn w:val="DefaultParagraphFont"/>
    <w:link w:val="Header"/>
    <w:uiPriority w:val="99"/>
    <w:rsid w:val="00E45C7B"/>
  </w:style>
  <w:style w:type="paragraph" w:styleId="Header">
    <w:name w:val="header"/>
    <w:basedOn w:val="Normal"/>
    <w:link w:val="HeaderChar"/>
    <w:uiPriority w:val="99"/>
    <w:unhideWhenUsed/>
    <w:rsid w:val="00E45C7B"/>
    <w:pPr>
      <w:tabs>
        <w:tab w:val="center" w:pos="4513"/>
        <w:tab w:val="right" w:pos="9026"/>
      </w:tabs>
      <w:spacing w:after="0" w:line="240" w:lineRule="auto"/>
    </w:pPr>
    <w:rPr>
      <w:sz w:val="24"/>
      <w:szCs w:val="24"/>
      <w:lang w:val="en-GB"/>
    </w:rPr>
  </w:style>
  <w:style w:type="character" w:customStyle="1" w:styleId="HeaderChar1">
    <w:name w:val="Header Char1"/>
    <w:basedOn w:val="DefaultParagraphFont"/>
    <w:uiPriority w:val="99"/>
    <w:semiHidden/>
    <w:rsid w:val="00E45C7B"/>
    <w:rPr>
      <w:sz w:val="22"/>
      <w:szCs w:val="22"/>
      <w:lang w:val="en-IN"/>
    </w:rPr>
  </w:style>
  <w:style w:type="character" w:customStyle="1" w:styleId="FooterChar">
    <w:name w:val="Footer Char"/>
    <w:basedOn w:val="DefaultParagraphFont"/>
    <w:link w:val="Footer"/>
    <w:uiPriority w:val="99"/>
    <w:rsid w:val="00E45C7B"/>
  </w:style>
  <w:style w:type="paragraph" w:styleId="Footer">
    <w:name w:val="footer"/>
    <w:basedOn w:val="Normal"/>
    <w:link w:val="FooterChar"/>
    <w:uiPriority w:val="99"/>
    <w:unhideWhenUsed/>
    <w:rsid w:val="00E45C7B"/>
    <w:pPr>
      <w:tabs>
        <w:tab w:val="center" w:pos="4513"/>
        <w:tab w:val="right" w:pos="9026"/>
      </w:tabs>
      <w:spacing w:after="0" w:line="240" w:lineRule="auto"/>
    </w:pPr>
    <w:rPr>
      <w:sz w:val="24"/>
      <w:szCs w:val="24"/>
      <w:lang w:val="en-GB"/>
    </w:rPr>
  </w:style>
  <w:style w:type="character" w:customStyle="1" w:styleId="FooterChar1">
    <w:name w:val="Footer Char1"/>
    <w:basedOn w:val="DefaultParagraphFont"/>
    <w:uiPriority w:val="99"/>
    <w:semiHidden/>
    <w:rsid w:val="00E45C7B"/>
    <w:rPr>
      <w:sz w:val="22"/>
      <w:szCs w:val="22"/>
      <w:lang w:val="en-IN"/>
    </w:rPr>
  </w:style>
  <w:style w:type="paragraph" w:customStyle="1" w:styleId="Default">
    <w:name w:val="Default"/>
    <w:rsid w:val="00E45C7B"/>
    <w:pPr>
      <w:autoSpaceDE w:val="0"/>
      <w:autoSpaceDN w:val="0"/>
      <w:adjustRightInd w:val="0"/>
    </w:pPr>
    <w:rPr>
      <w:rFonts w:ascii="Arial" w:hAnsi="Arial" w:cs="Arial"/>
      <w:color w:val="000000"/>
      <w:lang w:val="en-US"/>
    </w:rPr>
  </w:style>
  <w:style w:type="character" w:styleId="FootnoteReference">
    <w:name w:val="footnote reference"/>
    <w:basedOn w:val="DefaultParagraphFont"/>
    <w:uiPriority w:val="99"/>
    <w:semiHidden/>
    <w:unhideWhenUsed/>
    <w:rsid w:val="00E45C7B"/>
    <w:rPr>
      <w:vertAlign w:val="superscript"/>
    </w:rPr>
  </w:style>
  <w:style w:type="table" w:styleId="TableGrid">
    <w:name w:val="Table Grid"/>
    <w:basedOn w:val="TableNormal"/>
    <w:uiPriority w:val="59"/>
    <w:rsid w:val="00E45C7B"/>
    <w:rPr>
      <w:sz w:val="22"/>
      <w:szCs w:val="22"/>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45C7B"/>
    <w:pPr>
      <w:spacing w:before="100" w:beforeAutospacing="1" w:after="100" w:afterAutospacing="1" w:line="240" w:lineRule="auto"/>
    </w:pPr>
    <w:rPr>
      <w:rFonts w:ascii="Times" w:eastAsiaTheme="minorEastAsia" w:hAnsi="Times" w:cs="Times New Roman"/>
      <w:sz w:val="20"/>
      <w:szCs w:val="20"/>
    </w:rPr>
  </w:style>
  <w:style w:type="paragraph" w:styleId="ListParagraph">
    <w:name w:val="List Paragraph"/>
    <w:basedOn w:val="Normal"/>
    <w:uiPriority w:val="34"/>
    <w:qFormat/>
    <w:rsid w:val="00E45C7B"/>
    <w:pPr>
      <w:spacing w:after="0" w:line="240" w:lineRule="auto"/>
      <w:ind w:left="720"/>
      <w:contextualSpacing/>
    </w:pPr>
    <w:rPr>
      <w:rFonts w:ascii="Times" w:eastAsiaTheme="minorEastAsia" w:hAnsi="Times"/>
      <w:sz w:val="20"/>
      <w:szCs w:val="20"/>
    </w:rPr>
  </w:style>
  <w:style w:type="paragraph" w:customStyle="1" w:styleId="EndNoteBibliographyTitle">
    <w:name w:val="EndNote Bibliography Title"/>
    <w:basedOn w:val="Normal"/>
    <w:rsid w:val="00E45C7B"/>
    <w:pPr>
      <w:spacing w:after="0"/>
      <w:jc w:val="center"/>
    </w:pPr>
    <w:rPr>
      <w:rFonts w:ascii="Calibri" w:hAnsi="Calibri"/>
      <w:lang w:val="en-US"/>
    </w:rPr>
  </w:style>
  <w:style w:type="paragraph" w:customStyle="1" w:styleId="EndNoteBibliography">
    <w:name w:val="EndNote Bibliography"/>
    <w:basedOn w:val="Normal"/>
    <w:rsid w:val="00E45C7B"/>
    <w:pPr>
      <w:spacing w:line="240" w:lineRule="auto"/>
    </w:pPr>
    <w:rPr>
      <w:rFonts w:ascii="Calibri" w:hAnsi="Calibri"/>
      <w:lang w:val="en-US"/>
    </w:rPr>
  </w:style>
  <w:style w:type="character" w:styleId="CommentReference">
    <w:name w:val="annotation reference"/>
    <w:basedOn w:val="DefaultParagraphFont"/>
    <w:uiPriority w:val="99"/>
    <w:semiHidden/>
    <w:unhideWhenUsed/>
    <w:rsid w:val="00E45C7B"/>
    <w:rPr>
      <w:sz w:val="18"/>
      <w:szCs w:val="18"/>
    </w:rPr>
  </w:style>
  <w:style w:type="paragraph" w:styleId="CommentText">
    <w:name w:val="annotation text"/>
    <w:basedOn w:val="Normal"/>
    <w:link w:val="CommentTextChar"/>
    <w:uiPriority w:val="99"/>
    <w:semiHidden/>
    <w:unhideWhenUsed/>
    <w:rsid w:val="00E45C7B"/>
    <w:pPr>
      <w:spacing w:line="240" w:lineRule="auto"/>
    </w:pPr>
    <w:rPr>
      <w:sz w:val="24"/>
      <w:szCs w:val="24"/>
    </w:rPr>
  </w:style>
  <w:style w:type="character" w:customStyle="1" w:styleId="CommentTextChar">
    <w:name w:val="Comment Text Char"/>
    <w:basedOn w:val="DefaultParagraphFont"/>
    <w:link w:val="CommentText"/>
    <w:uiPriority w:val="99"/>
    <w:semiHidden/>
    <w:rsid w:val="00E45C7B"/>
    <w:rPr>
      <w:lang w:val="en-IN"/>
    </w:rPr>
  </w:style>
  <w:style w:type="paragraph" w:styleId="CommentSubject">
    <w:name w:val="annotation subject"/>
    <w:basedOn w:val="CommentText"/>
    <w:next w:val="CommentText"/>
    <w:link w:val="CommentSubjectChar"/>
    <w:uiPriority w:val="99"/>
    <w:semiHidden/>
    <w:unhideWhenUsed/>
    <w:rsid w:val="00E45C7B"/>
    <w:rPr>
      <w:b/>
      <w:bCs/>
      <w:sz w:val="20"/>
      <w:szCs w:val="20"/>
    </w:rPr>
  </w:style>
  <w:style w:type="character" w:customStyle="1" w:styleId="CommentSubjectChar">
    <w:name w:val="Comment Subject Char"/>
    <w:basedOn w:val="CommentTextChar"/>
    <w:link w:val="CommentSubject"/>
    <w:uiPriority w:val="99"/>
    <w:semiHidden/>
    <w:rsid w:val="00E45C7B"/>
    <w:rPr>
      <w:b/>
      <w:bCs/>
      <w:sz w:val="20"/>
      <w:szCs w:val="20"/>
      <w:lang w:val="en-IN"/>
    </w:rPr>
  </w:style>
  <w:style w:type="paragraph" w:styleId="Revision">
    <w:name w:val="Revision"/>
    <w:hidden/>
    <w:uiPriority w:val="99"/>
    <w:semiHidden/>
    <w:rsid w:val="00E45C7B"/>
    <w:rPr>
      <w:sz w:val="22"/>
      <w:szCs w:val="22"/>
      <w:lang w:val="en-IN"/>
    </w:rPr>
  </w:style>
  <w:style w:type="paragraph" w:styleId="NoSpacing">
    <w:name w:val="No Spacing"/>
    <w:uiPriority w:val="1"/>
    <w:qFormat/>
    <w:rsid w:val="00E45C7B"/>
    <w:rPr>
      <w:sz w:val="22"/>
      <w:szCs w:val="22"/>
      <w:lang w:val="en-IN"/>
    </w:rPr>
  </w:style>
  <w:style w:type="paragraph" w:styleId="DocumentMap">
    <w:name w:val="Document Map"/>
    <w:basedOn w:val="Normal"/>
    <w:link w:val="DocumentMapChar"/>
    <w:uiPriority w:val="99"/>
    <w:semiHidden/>
    <w:unhideWhenUsed/>
    <w:rsid w:val="00E45C7B"/>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E45C7B"/>
    <w:rPr>
      <w:rFonts w:ascii="Lucida Grande" w:hAnsi="Lucida Grande" w:cs="Lucida Grande"/>
      <w:lang w:val="en-IN"/>
    </w:rPr>
  </w:style>
  <w:style w:type="character" w:styleId="PlaceholderText">
    <w:name w:val="Placeholder Text"/>
    <w:basedOn w:val="DefaultParagraphFont"/>
    <w:uiPriority w:val="99"/>
    <w:semiHidden/>
    <w:rsid w:val="00E45C7B"/>
    <w:rPr>
      <w:color w:val="808080"/>
    </w:rPr>
  </w:style>
  <w:style w:type="character" w:styleId="Hyperlink">
    <w:name w:val="Hyperlink"/>
    <w:basedOn w:val="DefaultParagraphFont"/>
    <w:uiPriority w:val="99"/>
    <w:unhideWhenUsed/>
    <w:rsid w:val="00E45C7B"/>
    <w:rPr>
      <w:color w:val="0563C1" w:themeColor="hyperlink"/>
      <w:u w:val="single"/>
    </w:rPr>
  </w:style>
  <w:style w:type="character" w:styleId="Emphasis">
    <w:name w:val="Emphasis"/>
    <w:basedOn w:val="DefaultParagraphFont"/>
    <w:uiPriority w:val="20"/>
    <w:qFormat/>
    <w:rsid w:val="00E45C7B"/>
    <w:rPr>
      <w:i/>
      <w:iCs/>
    </w:rPr>
  </w:style>
  <w:style w:type="character" w:styleId="FollowedHyperlink">
    <w:name w:val="FollowedHyperlink"/>
    <w:basedOn w:val="DefaultParagraphFont"/>
    <w:uiPriority w:val="99"/>
    <w:semiHidden/>
    <w:unhideWhenUsed/>
    <w:rsid w:val="00E45C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1412</Words>
  <Characters>8054</Characters>
  <Application>Microsoft Office Word</Application>
  <DocSecurity>0</DocSecurity>
  <Lines>67</Lines>
  <Paragraphs>18</Paragraphs>
  <ScaleCrop>false</ScaleCrop>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Praveen</dc:creator>
  <cp:keywords/>
  <dc:description/>
  <cp:lastModifiedBy>D Praveen</cp:lastModifiedBy>
  <cp:revision>3</cp:revision>
  <dcterms:created xsi:type="dcterms:W3CDTF">2018-09-26T13:19:00Z</dcterms:created>
  <dcterms:modified xsi:type="dcterms:W3CDTF">2018-09-26T13:20:00Z</dcterms:modified>
</cp:coreProperties>
</file>