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006C62" w14:textId="7B994780" w:rsidR="00417D53" w:rsidRPr="00BF16A1" w:rsidRDefault="008D41CC" w:rsidP="00417D53">
      <w:pPr>
        <w:pStyle w:val="Normal1"/>
        <w:spacing w:line="240" w:lineRule="auto"/>
        <w:jc w:val="both"/>
        <w:rPr>
          <w:rFonts w:ascii="Calibri" w:hAnsi="Calibri"/>
          <w:b/>
        </w:rPr>
      </w:pPr>
      <w:r>
        <w:rPr>
          <w:rFonts w:ascii="Calibri" w:hAnsi="Calibri"/>
          <w:b/>
        </w:rPr>
        <w:t>Additional File</w:t>
      </w:r>
      <w:r w:rsidR="00417D53" w:rsidRPr="00BF16A1">
        <w:rPr>
          <w:rFonts w:ascii="Calibri" w:hAnsi="Calibri"/>
          <w:b/>
        </w:rPr>
        <w:t xml:space="preserve"> </w:t>
      </w:r>
      <w:r w:rsidR="00417D53">
        <w:rPr>
          <w:rFonts w:ascii="Calibri" w:hAnsi="Calibri"/>
          <w:b/>
        </w:rPr>
        <w:t>7</w:t>
      </w:r>
      <w:r w:rsidR="00417D53" w:rsidRPr="00BF16A1">
        <w:rPr>
          <w:rFonts w:ascii="Calibri" w:hAnsi="Calibri"/>
          <w:b/>
        </w:rPr>
        <w:t xml:space="preserve">: Comparison of </w:t>
      </w:r>
      <w:r w:rsidR="00621C56">
        <w:rPr>
          <w:rFonts w:ascii="Calibri" w:hAnsi="Calibri"/>
          <w:b/>
        </w:rPr>
        <w:t>l</w:t>
      </w:r>
      <w:r w:rsidR="00417D53" w:rsidRPr="00BF16A1">
        <w:rPr>
          <w:rFonts w:ascii="Calibri" w:hAnsi="Calibri"/>
          <w:b/>
        </w:rPr>
        <w:t xml:space="preserve">atrine </w:t>
      </w:r>
      <w:r w:rsidR="00621C56">
        <w:rPr>
          <w:rFonts w:ascii="Calibri" w:hAnsi="Calibri"/>
          <w:b/>
        </w:rPr>
        <w:t>u</w:t>
      </w:r>
      <w:r w:rsidR="00417D53" w:rsidRPr="00BF16A1">
        <w:rPr>
          <w:rFonts w:ascii="Calibri" w:hAnsi="Calibri"/>
          <w:b/>
        </w:rPr>
        <w:t xml:space="preserve">se </w:t>
      </w:r>
      <w:r w:rsidR="00621C56">
        <w:rPr>
          <w:rFonts w:ascii="Calibri" w:hAnsi="Calibri"/>
          <w:b/>
        </w:rPr>
        <w:t>m</w:t>
      </w:r>
      <w:r w:rsidR="00417D53" w:rsidRPr="00BF16A1">
        <w:rPr>
          <w:rFonts w:ascii="Calibri" w:hAnsi="Calibri"/>
          <w:b/>
        </w:rPr>
        <w:t xml:space="preserve">etrics and LCA </w:t>
      </w:r>
      <w:r w:rsidR="00621C56">
        <w:rPr>
          <w:rFonts w:ascii="Calibri" w:hAnsi="Calibri"/>
          <w:b/>
        </w:rPr>
        <w:t>m</w:t>
      </w:r>
      <w:r w:rsidR="00417D53" w:rsidRPr="00BF16A1">
        <w:rPr>
          <w:rFonts w:ascii="Calibri" w:hAnsi="Calibri"/>
          <w:b/>
        </w:rPr>
        <w:t xml:space="preserve">odel </w:t>
      </w:r>
      <w:r w:rsidR="00621C56">
        <w:rPr>
          <w:rFonts w:ascii="Calibri" w:hAnsi="Calibri"/>
          <w:b/>
        </w:rPr>
        <w:t>c</w:t>
      </w:r>
      <w:bookmarkStart w:id="0" w:name="_GoBack"/>
      <w:bookmarkEnd w:id="0"/>
      <w:r w:rsidR="00417D53" w:rsidRPr="00BF16A1">
        <w:rPr>
          <w:rFonts w:ascii="Calibri" w:hAnsi="Calibri"/>
          <w:b/>
        </w:rPr>
        <w:t xml:space="preserve">onsistency </w:t>
      </w:r>
    </w:p>
    <w:p w14:paraId="684ADA1E" w14:textId="77777777" w:rsidR="00417D53" w:rsidRPr="00BF16A1" w:rsidRDefault="00417D53" w:rsidP="00417D53">
      <w:pPr>
        <w:pStyle w:val="Normal1"/>
        <w:spacing w:line="240" w:lineRule="auto"/>
        <w:jc w:val="both"/>
        <w:rPr>
          <w:rFonts w:ascii="Calibri" w:hAnsi="Calibri"/>
        </w:rPr>
      </w:pPr>
    </w:p>
    <w:p w14:paraId="1A9EAE08" w14:textId="77777777" w:rsidR="00417D53" w:rsidRPr="00BF16A1" w:rsidRDefault="00417D53" w:rsidP="00417D53">
      <w:pPr>
        <w:pStyle w:val="Normal1"/>
        <w:spacing w:line="240" w:lineRule="auto"/>
        <w:jc w:val="both"/>
        <w:rPr>
          <w:rFonts w:ascii="Calibri" w:eastAsia="Calibri" w:hAnsi="Calibri" w:cs="Calibri"/>
        </w:rPr>
      </w:pPr>
      <w:r w:rsidRPr="00BF16A1">
        <w:rPr>
          <w:rFonts w:ascii="Calibri" w:eastAsia="Calibri" w:hAnsi="Calibri" w:cs="Calibri"/>
        </w:rPr>
        <w:t xml:space="preserve">While it is not possible to validate the latent variable classification, we can gain insight into the difficulty of measuring latrine use by comparing three different measurement approaches: frequency of latrine use, calculated latrine use (from self-report of all defecation practices within the last week), and latent variable classification. Frequency of latrine use was measured by asking one survey question, with three possible response options (always, sometimes, or never): How frequently do you use a latrine? Calculated latrine use was measured through responses to a series of 20 survey questions. First, each respondent was asked about 10 common defecation behaviors and whether anyone in the community practiced each defecation behavior (response was binary, yes/no). Then, the respondent was asked how many times in the last week they individually practiced each of these 10 defecation practices, with probing included for defecation in the morning, afternoon, evening, and night for each specific behavior. If a respondent reported at least one defecation behavior that was not latrine use in the past week, we classified them as “inconsistent” latrine use. Otherwise, they were considered an “always” latrine user. Supplementary </w:t>
      </w:r>
      <w:r>
        <w:rPr>
          <w:rFonts w:ascii="Calibri" w:eastAsia="Calibri" w:hAnsi="Calibri" w:cs="Calibri"/>
        </w:rPr>
        <w:t>Table 7</w:t>
      </w:r>
      <w:r w:rsidRPr="00BF16A1">
        <w:rPr>
          <w:rFonts w:ascii="Calibri" w:eastAsia="Calibri" w:hAnsi="Calibri" w:cs="Calibri"/>
        </w:rPr>
        <w:t xml:space="preserve">.1 presented the percent of the total population that is a latrine user according to each of these different calculations. </w:t>
      </w:r>
    </w:p>
    <w:p w14:paraId="5487296B" w14:textId="77777777" w:rsidR="00417D53" w:rsidRPr="00BF16A1" w:rsidRDefault="00417D53" w:rsidP="00417D53">
      <w:pPr>
        <w:pStyle w:val="Normal1"/>
        <w:spacing w:line="240" w:lineRule="auto"/>
        <w:jc w:val="both"/>
        <w:rPr>
          <w:rFonts w:ascii="Calibri" w:eastAsia="Calibri" w:hAnsi="Calibri" w:cs="Calibri"/>
          <w:b/>
          <w:i/>
        </w:rPr>
      </w:pPr>
    </w:p>
    <w:tbl>
      <w:tblPr>
        <w:tblW w:w="4380" w:type="dxa"/>
        <w:jc w:val="center"/>
        <w:tblLook w:val="04A0" w:firstRow="1" w:lastRow="0" w:firstColumn="1" w:lastColumn="0" w:noHBand="0" w:noVBand="1"/>
      </w:tblPr>
      <w:tblGrid>
        <w:gridCol w:w="1220"/>
        <w:gridCol w:w="1192"/>
        <w:gridCol w:w="876"/>
        <w:gridCol w:w="1092"/>
      </w:tblGrid>
      <w:tr w:rsidR="00417D53" w:rsidRPr="00BF16A1" w14:paraId="7ED828CB" w14:textId="77777777" w:rsidTr="00AF7642">
        <w:trPr>
          <w:trHeight w:val="560"/>
          <w:jc w:val="center"/>
        </w:trPr>
        <w:tc>
          <w:tcPr>
            <w:tcW w:w="4380" w:type="dxa"/>
            <w:gridSpan w:val="4"/>
            <w:tcBorders>
              <w:left w:val="nil"/>
              <w:bottom w:val="nil"/>
              <w:right w:val="nil"/>
            </w:tcBorders>
            <w:shd w:val="clear" w:color="auto" w:fill="auto"/>
            <w:vAlign w:val="center"/>
            <w:hideMark/>
          </w:tcPr>
          <w:p w14:paraId="604CD6C5"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both"/>
              <w:rPr>
                <w:rFonts w:ascii="Calibri" w:eastAsia="Times New Roman" w:hAnsi="Calibri" w:cs="Times New Roman"/>
                <w:b/>
                <w:bCs/>
                <w:sz w:val="20"/>
                <w:szCs w:val="20"/>
              </w:rPr>
            </w:pPr>
            <w:r w:rsidRPr="00BF16A1">
              <w:rPr>
                <w:rFonts w:ascii="Calibri" w:eastAsia="Times New Roman" w:hAnsi="Calibri" w:cs="Times New Roman"/>
                <w:b/>
                <w:bCs/>
                <w:sz w:val="20"/>
                <w:szCs w:val="20"/>
              </w:rPr>
              <w:t xml:space="preserve">Supplementary </w:t>
            </w:r>
            <w:r>
              <w:rPr>
                <w:rFonts w:ascii="Calibri" w:eastAsia="Times New Roman" w:hAnsi="Calibri" w:cs="Times New Roman"/>
                <w:b/>
                <w:bCs/>
                <w:sz w:val="20"/>
                <w:szCs w:val="20"/>
              </w:rPr>
              <w:t>Table 7</w:t>
            </w:r>
            <w:r w:rsidRPr="00BF16A1">
              <w:rPr>
                <w:rFonts w:ascii="Calibri" w:eastAsia="Times New Roman" w:hAnsi="Calibri" w:cs="Times New Roman"/>
                <w:b/>
                <w:bCs/>
                <w:sz w:val="20"/>
                <w:szCs w:val="20"/>
              </w:rPr>
              <w:t xml:space="preserve">.1. </w:t>
            </w:r>
            <w:r w:rsidRPr="00BF16A1">
              <w:rPr>
                <w:rFonts w:ascii="Calibri" w:eastAsia="Times New Roman" w:hAnsi="Calibri" w:cs="Times New Roman"/>
                <w:sz w:val="20"/>
                <w:szCs w:val="20"/>
              </w:rPr>
              <w:t>Percentage of the Population Reporting Latrine Use via Two Different Survey Approaches</w:t>
            </w:r>
          </w:p>
        </w:tc>
      </w:tr>
      <w:tr w:rsidR="00417D53" w:rsidRPr="00BF16A1" w14:paraId="690DA836" w14:textId="77777777" w:rsidTr="00AF7642">
        <w:trPr>
          <w:trHeight w:val="840"/>
          <w:jc w:val="center"/>
        </w:trPr>
        <w:tc>
          <w:tcPr>
            <w:tcW w:w="1220" w:type="dxa"/>
            <w:tcBorders>
              <w:top w:val="single" w:sz="4" w:space="0" w:color="auto"/>
              <w:left w:val="nil"/>
              <w:bottom w:val="single" w:sz="4" w:space="0" w:color="auto"/>
              <w:right w:val="nil"/>
            </w:tcBorders>
            <w:shd w:val="clear" w:color="auto" w:fill="auto"/>
            <w:vAlign w:val="center"/>
            <w:hideMark/>
          </w:tcPr>
          <w:p w14:paraId="45A1DCCC"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b/>
                <w:bCs/>
                <w:sz w:val="20"/>
                <w:szCs w:val="20"/>
              </w:rPr>
            </w:pPr>
            <w:r w:rsidRPr="00BF16A1">
              <w:rPr>
                <w:rFonts w:ascii="Calibri" w:eastAsia="Times New Roman" w:hAnsi="Calibri" w:cs="Times New Roman"/>
                <w:b/>
                <w:bCs/>
                <w:sz w:val="20"/>
                <w:szCs w:val="20"/>
              </w:rPr>
              <w:t>Latrine Use Variable</w:t>
            </w:r>
          </w:p>
        </w:tc>
        <w:tc>
          <w:tcPr>
            <w:tcW w:w="1220" w:type="dxa"/>
            <w:tcBorders>
              <w:top w:val="single" w:sz="4" w:space="0" w:color="auto"/>
              <w:left w:val="nil"/>
              <w:bottom w:val="single" w:sz="4" w:space="0" w:color="auto"/>
              <w:right w:val="nil"/>
            </w:tcBorders>
            <w:shd w:val="clear" w:color="auto" w:fill="auto"/>
            <w:vAlign w:val="center"/>
            <w:hideMark/>
          </w:tcPr>
          <w:p w14:paraId="6DA04B0F"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b/>
                <w:bCs/>
                <w:sz w:val="20"/>
                <w:szCs w:val="20"/>
              </w:rPr>
            </w:pPr>
            <w:r w:rsidRPr="00BF16A1">
              <w:rPr>
                <w:rFonts w:ascii="Calibri" w:eastAsia="Times New Roman" w:hAnsi="Calibri" w:cs="Times New Roman"/>
                <w:b/>
                <w:bCs/>
                <w:sz w:val="20"/>
                <w:szCs w:val="20"/>
              </w:rPr>
              <w:t>Total Sample (n=251)</w:t>
            </w:r>
          </w:p>
        </w:tc>
        <w:tc>
          <w:tcPr>
            <w:tcW w:w="820" w:type="dxa"/>
            <w:tcBorders>
              <w:top w:val="single" w:sz="4" w:space="0" w:color="auto"/>
              <w:left w:val="nil"/>
              <w:bottom w:val="single" w:sz="4" w:space="0" w:color="auto"/>
              <w:right w:val="nil"/>
            </w:tcBorders>
            <w:shd w:val="clear" w:color="auto" w:fill="auto"/>
            <w:vAlign w:val="center"/>
            <w:hideMark/>
          </w:tcPr>
          <w:p w14:paraId="396C6D32"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b/>
                <w:bCs/>
                <w:sz w:val="20"/>
                <w:szCs w:val="20"/>
              </w:rPr>
            </w:pPr>
            <w:r w:rsidRPr="00BF16A1">
              <w:rPr>
                <w:rFonts w:ascii="Calibri" w:eastAsia="Times New Roman" w:hAnsi="Calibri" w:cs="Times New Roman"/>
                <w:b/>
                <w:bCs/>
                <w:sz w:val="20"/>
                <w:szCs w:val="20"/>
              </w:rPr>
              <w:t>Women (n=162)</w:t>
            </w:r>
          </w:p>
        </w:tc>
        <w:tc>
          <w:tcPr>
            <w:tcW w:w="1120" w:type="dxa"/>
            <w:tcBorders>
              <w:top w:val="single" w:sz="4" w:space="0" w:color="auto"/>
              <w:left w:val="nil"/>
              <w:bottom w:val="single" w:sz="4" w:space="0" w:color="auto"/>
              <w:right w:val="nil"/>
            </w:tcBorders>
            <w:shd w:val="clear" w:color="auto" w:fill="auto"/>
            <w:vAlign w:val="center"/>
            <w:hideMark/>
          </w:tcPr>
          <w:p w14:paraId="0FA5DCA0"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b/>
                <w:bCs/>
                <w:sz w:val="20"/>
                <w:szCs w:val="20"/>
              </w:rPr>
            </w:pPr>
            <w:r w:rsidRPr="00BF16A1">
              <w:rPr>
                <w:rFonts w:ascii="Calibri" w:eastAsia="Times New Roman" w:hAnsi="Calibri" w:cs="Times New Roman"/>
                <w:b/>
                <w:bCs/>
                <w:sz w:val="20"/>
                <w:szCs w:val="20"/>
              </w:rPr>
              <w:t>Men (n=89)</w:t>
            </w:r>
          </w:p>
        </w:tc>
      </w:tr>
      <w:tr w:rsidR="00417D53" w:rsidRPr="00BF16A1" w14:paraId="42541734" w14:textId="77777777" w:rsidTr="00AF7642">
        <w:trPr>
          <w:trHeight w:val="840"/>
          <w:jc w:val="center"/>
        </w:trPr>
        <w:tc>
          <w:tcPr>
            <w:tcW w:w="1220" w:type="dxa"/>
            <w:tcBorders>
              <w:top w:val="nil"/>
              <w:left w:val="nil"/>
              <w:bottom w:val="nil"/>
              <w:right w:val="nil"/>
            </w:tcBorders>
            <w:shd w:val="clear" w:color="auto" w:fill="auto"/>
            <w:vAlign w:val="center"/>
            <w:hideMark/>
          </w:tcPr>
          <w:p w14:paraId="4BFB0166"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b/>
                <w:bCs/>
                <w:sz w:val="20"/>
                <w:szCs w:val="20"/>
              </w:rPr>
            </w:pPr>
            <w:r w:rsidRPr="00BF16A1">
              <w:rPr>
                <w:rFonts w:ascii="Calibri" w:eastAsia="Times New Roman" w:hAnsi="Calibri" w:cs="Times New Roman"/>
                <w:b/>
                <w:bCs/>
                <w:sz w:val="20"/>
                <w:szCs w:val="20"/>
              </w:rPr>
              <w:t>Frequency of Latrine Use</w:t>
            </w:r>
          </w:p>
        </w:tc>
        <w:tc>
          <w:tcPr>
            <w:tcW w:w="1220" w:type="dxa"/>
            <w:tcBorders>
              <w:top w:val="nil"/>
              <w:left w:val="nil"/>
              <w:bottom w:val="nil"/>
              <w:right w:val="nil"/>
            </w:tcBorders>
            <w:shd w:val="clear" w:color="auto" w:fill="auto"/>
            <w:vAlign w:val="center"/>
            <w:hideMark/>
          </w:tcPr>
          <w:p w14:paraId="77718177"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sz w:val="20"/>
                <w:szCs w:val="20"/>
              </w:rPr>
            </w:pPr>
          </w:p>
        </w:tc>
        <w:tc>
          <w:tcPr>
            <w:tcW w:w="820" w:type="dxa"/>
            <w:tcBorders>
              <w:top w:val="nil"/>
              <w:left w:val="nil"/>
              <w:bottom w:val="nil"/>
              <w:right w:val="nil"/>
            </w:tcBorders>
            <w:shd w:val="clear" w:color="auto" w:fill="auto"/>
            <w:vAlign w:val="center"/>
            <w:hideMark/>
          </w:tcPr>
          <w:p w14:paraId="5880A325"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sz w:val="20"/>
                <w:szCs w:val="20"/>
              </w:rPr>
            </w:pPr>
          </w:p>
        </w:tc>
        <w:tc>
          <w:tcPr>
            <w:tcW w:w="1120" w:type="dxa"/>
            <w:tcBorders>
              <w:top w:val="nil"/>
              <w:left w:val="nil"/>
              <w:bottom w:val="nil"/>
              <w:right w:val="nil"/>
            </w:tcBorders>
            <w:shd w:val="clear" w:color="auto" w:fill="auto"/>
            <w:vAlign w:val="center"/>
            <w:hideMark/>
          </w:tcPr>
          <w:p w14:paraId="59FFB874"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sz w:val="20"/>
                <w:szCs w:val="20"/>
              </w:rPr>
            </w:pPr>
          </w:p>
        </w:tc>
      </w:tr>
      <w:tr w:rsidR="00417D53" w:rsidRPr="00BF16A1" w14:paraId="7CA60559" w14:textId="77777777" w:rsidTr="00AF7642">
        <w:trPr>
          <w:trHeight w:val="300"/>
          <w:jc w:val="center"/>
        </w:trPr>
        <w:tc>
          <w:tcPr>
            <w:tcW w:w="1220" w:type="dxa"/>
            <w:tcBorders>
              <w:top w:val="nil"/>
              <w:left w:val="nil"/>
              <w:bottom w:val="nil"/>
              <w:right w:val="nil"/>
            </w:tcBorders>
            <w:shd w:val="clear" w:color="auto" w:fill="auto"/>
            <w:vAlign w:val="center"/>
            <w:hideMark/>
          </w:tcPr>
          <w:p w14:paraId="2F0AF04C"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Always</w:t>
            </w:r>
          </w:p>
        </w:tc>
        <w:tc>
          <w:tcPr>
            <w:tcW w:w="1220" w:type="dxa"/>
            <w:tcBorders>
              <w:top w:val="nil"/>
              <w:left w:val="nil"/>
              <w:bottom w:val="nil"/>
              <w:right w:val="nil"/>
            </w:tcBorders>
            <w:shd w:val="clear" w:color="auto" w:fill="auto"/>
            <w:vAlign w:val="center"/>
            <w:hideMark/>
          </w:tcPr>
          <w:p w14:paraId="51B1553F"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0.89</w:t>
            </w:r>
          </w:p>
        </w:tc>
        <w:tc>
          <w:tcPr>
            <w:tcW w:w="820" w:type="dxa"/>
            <w:tcBorders>
              <w:top w:val="nil"/>
              <w:left w:val="nil"/>
              <w:bottom w:val="nil"/>
              <w:right w:val="nil"/>
            </w:tcBorders>
            <w:shd w:val="clear" w:color="auto" w:fill="auto"/>
            <w:vAlign w:val="center"/>
            <w:hideMark/>
          </w:tcPr>
          <w:p w14:paraId="1B203039"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0.91</w:t>
            </w:r>
          </w:p>
        </w:tc>
        <w:tc>
          <w:tcPr>
            <w:tcW w:w="1120" w:type="dxa"/>
            <w:tcBorders>
              <w:top w:val="nil"/>
              <w:left w:val="nil"/>
              <w:bottom w:val="nil"/>
              <w:right w:val="nil"/>
            </w:tcBorders>
            <w:shd w:val="clear" w:color="auto" w:fill="auto"/>
            <w:vAlign w:val="center"/>
            <w:hideMark/>
          </w:tcPr>
          <w:p w14:paraId="3CE6C87C"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0.87</w:t>
            </w:r>
          </w:p>
        </w:tc>
      </w:tr>
      <w:tr w:rsidR="00417D53" w:rsidRPr="00BF16A1" w14:paraId="3FBEB10D" w14:textId="77777777" w:rsidTr="00AF7642">
        <w:trPr>
          <w:trHeight w:val="300"/>
          <w:jc w:val="center"/>
        </w:trPr>
        <w:tc>
          <w:tcPr>
            <w:tcW w:w="1220" w:type="dxa"/>
            <w:tcBorders>
              <w:top w:val="nil"/>
              <w:left w:val="nil"/>
              <w:bottom w:val="nil"/>
              <w:right w:val="nil"/>
            </w:tcBorders>
            <w:shd w:val="clear" w:color="auto" w:fill="auto"/>
            <w:vAlign w:val="center"/>
            <w:hideMark/>
          </w:tcPr>
          <w:p w14:paraId="08283267"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Frequently</w:t>
            </w:r>
          </w:p>
        </w:tc>
        <w:tc>
          <w:tcPr>
            <w:tcW w:w="1220" w:type="dxa"/>
            <w:tcBorders>
              <w:top w:val="nil"/>
              <w:left w:val="nil"/>
              <w:bottom w:val="nil"/>
              <w:right w:val="nil"/>
            </w:tcBorders>
            <w:shd w:val="clear" w:color="auto" w:fill="auto"/>
            <w:vAlign w:val="center"/>
            <w:hideMark/>
          </w:tcPr>
          <w:p w14:paraId="092251B1"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0.10</w:t>
            </w:r>
          </w:p>
        </w:tc>
        <w:tc>
          <w:tcPr>
            <w:tcW w:w="820" w:type="dxa"/>
            <w:tcBorders>
              <w:top w:val="nil"/>
              <w:left w:val="nil"/>
              <w:bottom w:val="nil"/>
              <w:right w:val="nil"/>
            </w:tcBorders>
            <w:shd w:val="clear" w:color="auto" w:fill="auto"/>
            <w:vAlign w:val="center"/>
            <w:hideMark/>
          </w:tcPr>
          <w:p w14:paraId="04A4B697"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0.08</w:t>
            </w:r>
          </w:p>
        </w:tc>
        <w:tc>
          <w:tcPr>
            <w:tcW w:w="1120" w:type="dxa"/>
            <w:tcBorders>
              <w:top w:val="nil"/>
              <w:left w:val="nil"/>
              <w:bottom w:val="nil"/>
              <w:right w:val="nil"/>
            </w:tcBorders>
            <w:shd w:val="clear" w:color="auto" w:fill="auto"/>
            <w:vAlign w:val="center"/>
            <w:hideMark/>
          </w:tcPr>
          <w:p w14:paraId="3DFD76AD"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0.12</w:t>
            </w:r>
          </w:p>
        </w:tc>
      </w:tr>
      <w:tr w:rsidR="00417D53" w:rsidRPr="00BF16A1" w14:paraId="2B54CB82" w14:textId="77777777" w:rsidTr="00AF7642">
        <w:trPr>
          <w:trHeight w:val="300"/>
          <w:jc w:val="center"/>
        </w:trPr>
        <w:tc>
          <w:tcPr>
            <w:tcW w:w="1220" w:type="dxa"/>
            <w:tcBorders>
              <w:top w:val="nil"/>
              <w:left w:val="nil"/>
              <w:bottom w:val="nil"/>
              <w:right w:val="nil"/>
            </w:tcBorders>
            <w:shd w:val="clear" w:color="auto" w:fill="auto"/>
            <w:vAlign w:val="center"/>
            <w:hideMark/>
          </w:tcPr>
          <w:p w14:paraId="119B1046"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Never</w:t>
            </w:r>
          </w:p>
        </w:tc>
        <w:tc>
          <w:tcPr>
            <w:tcW w:w="1220" w:type="dxa"/>
            <w:tcBorders>
              <w:top w:val="nil"/>
              <w:left w:val="nil"/>
              <w:bottom w:val="nil"/>
              <w:right w:val="nil"/>
            </w:tcBorders>
            <w:shd w:val="clear" w:color="auto" w:fill="auto"/>
            <w:vAlign w:val="center"/>
            <w:hideMark/>
          </w:tcPr>
          <w:p w14:paraId="04CC0B06"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0.01</w:t>
            </w:r>
          </w:p>
        </w:tc>
        <w:tc>
          <w:tcPr>
            <w:tcW w:w="820" w:type="dxa"/>
            <w:tcBorders>
              <w:top w:val="nil"/>
              <w:left w:val="nil"/>
              <w:bottom w:val="nil"/>
              <w:right w:val="nil"/>
            </w:tcBorders>
            <w:shd w:val="clear" w:color="auto" w:fill="auto"/>
            <w:vAlign w:val="center"/>
            <w:hideMark/>
          </w:tcPr>
          <w:p w14:paraId="22CFA47F"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0.01</w:t>
            </w:r>
          </w:p>
        </w:tc>
        <w:tc>
          <w:tcPr>
            <w:tcW w:w="1120" w:type="dxa"/>
            <w:tcBorders>
              <w:top w:val="nil"/>
              <w:left w:val="nil"/>
              <w:bottom w:val="nil"/>
              <w:right w:val="nil"/>
            </w:tcBorders>
            <w:shd w:val="clear" w:color="auto" w:fill="auto"/>
            <w:vAlign w:val="center"/>
            <w:hideMark/>
          </w:tcPr>
          <w:p w14:paraId="12E66246"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0.01</w:t>
            </w:r>
          </w:p>
        </w:tc>
      </w:tr>
      <w:tr w:rsidR="00417D53" w:rsidRPr="00BF16A1" w14:paraId="4306AEEE" w14:textId="77777777" w:rsidTr="00AF7642">
        <w:trPr>
          <w:trHeight w:val="560"/>
          <w:jc w:val="center"/>
        </w:trPr>
        <w:tc>
          <w:tcPr>
            <w:tcW w:w="1220" w:type="dxa"/>
            <w:tcBorders>
              <w:top w:val="nil"/>
              <w:left w:val="nil"/>
              <w:bottom w:val="nil"/>
              <w:right w:val="nil"/>
            </w:tcBorders>
            <w:shd w:val="clear" w:color="auto" w:fill="auto"/>
            <w:vAlign w:val="center"/>
            <w:hideMark/>
          </w:tcPr>
          <w:p w14:paraId="6F0FF6EA"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b/>
                <w:bCs/>
                <w:sz w:val="20"/>
                <w:szCs w:val="20"/>
              </w:rPr>
            </w:pPr>
            <w:r w:rsidRPr="00BF16A1">
              <w:rPr>
                <w:rFonts w:ascii="Calibri" w:eastAsia="Times New Roman" w:hAnsi="Calibri" w:cs="Times New Roman"/>
                <w:b/>
                <w:bCs/>
                <w:sz w:val="20"/>
                <w:szCs w:val="20"/>
              </w:rPr>
              <w:t>Calculated Latrine Use</w:t>
            </w:r>
          </w:p>
        </w:tc>
        <w:tc>
          <w:tcPr>
            <w:tcW w:w="1220" w:type="dxa"/>
            <w:tcBorders>
              <w:top w:val="nil"/>
              <w:left w:val="nil"/>
              <w:bottom w:val="nil"/>
              <w:right w:val="nil"/>
            </w:tcBorders>
            <w:shd w:val="clear" w:color="auto" w:fill="auto"/>
            <w:vAlign w:val="center"/>
            <w:hideMark/>
          </w:tcPr>
          <w:p w14:paraId="52807428"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sz w:val="20"/>
                <w:szCs w:val="20"/>
              </w:rPr>
            </w:pPr>
          </w:p>
        </w:tc>
        <w:tc>
          <w:tcPr>
            <w:tcW w:w="820" w:type="dxa"/>
            <w:tcBorders>
              <w:top w:val="nil"/>
              <w:left w:val="nil"/>
              <w:bottom w:val="nil"/>
              <w:right w:val="nil"/>
            </w:tcBorders>
            <w:shd w:val="clear" w:color="auto" w:fill="auto"/>
            <w:vAlign w:val="center"/>
            <w:hideMark/>
          </w:tcPr>
          <w:p w14:paraId="24F4F3D5"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sz w:val="20"/>
                <w:szCs w:val="20"/>
              </w:rPr>
            </w:pPr>
          </w:p>
        </w:tc>
        <w:tc>
          <w:tcPr>
            <w:tcW w:w="1120" w:type="dxa"/>
            <w:tcBorders>
              <w:top w:val="nil"/>
              <w:left w:val="nil"/>
              <w:bottom w:val="nil"/>
              <w:right w:val="nil"/>
            </w:tcBorders>
            <w:shd w:val="clear" w:color="auto" w:fill="auto"/>
            <w:vAlign w:val="center"/>
            <w:hideMark/>
          </w:tcPr>
          <w:p w14:paraId="643AE8ED"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sz w:val="20"/>
                <w:szCs w:val="20"/>
              </w:rPr>
            </w:pPr>
          </w:p>
        </w:tc>
      </w:tr>
      <w:tr w:rsidR="00417D53" w:rsidRPr="00BF16A1" w14:paraId="63B59ADB" w14:textId="77777777" w:rsidTr="00AF7642">
        <w:trPr>
          <w:trHeight w:val="300"/>
          <w:jc w:val="center"/>
        </w:trPr>
        <w:tc>
          <w:tcPr>
            <w:tcW w:w="1220" w:type="dxa"/>
            <w:tcBorders>
              <w:top w:val="nil"/>
              <w:left w:val="nil"/>
              <w:bottom w:val="nil"/>
              <w:right w:val="nil"/>
            </w:tcBorders>
            <w:shd w:val="clear" w:color="auto" w:fill="auto"/>
            <w:vAlign w:val="center"/>
            <w:hideMark/>
          </w:tcPr>
          <w:p w14:paraId="7271AA56"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Consistent</w:t>
            </w:r>
          </w:p>
        </w:tc>
        <w:tc>
          <w:tcPr>
            <w:tcW w:w="1220" w:type="dxa"/>
            <w:tcBorders>
              <w:top w:val="nil"/>
              <w:left w:val="nil"/>
              <w:bottom w:val="nil"/>
              <w:right w:val="nil"/>
            </w:tcBorders>
            <w:shd w:val="clear" w:color="auto" w:fill="auto"/>
            <w:vAlign w:val="center"/>
            <w:hideMark/>
          </w:tcPr>
          <w:p w14:paraId="0DA0A932"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0.72</w:t>
            </w:r>
          </w:p>
        </w:tc>
        <w:tc>
          <w:tcPr>
            <w:tcW w:w="820" w:type="dxa"/>
            <w:tcBorders>
              <w:top w:val="nil"/>
              <w:left w:val="nil"/>
              <w:bottom w:val="nil"/>
              <w:right w:val="nil"/>
            </w:tcBorders>
            <w:shd w:val="clear" w:color="auto" w:fill="auto"/>
            <w:vAlign w:val="center"/>
            <w:hideMark/>
          </w:tcPr>
          <w:p w14:paraId="678791B1"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0.82</w:t>
            </w:r>
          </w:p>
        </w:tc>
        <w:tc>
          <w:tcPr>
            <w:tcW w:w="1120" w:type="dxa"/>
            <w:tcBorders>
              <w:top w:val="nil"/>
              <w:left w:val="nil"/>
              <w:bottom w:val="nil"/>
              <w:right w:val="nil"/>
            </w:tcBorders>
            <w:shd w:val="clear" w:color="auto" w:fill="auto"/>
            <w:vAlign w:val="center"/>
            <w:hideMark/>
          </w:tcPr>
          <w:p w14:paraId="56ED2BC9"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0.53</w:t>
            </w:r>
          </w:p>
        </w:tc>
      </w:tr>
      <w:tr w:rsidR="00417D53" w:rsidRPr="00BF16A1" w14:paraId="6B818FEF" w14:textId="77777777" w:rsidTr="00AF7642">
        <w:trPr>
          <w:trHeight w:val="300"/>
          <w:jc w:val="center"/>
        </w:trPr>
        <w:tc>
          <w:tcPr>
            <w:tcW w:w="1220" w:type="dxa"/>
            <w:tcBorders>
              <w:top w:val="nil"/>
              <w:left w:val="nil"/>
              <w:bottom w:val="single" w:sz="4" w:space="0" w:color="auto"/>
              <w:right w:val="nil"/>
            </w:tcBorders>
            <w:shd w:val="clear" w:color="auto" w:fill="auto"/>
            <w:vAlign w:val="center"/>
            <w:hideMark/>
          </w:tcPr>
          <w:p w14:paraId="49029F6C"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Inconsistent</w:t>
            </w:r>
          </w:p>
        </w:tc>
        <w:tc>
          <w:tcPr>
            <w:tcW w:w="1220" w:type="dxa"/>
            <w:tcBorders>
              <w:top w:val="nil"/>
              <w:left w:val="nil"/>
              <w:bottom w:val="single" w:sz="4" w:space="0" w:color="auto"/>
              <w:right w:val="nil"/>
            </w:tcBorders>
            <w:shd w:val="clear" w:color="auto" w:fill="auto"/>
            <w:vAlign w:val="center"/>
            <w:hideMark/>
          </w:tcPr>
          <w:p w14:paraId="04AAC03D"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0.28</w:t>
            </w:r>
          </w:p>
        </w:tc>
        <w:tc>
          <w:tcPr>
            <w:tcW w:w="820" w:type="dxa"/>
            <w:tcBorders>
              <w:top w:val="nil"/>
              <w:left w:val="nil"/>
              <w:bottom w:val="single" w:sz="4" w:space="0" w:color="auto"/>
              <w:right w:val="nil"/>
            </w:tcBorders>
            <w:shd w:val="clear" w:color="auto" w:fill="auto"/>
            <w:vAlign w:val="center"/>
            <w:hideMark/>
          </w:tcPr>
          <w:p w14:paraId="259D9B02"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0.18</w:t>
            </w:r>
          </w:p>
        </w:tc>
        <w:tc>
          <w:tcPr>
            <w:tcW w:w="1120" w:type="dxa"/>
            <w:tcBorders>
              <w:top w:val="nil"/>
              <w:left w:val="nil"/>
              <w:bottom w:val="single" w:sz="4" w:space="0" w:color="auto"/>
              <w:right w:val="nil"/>
            </w:tcBorders>
            <w:shd w:val="clear" w:color="auto" w:fill="auto"/>
            <w:vAlign w:val="center"/>
            <w:hideMark/>
          </w:tcPr>
          <w:p w14:paraId="2A507412"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0.47</w:t>
            </w:r>
          </w:p>
        </w:tc>
      </w:tr>
    </w:tbl>
    <w:p w14:paraId="647BA2E8" w14:textId="77777777" w:rsidR="00417D53" w:rsidRPr="00BF16A1" w:rsidRDefault="00417D53" w:rsidP="00417D53">
      <w:pPr>
        <w:pStyle w:val="Normal1"/>
        <w:spacing w:line="240" w:lineRule="auto"/>
        <w:jc w:val="both"/>
        <w:rPr>
          <w:rFonts w:ascii="Calibri" w:eastAsia="Calibri" w:hAnsi="Calibri" w:cs="Calibri"/>
          <w:b/>
          <w:i/>
        </w:rPr>
      </w:pPr>
    </w:p>
    <w:p w14:paraId="76258B73" w14:textId="77777777" w:rsidR="00417D53" w:rsidRPr="00BF16A1" w:rsidRDefault="00417D53" w:rsidP="00417D53">
      <w:pPr>
        <w:pStyle w:val="Normal1"/>
        <w:spacing w:line="240" w:lineRule="auto"/>
        <w:jc w:val="both"/>
        <w:rPr>
          <w:rFonts w:ascii="Calibri" w:eastAsia="Calibri" w:hAnsi="Calibri" w:cs="Calibri"/>
        </w:rPr>
      </w:pPr>
      <w:r w:rsidRPr="00BF16A1">
        <w:rPr>
          <w:rFonts w:ascii="Calibri" w:eastAsia="Calibri" w:hAnsi="Calibri" w:cs="Calibri"/>
        </w:rPr>
        <w:t xml:space="preserve">As evident in Supplementary </w:t>
      </w:r>
      <w:r>
        <w:rPr>
          <w:rFonts w:ascii="Calibri" w:eastAsia="Calibri" w:hAnsi="Calibri" w:cs="Calibri"/>
        </w:rPr>
        <w:t>Table 7</w:t>
      </w:r>
      <w:r w:rsidRPr="00BF16A1">
        <w:rPr>
          <w:rFonts w:ascii="Calibri" w:eastAsia="Calibri" w:hAnsi="Calibri" w:cs="Calibri"/>
        </w:rPr>
        <w:t xml:space="preserve">.1, even though both variables were estimated by self-report responses to questions about personal defecation practices, there are notable differences between those that reported always using a latrine. A greater proportion of the sample self-reported always using a latrine use in the frequency-style survey question relative to the caluated approach. While these differences were evident in the total population, greater difference appear among men, where approximately half of men interviewed reported only use a latrine for defecation in the previous week (and nearly 9 in 10 reported always using a latrine). This pattern is not suprising, for we also collected qualitative data alongside the quantitative interviews, which showed several cases of discrepant answers throughout the various interviews. For example, some individuals that were interviewed with the quantitative survey reported always using a latrine also discussed discussed various forms of open defecation they practiced (such as defecation in the river or in a leaf) during the qualitative interviews. Additionally, husbands and wives living in the same household (who were interviewed separately) discussed each other’s behaviors during the qualitative interviews, which differed from the partner’s self-reported defecation behaviors. The overall distinction in response patterns to the self-reported questions, together with to the qulatitive interview responses, provide additional evidence of likely over-reporting of latrine use behavior. </w:t>
      </w:r>
    </w:p>
    <w:p w14:paraId="1963AD92" w14:textId="77777777" w:rsidR="00417D53" w:rsidRPr="00BF16A1" w:rsidRDefault="00417D53" w:rsidP="00417D53">
      <w:pPr>
        <w:pStyle w:val="Normal1"/>
        <w:spacing w:line="240" w:lineRule="auto"/>
        <w:jc w:val="both"/>
        <w:rPr>
          <w:rFonts w:ascii="Calibri" w:eastAsia="Calibri" w:hAnsi="Calibri" w:cs="Calibri"/>
        </w:rPr>
      </w:pPr>
    </w:p>
    <w:p w14:paraId="20067802" w14:textId="77777777" w:rsidR="00417D53" w:rsidRPr="00BF16A1" w:rsidRDefault="00417D53" w:rsidP="00417D53">
      <w:pPr>
        <w:pStyle w:val="Normal1"/>
        <w:spacing w:line="240" w:lineRule="auto"/>
        <w:jc w:val="both"/>
        <w:rPr>
          <w:rFonts w:ascii="Calibri" w:eastAsia="Calibri" w:hAnsi="Calibri" w:cs="Calibri"/>
        </w:rPr>
      </w:pPr>
      <w:r w:rsidRPr="00BF16A1">
        <w:rPr>
          <w:rFonts w:ascii="Calibri" w:eastAsia="Calibri" w:hAnsi="Calibri" w:cs="Calibri"/>
        </w:rPr>
        <w:lastRenderedPageBreak/>
        <w:t xml:space="preserve">In addition to observing the overall distribution of latrine use via each different measuremen approach, we can also assess the agreement between each of the three variables - frequency of latrine use, calculated latrine use, and latent variable classification (Supplementary </w:t>
      </w:r>
      <w:r>
        <w:rPr>
          <w:rFonts w:ascii="Calibri" w:eastAsia="Calibri" w:hAnsi="Calibri" w:cs="Calibri"/>
        </w:rPr>
        <w:t>Table 7</w:t>
      </w:r>
      <w:r w:rsidRPr="00BF16A1">
        <w:rPr>
          <w:rFonts w:ascii="Calibri" w:eastAsia="Calibri" w:hAnsi="Calibri" w:cs="Calibri"/>
        </w:rPr>
        <w:t xml:space="preserve">.2). By using Fleiss’ kappa statistic to assess agreement, the three variables exhibit slight agreement in the total sample as well as in women and men. No more than slight agreement was observed between all combinations of the variables, with the kappa statistic ranging from 0.07 to 0.15. Overall, the women included in the sample showed marginally better agreement between the variables relative to men and women. The slight agreement between the three variables provides further rationale that validation with self-reported latrine use should be not conducted. </w:t>
      </w:r>
    </w:p>
    <w:p w14:paraId="3336A085" w14:textId="77777777" w:rsidR="00417D53" w:rsidRPr="00BF16A1" w:rsidRDefault="00417D53" w:rsidP="00417D53">
      <w:pPr>
        <w:pStyle w:val="Normal1"/>
        <w:spacing w:line="240" w:lineRule="auto"/>
        <w:jc w:val="both"/>
        <w:rPr>
          <w:rFonts w:ascii="Calibri" w:eastAsia="Calibri" w:hAnsi="Calibri" w:cs="Calibri"/>
          <w:b/>
        </w:rPr>
      </w:pPr>
    </w:p>
    <w:p w14:paraId="51B8E635" w14:textId="77777777" w:rsidR="00417D53" w:rsidRPr="00BF16A1" w:rsidRDefault="00417D53" w:rsidP="00417D53">
      <w:pPr>
        <w:pStyle w:val="Normal1"/>
        <w:spacing w:line="240" w:lineRule="auto"/>
        <w:jc w:val="both"/>
        <w:rPr>
          <w:rFonts w:ascii="Calibri" w:eastAsia="Calibri" w:hAnsi="Calibri" w:cs="Calibri"/>
          <w:b/>
        </w:rPr>
      </w:pPr>
    </w:p>
    <w:tbl>
      <w:tblPr>
        <w:tblW w:w="7680" w:type="dxa"/>
        <w:jc w:val="center"/>
        <w:tblLook w:val="04A0" w:firstRow="1" w:lastRow="0" w:firstColumn="1" w:lastColumn="0" w:noHBand="0" w:noVBand="1"/>
      </w:tblPr>
      <w:tblGrid>
        <w:gridCol w:w="3780"/>
        <w:gridCol w:w="1300"/>
        <w:gridCol w:w="1300"/>
        <w:gridCol w:w="1300"/>
      </w:tblGrid>
      <w:tr w:rsidR="00417D53" w:rsidRPr="00BF16A1" w14:paraId="4E199B1F" w14:textId="77777777" w:rsidTr="00AF7642">
        <w:trPr>
          <w:trHeight w:val="560"/>
          <w:jc w:val="center"/>
        </w:trPr>
        <w:tc>
          <w:tcPr>
            <w:tcW w:w="7680" w:type="dxa"/>
            <w:gridSpan w:val="4"/>
            <w:tcBorders>
              <w:left w:val="nil"/>
              <w:bottom w:val="nil"/>
              <w:right w:val="nil"/>
            </w:tcBorders>
            <w:shd w:val="clear" w:color="auto" w:fill="auto"/>
            <w:vAlign w:val="center"/>
            <w:hideMark/>
          </w:tcPr>
          <w:p w14:paraId="3D645B91"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b/>
                <w:bCs/>
                <w:sz w:val="20"/>
                <w:szCs w:val="20"/>
              </w:rPr>
            </w:pPr>
            <w:r w:rsidRPr="00BF16A1">
              <w:rPr>
                <w:rFonts w:ascii="Calibri" w:eastAsia="Times New Roman" w:hAnsi="Calibri" w:cs="Times New Roman"/>
                <w:b/>
                <w:bCs/>
                <w:sz w:val="20"/>
                <w:szCs w:val="20"/>
              </w:rPr>
              <w:t xml:space="preserve">Supplementary </w:t>
            </w:r>
            <w:r>
              <w:rPr>
                <w:rFonts w:ascii="Calibri" w:eastAsia="Times New Roman" w:hAnsi="Calibri" w:cs="Times New Roman"/>
                <w:b/>
                <w:bCs/>
                <w:sz w:val="20"/>
                <w:szCs w:val="20"/>
              </w:rPr>
              <w:t>Table 7</w:t>
            </w:r>
            <w:r w:rsidRPr="00BF16A1">
              <w:rPr>
                <w:rFonts w:ascii="Calibri" w:eastAsia="Times New Roman" w:hAnsi="Calibri" w:cs="Times New Roman"/>
                <w:b/>
                <w:bCs/>
                <w:sz w:val="20"/>
                <w:szCs w:val="20"/>
              </w:rPr>
              <w:t xml:space="preserve">.2. </w:t>
            </w:r>
            <w:r w:rsidRPr="00BF16A1">
              <w:rPr>
                <w:rFonts w:ascii="Calibri" w:eastAsia="Times New Roman" w:hAnsi="Calibri" w:cs="Times New Roman"/>
                <w:sz w:val="20"/>
                <w:szCs w:val="20"/>
              </w:rPr>
              <w:t>Agreement between each approach to measuring latrine use</w:t>
            </w:r>
          </w:p>
        </w:tc>
      </w:tr>
      <w:tr w:rsidR="00417D53" w:rsidRPr="00BF16A1" w14:paraId="7A2800AF" w14:textId="77777777" w:rsidTr="00AF7642">
        <w:trPr>
          <w:trHeight w:val="560"/>
          <w:jc w:val="center"/>
        </w:trPr>
        <w:tc>
          <w:tcPr>
            <w:tcW w:w="3780" w:type="dxa"/>
            <w:tcBorders>
              <w:top w:val="single" w:sz="4" w:space="0" w:color="auto"/>
              <w:left w:val="nil"/>
              <w:bottom w:val="single" w:sz="4" w:space="0" w:color="auto"/>
              <w:right w:val="nil"/>
            </w:tcBorders>
            <w:shd w:val="clear" w:color="auto" w:fill="auto"/>
            <w:vAlign w:val="center"/>
            <w:hideMark/>
          </w:tcPr>
          <w:p w14:paraId="4760DF1C"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b/>
                <w:bCs/>
                <w:sz w:val="20"/>
                <w:szCs w:val="20"/>
              </w:rPr>
            </w:pPr>
            <w:r w:rsidRPr="00BF16A1">
              <w:rPr>
                <w:rFonts w:ascii="Calibri" w:eastAsia="Times New Roman" w:hAnsi="Calibri" w:cs="Times New Roman"/>
                <w:b/>
                <w:bCs/>
                <w:sz w:val="20"/>
                <w:szCs w:val="20"/>
              </w:rPr>
              <w:t>Agreement between the following variables (kappa statistics)</w:t>
            </w:r>
          </w:p>
        </w:tc>
        <w:tc>
          <w:tcPr>
            <w:tcW w:w="1300" w:type="dxa"/>
            <w:tcBorders>
              <w:top w:val="single" w:sz="4" w:space="0" w:color="auto"/>
              <w:left w:val="nil"/>
              <w:bottom w:val="single" w:sz="4" w:space="0" w:color="auto"/>
              <w:right w:val="nil"/>
            </w:tcBorders>
            <w:shd w:val="clear" w:color="auto" w:fill="auto"/>
            <w:vAlign w:val="center"/>
            <w:hideMark/>
          </w:tcPr>
          <w:p w14:paraId="6A5C0FC2"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b/>
                <w:bCs/>
                <w:sz w:val="20"/>
                <w:szCs w:val="20"/>
              </w:rPr>
            </w:pPr>
            <w:r w:rsidRPr="00BF16A1">
              <w:rPr>
                <w:rFonts w:ascii="Calibri" w:eastAsia="Times New Roman" w:hAnsi="Calibri" w:cs="Times New Roman"/>
                <w:b/>
                <w:bCs/>
                <w:sz w:val="20"/>
                <w:szCs w:val="20"/>
              </w:rPr>
              <w:t>Total Sample</w:t>
            </w:r>
          </w:p>
        </w:tc>
        <w:tc>
          <w:tcPr>
            <w:tcW w:w="1300" w:type="dxa"/>
            <w:tcBorders>
              <w:top w:val="single" w:sz="4" w:space="0" w:color="auto"/>
              <w:left w:val="nil"/>
              <w:bottom w:val="single" w:sz="4" w:space="0" w:color="auto"/>
              <w:right w:val="nil"/>
            </w:tcBorders>
            <w:shd w:val="clear" w:color="auto" w:fill="auto"/>
            <w:vAlign w:val="center"/>
            <w:hideMark/>
          </w:tcPr>
          <w:p w14:paraId="68D57677"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b/>
                <w:bCs/>
                <w:sz w:val="20"/>
                <w:szCs w:val="20"/>
              </w:rPr>
            </w:pPr>
            <w:r w:rsidRPr="00BF16A1">
              <w:rPr>
                <w:rFonts w:ascii="Calibri" w:eastAsia="Times New Roman" w:hAnsi="Calibri" w:cs="Times New Roman"/>
                <w:b/>
                <w:bCs/>
                <w:sz w:val="20"/>
                <w:szCs w:val="20"/>
              </w:rPr>
              <w:t>Women</w:t>
            </w:r>
          </w:p>
        </w:tc>
        <w:tc>
          <w:tcPr>
            <w:tcW w:w="1300" w:type="dxa"/>
            <w:tcBorders>
              <w:top w:val="single" w:sz="4" w:space="0" w:color="auto"/>
              <w:left w:val="nil"/>
              <w:bottom w:val="single" w:sz="4" w:space="0" w:color="auto"/>
              <w:right w:val="nil"/>
            </w:tcBorders>
            <w:shd w:val="clear" w:color="auto" w:fill="auto"/>
            <w:vAlign w:val="center"/>
            <w:hideMark/>
          </w:tcPr>
          <w:p w14:paraId="602EB022"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b/>
                <w:bCs/>
                <w:sz w:val="20"/>
                <w:szCs w:val="20"/>
              </w:rPr>
            </w:pPr>
            <w:r w:rsidRPr="00BF16A1">
              <w:rPr>
                <w:rFonts w:ascii="Calibri" w:eastAsia="Times New Roman" w:hAnsi="Calibri" w:cs="Times New Roman"/>
                <w:b/>
                <w:bCs/>
                <w:sz w:val="20"/>
                <w:szCs w:val="20"/>
              </w:rPr>
              <w:t>Men</w:t>
            </w:r>
          </w:p>
        </w:tc>
      </w:tr>
      <w:tr w:rsidR="00417D53" w:rsidRPr="00BF16A1" w14:paraId="78D97161" w14:textId="77777777" w:rsidTr="00AF7642">
        <w:trPr>
          <w:trHeight w:val="560"/>
          <w:jc w:val="center"/>
        </w:trPr>
        <w:tc>
          <w:tcPr>
            <w:tcW w:w="3780" w:type="dxa"/>
            <w:tcBorders>
              <w:top w:val="nil"/>
              <w:left w:val="nil"/>
              <w:bottom w:val="nil"/>
              <w:right w:val="nil"/>
            </w:tcBorders>
            <w:shd w:val="clear" w:color="auto" w:fill="auto"/>
            <w:vAlign w:val="center"/>
            <w:hideMark/>
          </w:tcPr>
          <w:p w14:paraId="6BAF2ED6"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Frequency of latrine use, calculated latrine use, and latent variable classification*</w:t>
            </w:r>
          </w:p>
        </w:tc>
        <w:tc>
          <w:tcPr>
            <w:tcW w:w="1300" w:type="dxa"/>
            <w:tcBorders>
              <w:top w:val="nil"/>
              <w:left w:val="nil"/>
              <w:bottom w:val="nil"/>
              <w:right w:val="nil"/>
            </w:tcBorders>
            <w:shd w:val="clear" w:color="auto" w:fill="auto"/>
            <w:vAlign w:val="center"/>
            <w:hideMark/>
          </w:tcPr>
          <w:p w14:paraId="3AA4ABEC"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0.08</w:t>
            </w:r>
          </w:p>
        </w:tc>
        <w:tc>
          <w:tcPr>
            <w:tcW w:w="1300" w:type="dxa"/>
            <w:tcBorders>
              <w:top w:val="nil"/>
              <w:left w:val="nil"/>
              <w:bottom w:val="nil"/>
              <w:right w:val="nil"/>
            </w:tcBorders>
            <w:shd w:val="clear" w:color="auto" w:fill="auto"/>
            <w:vAlign w:val="center"/>
            <w:hideMark/>
          </w:tcPr>
          <w:p w14:paraId="5A645107"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0.1</w:t>
            </w:r>
          </w:p>
        </w:tc>
        <w:tc>
          <w:tcPr>
            <w:tcW w:w="1300" w:type="dxa"/>
            <w:tcBorders>
              <w:top w:val="nil"/>
              <w:left w:val="nil"/>
              <w:bottom w:val="nil"/>
              <w:right w:val="nil"/>
            </w:tcBorders>
            <w:shd w:val="clear" w:color="auto" w:fill="auto"/>
            <w:vAlign w:val="center"/>
            <w:hideMark/>
          </w:tcPr>
          <w:p w14:paraId="558560A5"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0.03</w:t>
            </w:r>
          </w:p>
        </w:tc>
      </w:tr>
      <w:tr w:rsidR="00417D53" w:rsidRPr="00BF16A1" w14:paraId="637348A2" w14:textId="77777777" w:rsidTr="00AF7642">
        <w:trPr>
          <w:trHeight w:val="560"/>
          <w:jc w:val="center"/>
        </w:trPr>
        <w:tc>
          <w:tcPr>
            <w:tcW w:w="3780" w:type="dxa"/>
            <w:tcBorders>
              <w:top w:val="nil"/>
              <w:left w:val="nil"/>
              <w:bottom w:val="nil"/>
              <w:right w:val="nil"/>
            </w:tcBorders>
            <w:shd w:val="clear" w:color="auto" w:fill="auto"/>
            <w:vAlign w:val="center"/>
            <w:hideMark/>
          </w:tcPr>
          <w:p w14:paraId="48DF9577"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Frequency of latrine use and calculated latrine use</w:t>
            </w:r>
          </w:p>
        </w:tc>
        <w:tc>
          <w:tcPr>
            <w:tcW w:w="1300" w:type="dxa"/>
            <w:tcBorders>
              <w:top w:val="nil"/>
              <w:left w:val="nil"/>
              <w:bottom w:val="nil"/>
              <w:right w:val="nil"/>
            </w:tcBorders>
            <w:shd w:val="clear" w:color="auto" w:fill="auto"/>
            <w:vAlign w:val="center"/>
            <w:hideMark/>
          </w:tcPr>
          <w:p w14:paraId="4475E08E"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0.15</w:t>
            </w:r>
          </w:p>
        </w:tc>
        <w:tc>
          <w:tcPr>
            <w:tcW w:w="1300" w:type="dxa"/>
            <w:tcBorders>
              <w:top w:val="nil"/>
              <w:left w:val="nil"/>
              <w:bottom w:val="nil"/>
              <w:right w:val="nil"/>
            </w:tcBorders>
            <w:shd w:val="clear" w:color="auto" w:fill="auto"/>
            <w:vAlign w:val="center"/>
            <w:hideMark/>
          </w:tcPr>
          <w:p w14:paraId="793477C2"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0.17</w:t>
            </w:r>
          </w:p>
        </w:tc>
        <w:tc>
          <w:tcPr>
            <w:tcW w:w="1300" w:type="dxa"/>
            <w:tcBorders>
              <w:top w:val="nil"/>
              <w:left w:val="nil"/>
              <w:bottom w:val="nil"/>
              <w:right w:val="nil"/>
            </w:tcBorders>
            <w:shd w:val="clear" w:color="auto" w:fill="auto"/>
            <w:vAlign w:val="center"/>
            <w:hideMark/>
          </w:tcPr>
          <w:p w14:paraId="6CE334F3"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0.11</w:t>
            </w:r>
          </w:p>
        </w:tc>
      </w:tr>
      <w:tr w:rsidR="00417D53" w:rsidRPr="00BF16A1" w14:paraId="26D0658B" w14:textId="77777777" w:rsidTr="00AF7642">
        <w:trPr>
          <w:trHeight w:val="560"/>
          <w:jc w:val="center"/>
        </w:trPr>
        <w:tc>
          <w:tcPr>
            <w:tcW w:w="3780" w:type="dxa"/>
            <w:tcBorders>
              <w:top w:val="nil"/>
              <w:left w:val="nil"/>
              <w:bottom w:val="nil"/>
              <w:right w:val="nil"/>
            </w:tcBorders>
            <w:shd w:val="clear" w:color="auto" w:fill="auto"/>
            <w:vAlign w:val="center"/>
            <w:hideMark/>
          </w:tcPr>
          <w:p w14:paraId="58B66084"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Frequency of latrine use and latent variable classification</w:t>
            </w:r>
          </w:p>
        </w:tc>
        <w:tc>
          <w:tcPr>
            <w:tcW w:w="1300" w:type="dxa"/>
            <w:tcBorders>
              <w:top w:val="nil"/>
              <w:left w:val="nil"/>
              <w:bottom w:val="nil"/>
              <w:right w:val="nil"/>
            </w:tcBorders>
            <w:shd w:val="clear" w:color="auto" w:fill="auto"/>
            <w:vAlign w:val="center"/>
            <w:hideMark/>
          </w:tcPr>
          <w:p w14:paraId="67A196D8"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0.06</w:t>
            </w:r>
          </w:p>
        </w:tc>
        <w:tc>
          <w:tcPr>
            <w:tcW w:w="1300" w:type="dxa"/>
            <w:tcBorders>
              <w:top w:val="nil"/>
              <w:left w:val="nil"/>
              <w:bottom w:val="nil"/>
              <w:right w:val="nil"/>
            </w:tcBorders>
            <w:shd w:val="clear" w:color="auto" w:fill="auto"/>
            <w:vAlign w:val="center"/>
            <w:hideMark/>
          </w:tcPr>
          <w:p w14:paraId="3D24D614"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0.17</w:t>
            </w:r>
          </w:p>
        </w:tc>
        <w:tc>
          <w:tcPr>
            <w:tcW w:w="1300" w:type="dxa"/>
            <w:tcBorders>
              <w:top w:val="nil"/>
              <w:left w:val="nil"/>
              <w:bottom w:val="nil"/>
              <w:right w:val="nil"/>
            </w:tcBorders>
            <w:shd w:val="clear" w:color="auto" w:fill="auto"/>
            <w:vAlign w:val="center"/>
            <w:hideMark/>
          </w:tcPr>
          <w:p w14:paraId="49358F89"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0.16</w:t>
            </w:r>
          </w:p>
        </w:tc>
      </w:tr>
      <w:tr w:rsidR="00417D53" w:rsidRPr="00BF16A1" w14:paraId="52ABEA48" w14:textId="77777777" w:rsidTr="00AF7642">
        <w:trPr>
          <w:trHeight w:val="560"/>
          <w:jc w:val="center"/>
        </w:trPr>
        <w:tc>
          <w:tcPr>
            <w:tcW w:w="3780" w:type="dxa"/>
            <w:tcBorders>
              <w:top w:val="nil"/>
              <w:left w:val="nil"/>
              <w:bottom w:val="single" w:sz="4" w:space="0" w:color="auto"/>
              <w:right w:val="nil"/>
            </w:tcBorders>
            <w:shd w:val="clear" w:color="auto" w:fill="auto"/>
            <w:vAlign w:val="center"/>
            <w:hideMark/>
          </w:tcPr>
          <w:p w14:paraId="23D4591E"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Calculated latrine use and latent variable classification</w:t>
            </w:r>
          </w:p>
        </w:tc>
        <w:tc>
          <w:tcPr>
            <w:tcW w:w="1300" w:type="dxa"/>
            <w:tcBorders>
              <w:top w:val="nil"/>
              <w:left w:val="nil"/>
              <w:bottom w:val="single" w:sz="4" w:space="0" w:color="auto"/>
              <w:right w:val="nil"/>
            </w:tcBorders>
            <w:shd w:val="clear" w:color="auto" w:fill="auto"/>
            <w:vAlign w:val="center"/>
            <w:hideMark/>
          </w:tcPr>
          <w:p w14:paraId="246BA2A6"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0.07</w:t>
            </w:r>
          </w:p>
        </w:tc>
        <w:tc>
          <w:tcPr>
            <w:tcW w:w="1300" w:type="dxa"/>
            <w:tcBorders>
              <w:top w:val="nil"/>
              <w:left w:val="nil"/>
              <w:bottom w:val="single" w:sz="4" w:space="0" w:color="auto"/>
              <w:right w:val="nil"/>
            </w:tcBorders>
            <w:shd w:val="clear" w:color="auto" w:fill="auto"/>
            <w:vAlign w:val="center"/>
            <w:hideMark/>
          </w:tcPr>
          <w:p w14:paraId="504B9079"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0.15</w:t>
            </w:r>
          </w:p>
        </w:tc>
        <w:tc>
          <w:tcPr>
            <w:tcW w:w="1300" w:type="dxa"/>
            <w:tcBorders>
              <w:top w:val="nil"/>
              <w:left w:val="nil"/>
              <w:bottom w:val="single" w:sz="4" w:space="0" w:color="auto"/>
              <w:right w:val="nil"/>
            </w:tcBorders>
            <w:shd w:val="clear" w:color="auto" w:fill="auto"/>
            <w:vAlign w:val="center"/>
            <w:hideMark/>
          </w:tcPr>
          <w:p w14:paraId="7DF24772"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0.02</w:t>
            </w:r>
          </w:p>
        </w:tc>
      </w:tr>
      <w:tr w:rsidR="00417D53" w:rsidRPr="00BF16A1" w14:paraId="60F9EAD3" w14:textId="77777777" w:rsidTr="00AF7642">
        <w:trPr>
          <w:trHeight w:val="300"/>
          <w:jc w:val="center"/>
        </w:trPr>
        <w:tc>
          <w:tcPr>
            <w:tcW w:w="7680" w:type="dxa"/>
            <w:gridSpan w:val="4"/>
            <w:tcBorders>
              <w:top w:val="nil"/>
              <w:left w:val="nil"/>
              <w:bottom w:val="nil"/>
              <w:right w:val="nil"/>
            </w:tcBorders>
            <w:shd w:val="clear" w:color="auto" w:fill="auto"/>
            <w:vAlign w:val="center"/>
            <w:hideMark/>
          </w:tcPr>
          <w:p w14:paraId="2847AE64"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16"/>
                <w:szCs w:val="16"/>
              </w:rPr>
            </w:pPr>
            <w:r w:rsidRPr="00BF16A1">
              <w:rPr>
                <w:rFonts w:ascii="Calibri" w:eastAsia="Times New Roman" w:hAnsi="Calibri" w:cs="Times New Roman"/>
                <w:sz w:val="16"/>
                <w:szCs w:val="16"/>
              </w:rPr>
              <w:t>*Fleiss' kappa where all other comparisons are calculated with Cohen's kappa</w:t>
            </w:r>
          </w:p>
        </w:tc>
      </w:tr>
    </w:tbl>
    <w:p w14:paraId="6EB278D7" w14:textId="77777777" w:rsidR="00417D53" w:rsidRPr="00BF16A1" w:rsidRDefault="00417D53" w:rsidP="00417D53">
      <w:pPr>
        <w:pStyle w:val="Normal1"/>
        <w:spacing w:line="240" w:lineRule="auto"/>
        <w:jc w:val="both"/>
        <w:rPr>
          <w:rFonts w:ascii="Calibri" w:eastAsia="Calibri" w:hAnsi="Calibri" w:cs="Calibri"/>
        </w:rPr>
      </w:pPr>
    </w:p>
    <w:p w14:paraId="4FD2C84A" w14:textId="77777777" w:rsidR="00417D53" w:rsidRPr="00BF16A1" w:rsidRDefault="00417D53" w:rsidP="00417D53">
      <w:pPr>
        <w:pStyle w:val="Normal1"/>
        <w:spacing w:line="240" w:lineRule="auto"/>
        <w:jc w:val="both"/>
        <w:rPr>
          <w:rFonts w:ascii="Calibri" w:eastAsia="Calibri" w:hAnsi="Calibri" w:cs="Calibri"/>
        </w:rPr>
      </w:pPr>
      <w:r w:rsidRPr="00BF16A1">
        <w:rPr>
          <w:rFonts w:ascii="Calibri" w:eastAsia="Calibri" w:hAnsi="Calibri" w:cs="Calibri"/>
        </w:rPr>
        <w:t xml:space="preserve">The agreement comparison suggests that each of that while these variables may be measuring the same constructs, they are each subject to different types of error. The error generated from the latent variable classification of latrine use is reflected in the model entropy value (0.86), while the error in self-reported latrine use cannot be quantified. If the latent classification was free of measurement error, the entropy value would be 1.0, which is unrealistic in any survey-based research. Nonetheless, we are interested in providing additional evidence that the latent classifications are reliable and overall not driven by certain observations within the dataset. To assess the extent to which the latent classifications are robust, we compared the model results from the full sample to the same model run in 10 randomly selected subsamples of the dataset (Supplementary </w:t>
      </w:r>
      <w:r>
        <w:rPr>
          <w:rFonts w:ascii="Calibri" w:eastAsia="Calibri" w:hAnsi="Calibri" w:cs="Calibri"/>
        </w:rPr>
        <w:t>Table 7</w:t>
      </w:r>
      <w:r w:rsidRPr="00BF16A1">
        <w:rPr>
          <w:rFonts w:ascii="Calibri" w:eastAsia="Calibri" w:hAnsi="Calibri" w:cs="Calibri"/>
        </w:rPr>
        <w:t xml:space="preserve">.3). Overall, the models run in the randomly selected subsamples showed little variability (for example, entropy ranged from 0.84 to 0.92). The average fit statistics from the subsample models were very comparable to the model with the full dataset. </w:t>
      </w:r>
    </w:p>
    <w:p w14:paraId="645AA635" w14:textId="77777777" w:rsidR="00417D53" w:rsidRPr="00BF16A1" w:rsidRDefault="00417D53" w:rsidP="00417D53">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Calibri" w:hAnsi="Calibri" w:cs="Calibri"/>
        </w:rPr>
      </w:pPr>
      <w:r w:rsidRPr="00BF16A1">
        <w:rPr>
          <w:rFonts w:ascii="Calibri" w:eastAsia="Calibri" w:hAnsi="Calibri" w:cs="Calibri"/>
        </w:rPr>
        <w:br w:type="page"/>
      </w:r>
    </w:p>
    <w:p w14:paraId="04A72B9B" w14:textId="77777777" w:rsidR="00417D53" w:rsidRPr="00BF16A1" w:rsidRDefault="00417D53" w:rsidP="00417D53">
      <w:pPr>
        <w:pStyle w:val="Normal1"/>
        <w:spacing w:line="240" w:lineRule="auto"/>
        <w:rPr>
          <w:rFonts w:ascii="Calibri" w:eastAsia="Calibri" w:hAnsi="Calibri" w:cs="Calibri"/>
        </w:rPr>
      </w:pPr>
    </w:p>
    <w:tbl>
      <w:tblPr>
        <w:tblW w:w="6500" w:type="dxa"/>
        <w:jc w:val="center"/>
        <w:tblLook w:val="04A0" w:firstRow="1" w:lastRow="0" w:firstColumn="1" w:lastColumn="0" w:noHBand="0" w:noVBand="1"/>
      </w:tblPr>
      <w:tblGrid>
        <w:gridCol w:w="1300"/>
        <w:gridCol w:w="1300"/>
        <w:gridCol w:w="1300"/>
        <w:gridCol w:w="1300"/>
        <w:gridCol w:w="1300"/>
      </w:tblGrid>
      <w:tr w:rsidR="00417D53" w:rsidRPr="00BF16A1" w14:paraId="716623B5" w14:textId="77777777" w:rsidTr="00AF7642">
        <w:trPr>
          <w:trHeight w:val="1120"/>
          <w:jc w:val="center"/>
        </w:trPr>
        <w:tc>
          <w:tcPr>
            <w:tcW w:w="6500" w:type="dxa"/>
            <w:gridSpan w:val="5"/>
            <w:tcBorders>
              <w:left w:val="nil"/>
              <w:bottom w:val="nil"/>
              <w:right w:val="nil"/>
            </w:tcBorders>
            <w:shd w:val="clear" w:color="auto" w:fill="auto"/>
            <w:vAlign w:val="center"/>
            <w:hideMark/>
          </w:tcPr>
          <w:p w14:paraId="1C407F73"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both"/>
              <w:rPr>
                <w:rFonts w:ascii="Calibri" w:eastAsia="Times New Roman" w:hAnsi="Calibri" w:cs="Times New Roman"/>
                <w:b/>
                <w:bCs/>
                <w:sz w:val="20"/>
                <w:szCs w:val="20"/>
              </w:rPr>
            </w:pPr>
            <w:r w:rsidRPr="00BF16A1">
              <w:rPr>
                <w:rFonts w:ascii="Calibri" w:eastAsia="Times New Roman" w:hAnsi="Calibri" w:cs="Times New Roman"/>
                <w:b/>
                <w:bCs/>
                <w:sz w:val="20"/>
                <w:szCs w:val="20"/>
              </w:rPr>
              <w:t xml:space="preserve">Supplementary </w:t>
            </w:r>
            <w:r>
              <w:rPr>
                <w:rFonts w:ascii="Calibri" w:eastAsia="Times New Roman" w:hAnsi="Calibri" w:cs="Times New Roman"/>
                <w:b/>
                <w:bCs/>
                <w:sz w:val="20"/>
                <w:szCs w:val="20"/>
              </w:rPr>
              <w:t>Table 7</w:t>
            </w:r>
            <w:r w:rsidRPr="00BF16A1">
              <w:rPr>
                <w:rFonts w:ascii="Calibri" w:eastAsia="Times New Roman" w:hAnsi="Calibri" w:cs="Times New Roman"/>
                <w:b/>
                <w:bCs/>
                <w:sz w:val="20"/>
                <w:szCs w:val="20"/>
              </w:rPr>
              <w:t xml:space="preserve">.3. </w:t>
            </w:r>
            <w:r w:rsidRPr="00BF16A1">
              <w:rPr>
                <w:rFonts w:ascii="Calibri" w:eastAsia="Times New Roman" w:hAnsi="Calibri" w:cs="Times New Roman"/>
                <w:sz w:val="20"/>
                <w:szCs w:val="20"/>
              </w:rPr>
              <w:t xml:space="preserve">LCA models in 10 subsamples of the overall dataset (n=225 in each sample). The average fit statistics for each of these 10 models are: BIC =1365; </w:t>
            </w:r>
            <w:proofErr w:type="spellStart"/>
            <w:r w:rsidRPr="00BF16A1">
              <w:rPr>
                <w:rFonts w:ascii="Calibri" w:eastAsia="Times New Roman" w:hAnsi="Calibri" w:cs="Times New Roman"/>
                <w:sz w:val="20"/>
                <w:szCs w:val="20"/>
              </w:rPr>
              <w:t>X2</w:t>
            </w:r>
            <w:proofErr w:type="spellEnd"/>
            <w:r w:rsidRPr="00BF16A1">
              <w:rPr>
                <w:rFonts w:ascii="Calibri" w:eastAsia="Times New Roman" w:hAnsi="Calibri" w:cs="Times New Roman"/>
                <w:sz w:val="20"/>
                <w:szCs w:val="20"/>
              </w:rPr>
              <w:t>=381; entropy=0.87. Overall, the 10 subsamples have an average predicted class membership of 0.78 and 0.22.</w:t>
            </w:r>
          </w:p>
        </w:tc>
      </w:tr>
      <w:tr w:rsidR="00417D53" w:rsidRPr="00BF16A1" w14:paraId="737B160B" w14:textId="77777777" w:rsidTr="00AF7642">
        <w:trPr>
          <w:trHeight w:val="840"/>
          <w:jc w:val="center"/>
        </w:trPr>
        <w:tc>
          <w:tcPr>
            <w:tcW w:w="1300" w:type="dxa"/>
            <w:tcBorders>
              <w:top w:val="single" w:sz="4" w:space="0" w:color="auto"/>
              <w:left w:val="nil"/>
              <w:bottom w:val="single" w:sz="4" w:space="0" w:color="auto"/>
              <w:right w:val="nil"/>
            </w:tcBorders>
            <w:shd w:val="clear" w:color="auto" w:fill="auto"/>
            <w:vAlign w:val="center"/>
            <w:hideMark/>
          </w:tcPr>
          <w:p w14:paraId="7674DB26"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b/>
                <w:bCs/>
                <w:sz w:val="20"/>
                <w:szCs w:val="20"/>
              </w:rPr>
            </w:pPr>
            <w:r w:rsidRPr="00BF16A1">
              <w:rPr>
                <w:rFonts w:ascii="Calibri" w:eastAsia="Times New Roman" w:hAnsi="Calibri" w:cs="Times New Roman"/>
                <w:b/>
                <w:bCs/>
                <w:sz w:val="20"/>
                <w:szCs w:val="20"/>
              </w:rPr>
              <w:t>Subsample</w:t>
            </w:r>
          </w:p>
        </w:tc>
        <w:tc>
          <w:tcPr>
            <w:tcW w:w="1300" w:type="dxa"/>
            <w:tcBorders>
              <w:top w:val="single" w:sz="4" w:space="0" w:color="auto"/>
              <w:left w:val="nil"/>
              <w:bottom w:val="single" w:sz="4" w:space="0" w:color="auto"/>
              <w:right w:val="nil"/>
            </w:tcBorders>
            <w:shd w:val="clear" w:color="auto" w:fill="auto"/>
            <w:vAlign w:val="center"/>
            <w:hideMark/>
          </w:tcPr>
          <w:p w14:paraId="7C083F81"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b/>
                <w:bCs/>
                <w:sz w:val="20"/>
                <w:szCs w:val="20"/>
              </w:rPr>
            </w:pPr>
            <w:r w:rsidRPr="00BF16A1">
              <w:rPr>
                <w:rFonts w:ascii="Calibri" w:eastAsia="Times New Roman" w:hAnsi="Calibri" w:cs="Times New Roman"/>
                <w:b/>
                <w:bCs/>
                <w:sz w:val="20"/>
                <w:szCs w:val="20"/>
              </w:rPr>
              <w:t>BIC</w:t>
            </w:r>
          </w:p>
        </w:tc>
        <w:tc>
          <w:tcPr>
            <w:tcW w:w="1300" w:type="dxa"/>
            <w:tcBorders>
              <w:top w:val="single" w:sz="4" w:space="0" w:color="auto"/>
              <w:left w:val="nil"/>
              <w:bottom w:val="single" w:sz="4" w:space="0" w:color="auto"/>
              <w:right w:val="nil"/>
            </w:tcBorders>
            <w:shd w:val="clear" w:color="auto" w:fill="auto"/>
            <w:vAlign w:val="center"/>
            <w:hideMark/>
          </w:tcPr>
          <w:p w14:paraId="63793E0F"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b/>
                <w:bCs/>
                <w:sz w:val="20"/>
                <w:szCs w:val="20"/>
              </w:rPr>
            </w:pPr>
            <w:proofErr w:type="spellStart"/>
            <w:r w:rsidRPr="00BF16A1">
              <w:rPr>
                <w:rFonts w:ascii="Calibri" w:eastAsia="Times New Roman" w:hAnsi="Calibri" w:cs="Times New Roman"/>
                <w:b/>
                <w:bCs/>
                <w:sz w:val="20"/>
                <w:szCs w:val="20"/>
              </w:rPr>
              <w:t>X</w:t>
            </w:r>
            <w:r w:rsidRPr="00BF16A1">
              <w:rPr>
                <w:rFonts w:ascii="Calibri" w:eastAsia="Times New Roman" w:hAnsi="Calibri" w:cs="Times New Roman"/>
                <w:b/>
                <w:bCs/>
                <w:sz w:val="20"/>
                <w:szCs w:val="20"/>
                <w:vertAlign w:val="superscript"/>
              </w:rPr>
              <w:t>2</w:t>
            </w:r>
            <w:proofErr w:type="spellEnd"/>
          </w:p>
        </w:tc>
        <w:tc>
          <w:tcPr>
            <w:tcW w:w="1300" w:type="dxa"/>
            <w:tcBorders>
              <w:top w:val="single" w:sz="4" w:space="0" w:color="auto"/>
              <w:left w:val="nil"/>
              <w:bottom w:val="single" w:sz="4" w:space="0" w:color="auto"/>
              <w:right w:val="nil"/>
            </w:tcBorders>
            <w:shd w:val="clear" w:color="auto" w:fill="auto"/>
            <w:vAlign w:val="center"/>
            <w:hideMark/>
          </w:tcPr>
          <w:p w14:paraId="3D4EAB94"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b/>
                <w:bCs/>
                <w:sz w:val="20"/>
                <w:szCs w:val="20"/>
              </w:rPr>
            </w:pPr>
            <w:r w:rsidRPr="00BF16A1">
              <w:rPr>
                <w:rFonts w:ascii="Calibri" w:eastAsia="Times New Roman" w:hAnsi="Calibri" w:cs="Times New Roman"/>
                <w:b/>
                <w:bCs/>
                <w:sz w:val="20"/>
                <w:szCs w:val="20"/>
              </w:rPr>
              <w:t>Relative entropy</w:t>
            </w:r>
          </w:p>
        </w:tc>
        <w:tc>
          <w:tcPr>
            <w:tcW w:w="1300" w:type="dxa"/>
            <w:tcBorders>
              <w:top w:val="single" w:sz="4" w:space="0" w:color="auto"/>
              <w:left w:val="nil"/>
              <w:bottom w:val="single" w:sz="4" w:space="0" w:color="auto"/>
              <w:right w:val="nil"/>
            </w:tcBorders>
            <w:shd w:val="clear" w:color="auto" w:fill="auto"/>
            <w:vAlign w:val="center"/>
            <w:hideMark/>
          </w:tcPr>
          <w:p w14:paraId="0E191659"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b/>
                <w:bCs/>
                <w:sz w:val="20"/>
                <w:szCs w:val="20"/>
              </w:rPr>
            </w:pPr>
            <w:r w:rsidRPr="00BF16A1">
              <w:rPr>
                <w:rFonts w:ascii="Calibri" w:eastAsia="Times New Roman" w:hAnsi="Calibri" w:cs="Times New Roman"/>
                <w:b/>
                <w:bCs/>
                <w:sz w:val="20"/>
                <w:szCs w:val="20"/>
              </w:rPr>
              <w:t>Predicted class probabilities</w:t>
            </w:r>
          </w:p>
        </w:tc>
      </w:tr>
      <w:tr w:rsidR="00417D53" w:rsidRPr="00BF16A1" w14:paraId="452098CF" w14:textId="77777777" w:rsidTr="00AF7642">
        <w:trPr>
          <w:trHeight w:val="300"/>
          <w:jc w:val="center"/>
        </w:trPr>
        <w:tc>
          <w:tcPr>
            <w:tcW w:w="1300" w:type="dxa"/>
            <w:tcBorders>
              <w:top w:val="nil"/>
              <w:left w:val="nil"/>
              <w:bottom w:val="nil"/>
              <w:right w:val="nil"/>
            </w:tcBorders>
            <w:shd w:val="clear" w:color="auto" w:fill="auto"/>
            <w:vAlign w:val="center"/>
            <w:hideMark/>
          </w:tcPr>
          <w:p w14:paraId="5409894C"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Sample 1</w:t>
            </w:r>
          </w:p>
        </w:tc>
        <w:tc>
          <w:tcPr>
            <w:tcW w:w="1300" w:type="dxa"/>
            <w:tcBorders>
              <w:top w:val="nil"/>
              <w:left w:val="nil"/>
              <w:bottom w:val="nil"/>
              <w:right w:val="nil"/>
            </w:tcBorders>
            <w:shd w:val="clear" w:color="auto" w:fill="auto"/>
            <w:vAlign w:val="center"/>
            <w:hideMark/>
          </w:tcPr>
          <w:p w14:paraId="0CE518A1"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1392</w:t>
            </w:r>
          </w:p>
        </w:tc>
        <w:tc>
          <w:tcPr>
            <w:tcW w:w="1300" w:type="dxa"/>
            <w:tcBorders>
              <w:top w:val="nil"/>
              <w:left w:val="nil"/>
              <w:bottom w:val="nil"/>
              <w:right w:val="nil"/>
            </w:tcBorders>
            <w:shd w:val="clear" w:color="auto" w:fill="auto"/>
            <w:vAlign w:val="center"/>
            <w:hideMark/>
          </w:tcPr>
          <w:p w14:paraId="4BEEA12B"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395</w:t>
            </w:r>
          </w:p>
        </w:tc>
        <w:tc>
          <w:tcPr>
            <w:tcW w:w="1300" w:type="dxa"/>
            <w:tcBorders>
              <w:top w:val="nil"/>
              <w:left w:val="nil"/>
              <w:bottom w:val="nil"/>
              <w:right w:val="nil"/>
            </w:tcBorders>
            <w:shd w:val="clear" w:color="auto" w:fill="auto"/>
            <w:vAlign w:val="center"/>
            <w:hideMark/>
          </w:tcPr>
          <w:p w14:paraId="1CA9CFCE"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0.86</w:t>
            </w:r>
          </w:p>
        </w:tc>
        <w:tc>
          <w:tcPr>
            <w:tcW w:w="1300" w:type="dxa"/>
            <w:tcBorders>
              <w:top w:val="nil"/>
              <w:left w:val="nil"/>
              <w:bottom w:val="nil"/>
              <w:right w:val="nil"/>
            </w:tcBorders>
            <w:shd w:val="clear" w:color="auto" w:fill="auto"/>
            <w:vAlign w:val="center"/>
            <w:hideMark/>
          </w:tcPr>
          <w:p w14:paraId="3995DBDE"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0.75; 0.25</w:t>
            </w:r>
          </w:p>
        </w:tc>
      </w:tr>
      <w:tr w:rsidR="00417D53" w:rsidRPr="00BF16A1" w14:paraId="048B75D4" w14:textId="77777777" w:rsidTr="00AF7642">
        <w:trPr>
          <w:trHeight w:val="300"/>
          <w:jc w:val="center"/>
        </w:trPr>
        <w:tc>
          <w:tcPr>
            <w:tcW w:w="1300" w:type="dxa"/>
            <w:tcBorders>
              <w:top w:val="nil"/>
              <w:left w:val="nil"/>
              <w:bottom w:val="nil"/>
              <w:right w:val="nil"/>
            </w:tcBorders>
            <w:shd w:val="clear" w:color="auto" w:fill="auto"/>
            <w:vAlign w:val="center"/>
            <w:hideMark/>
          </w:tcPr>
          <w:p w14:paraId="0E9309C7"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Sample 2</w:t>
            </w:r>
          </w:p>
        </w:tc>
        <w:tc>
          <w:tcPr>
            <w:tcW w:w="1300" w:type="dxa"/>
            <w:tcBorders>
              <w:top w:val="nil"/>
              <w:left w:val="nil"/>
              <w:bottom w:val="nil"/>
              <w:right w:val="nil"/>
            </w:tcBorders>
            <w:shd w:val="clear" w:color="auto" w:fill="auto"/>
            <w:vAlign w:val="center"/>
            <w:hideMark/>
          </w:tcPr>
          <w:p w14:paraId="39EAE332"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1354</w:t>
            </w:r>
          </w:p>
        </w:tc>
        <w:tc>
          <w:tcPr>
            <w:tcW w:w="1300" w:type="dxa"/>
            <w:tcBorders>
              <w:top w:val="nil"/>
              <w:left w:val="nil"/>
              <w:bottom w:val="nil"/>
              <w:right w:val="nil"/>
            </w:tcBorders>
            <w:shd w:val="clear" w:color="auto" w:fill="auto"/>
            <w:vAlign w:val="center"/>
            <w:hideMark/>
          </w:tcPr>
          <w:p w14:paraId="031ACF15"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363</w:t>
            </w:r>
          </w:p>
        </w:tc>
        <w:tc>
          <w:tcPr>
            <w:tcW w:w="1300" w:type="dxa"/>
            <w:tcBorders>
              <w:top w:val="nil"/>
              <w:left w:val="nil"/>
              <w:bottom w:val="nil"/>
              <w:right w:val="nil"/>
            </w:tcBorders>
            <w:shd w:val="clear" w:color="auto" w:fill="auto"/>
            <w:vAlign w:val="center"/>
            <w:hideMark/>
          </w:tcPr>
          <w:p w14:paraId="36870AE8"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0.86</w:t>
            </w:r>
          </w:p>
        </w:tc>
        <w:tc>
          <w:tcPr>
            <w:tcW w:w="1300" w:type="dxa"/>
            <w:tcBorders>
              <w:top w:val="nil"/>
              <w:left w:val="nil"/>
              <w:bottom w:val="nil"/>
              <w:right w:val="nil"/>
            </w:tcBorders>
            <w:shd w:val="clear" w:color="auto" w:fill="auto"/>
            <w:vAlign w:val="center"/>
            <w:hideMark/>
          </w:tcPr>
          <w:p w14:paraId="75BA3B8D"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0.78; 0.22</w:t>
            </w:r>
          </w:p>
        </w:tc>
      </w:tr>
      <w:tr w:rsidR="00417D53" w:rsidRPr="00BF16A1" w14:paraId="403FDC77" w14:textId="77777777" w:rsidTr="00AF7642">
        <w:trPr>
          <w:trHeight w:val="300"/>
          <w:jc w:val="center"/>
        </w:trPr>
        <w:tc>
          <w:tcPr>
            <w:tcW w:w="1300" w:type="dxa"/>
            <w:tcBorders>
              <w:top w:val="nil"/>
              <w:left w:val="nil"/>
              <w:bottom w:val="nil"/>
              <w:right w:val="nil"/>
            </w:tcBorders>
            <w:shd w:val="clear" w:color="auto" w:fill="auto"/>
            <w:vAlign w:val="center"/>
            <w:hideMark/>
          </w:tcPr>
          <w:p w14:paraId="7534052D"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Sample 3</w:t>
            </w:r>
          </w:p>
        </w:tc>
        <w:tc>
          <w:tcPr>
            <w:tcW w:w="1300" w:type="dxa"/>
            <w:tcBorders>
              <w:top w:val="nil"/>
              <w:left w:val="nil"/>
              <w:bottom w:val="nil"/>
              <w:right w:val="nil"/>
            </w:tcBorders>
            <w:shd w:val="clear" w:color="auto" w:fill="auto"/>
            <w:vAlign w:val="center"/>
            <w:hideMark/>
          </w:tcPr>
          <w:p w14:paraId="67B79445"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1368</w:t>
            </w:r>
          </w:p>
        </w:tc>
        <w:tc>
          <w:tcPr>
            <w:tcW w:w="1300" w:type="dxa"/>
            <w:tcBorders>
              <w:top w:val="nil"/>
              <w:left w:val="nil"/>
              <w:bottom w:val="nil"/>
              <w:right w:val="nil"/>
            </w:tcBorders>
            <w:shd w:val="clear" w:color="auto" w:fill="auto"/>
            <w:vAlign w:val="center"/>
            <w:hideMark/>
          </w:tcPr>
          <w:p w14:paraId="08BFFDE7"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465</w:t>
            </w:r>
          </w:p>
        </w:tc>
        <w:tc>
          <w:tcPr>
            <w:tcW w:w="1300" w:type="dxa"/>
            <w:tcBorders>
              <w:top w:val="nil"/>
              <w:left w:val="nil"/>
              <w:bottom w:val="nil"/>
              <w:right w:val="nil"/>
            </w:tcBorders>
            <w:shd w:val="clear" w:color="auto" w:fill="auto"/>
            <w:vAlign w:val="center"/>
            <w:hideMark/>
          </w:tcPr>
          <w:p w14:paraId="487C2A6F"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0.92</w:t>
            </w:r>
          </w:p>
        </w:tc>
        <w:tc>
          <w:tcPr>
            <w:tcW w:w="1300" w:type="dxa"/>
            <w:tcBorders>
              <w:top w:val="nil"/>
              <w:left w:val="nil"/>
              <w:bottom w:val="nil"/>
              <w:right w:val="nil"/>
            </w:tcBorders>
            <w:shd w:val="clear" w:color="auto" w:fill="auto"/>
            <w:vAlign w:val="center"/>
            <w:hideMark/>
          </w:tcPr>
          <w:p w14:paraId="5E74C1E8"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0.78; 0.22</w:t>
            </w:r>
          </w:p>
        </w:tc>
      </w:tr>
      <w:tr w:rsidR="00417D53" w:rsidRPr="00BF16A1" w14:paraId="1EDB236A" w14:textId="77777777" w:rsidTr="00AF7642">
        <w:trPr>
          <w:trHeight w:val="300"/>
          <w:jc w:val="center"/>
        </w:trPr>
        <w:tc>
          <w:tcPr>
            <w:tcW w:w="1300" w:type="dxa"/>
            <w:tcBorders>
              <w:top w:val="nil"/>
              <w:left w:val="nil"/>
              <w:bottom w:val="nil"/>
              <w:right w:val="nil"/>
            </w:tcBorders>
            <w:shd w:val="clear" w:color="auto" w:fill="auto"/>
            <w:vAlign w:val="center"/>
            <w:hideMark/>
          </w:tcPr>
          <w:p w14:paraId="6CF98C62"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Sample 4</w:t>
            </w:r>
          </w:p>
        </w:tc>
        <w:tc>
          <w:tcPr>
            <w:tcW w:w="1300" w:type="dxa"/>
            <w:tcBorders>
              <w:top w:val="nil"/>
              <w:left w:val="nil"/>
              <w:bottom w:val="nil"/>
              <w:right w:val="nil"/>
            </w:tcBorders>
            <w:shd w:val="clear" w:color="auto" w:fill="auto"/>
            <w:vAlign w:val="center"/>
            <w:hideMark/>
          </w:tcPr>
          <w:p w14:paraId="3C8B6C8F"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1361</w:t>
            </w:r>
          </w:p>
        </w:tc>
        <w:tc>
          <w:tcPr>
            <w:tcW w:w="1300" w:type="dxa"/>
            <w:tcBorders>
              <w:top w:val="nil"/>
              <w:left w:val="nil"/>
              <w:bottom w:val="nil"/>
              <w:right w:val="nil"/>
            </w:tcBorders>
            <w:shd w:val="clear" w:color="auto" w:fill="auto"/>
            <w:vAlign w:val="center"/>
            <w:hideMark/>
          </w:tcPr>
          <w:p w14:paraId="4BD08596"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240</w:t>
            </w:r>
          </w:p>
        </w:tc>
        <w:tc>
          <w:tcPr>
            <w:tcW w:w="1300" w:type="dxa"/>
            <w:tcBorders>
              <w:top w:val="nil"/>
              <w:left w:val="nil"/>
              <w:bottom w:val="nil"/>
              <w:right w:val="nil"/>
            </w:tcBorders>
            <w:shd w:val="clear" w:color="auto" w:fill="auto"/>
            <w:vAlign w:val="center"/>
            <w:hideMark/>
          </w:tcPr>
          <w:p w14:paraId="19A1AAF4"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0.85</w:t>
            </w:r>
          </w:p>
        </w:tc>
        <w:tc>
          <w:tcPr>
            <w:tcW w:w="1300" w:type="dxa"/>
            <w:tcBorders>
              <w:top w:val="nil"/>
              <w:left w:val="nil"/>
              <w:bottom w:val="nil"/>
              <w:right w:val="nil"/>
            </w:tcBorders>
            <w:shd w:val="clear" w:color="auto" w:fill="auto"/>
            <w:vAlign w:val="center"/>
            <w:hideMark/>
          </w:tcPr>
          <w:p w14:paraId="6A2815D9"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0.78; 0.22</w:t>
            </w:r>
          </w:p>
        </w:tc>
      </w:tr>
      <w:tr w:rsidR="00417D53" w:rsidRPr="00BF16A1" w14:paraId="58F7C9B8" w14:textId="77777777" w:rsidTr="00AF7642">
        <w:trPr>
          <w:trHeight w:val="300"/>
          <w:jc w:val="center"/>
        </w:trPr>
        <w:tc>
          <w:tcPr>
            <w:tcW w:w="1300" w:type="dxa"/>
            <w:tcBorders>
              <w:top w:val="nil"/>
              <w:left w:val="nil"/>
              <w:bottom w:val="nil"/>
              <w:right w:val="nil"/>
            </w:tcBorders>
            <w:shd w:val="clear" w:color="auto" w:fill="auto"/>
            <w:vAlign w:val="center"/>
            <w:hideMark/>
          </w:tcPr>
          <w:p w14:paraId="57EA5D77"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Sample 5</w:t>
            </w:r>
          </w:p>
        </w:tc>
        <w:tc>
          <w:tcPr>
            <w:tcW w:w="1300" w:type="dxa"/>
            <w:tcBorders>
              <w:top w:val="nil"/>
              <w:left w:val="nil"/>
              <w:bottom w:val="nil"/>
              <w:right w:val="nil"/>
            </w:tcBorders>
            <w:shd w:val="clear" w:color="auto" w:fill="auto"/>
            <w:vAlign w:val="center"/>
            <w:hideMark/>
          </w:tcPr>
          <w:p w14:paraId="551094C4"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1363</w:t>
            </w:r>
          </w:p>
        </w:tc>
        <w:tc>
          <w:tcPr>
            <w:tcW w:w="1300" w:type="dxa"/>
            <w:tcBorders>
              <w:top w:val="nil"/>
              <w:left w:val="nil"/>
              <w:bottom w:val="nil"/>
              <w:right w:val="nil"/>
            </w:tcBorders>
            <w:shd w:val="clear" w:color="auto" w:fill="auto"/>
            <w:vAlign w:val="center"/>
            <w:hideMark/>
          </w:tcPr>
          <w:p w14:paraId="78280AAD"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370</w:t>
            </w:r>
          </w:p>
        </w:tc>
        <w:tc>
          <w:tcPr>
            <w:tcW w:w="1300" w:type="dxa"/>
            <w:tcBorders>
              <w:top w:val="nil"/>
              <w:left w:val="nil"/>
              <w:bottom w:val="nil"/>
              <w:right w:val="nil"/>
            </w:tcBorders>
            <w:shd w:val="clear" w:color="auto" w:fill="auto"/>
            <w:vAlign w:val="center"/>
            <w:hideMark/>
          </w:tcPr>
          <w:p w14:paraId="332E8922"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0.88</w:t>
            </w:r>
          </w:p>
        </w:tc>
        <w:tc>
          <w:tcPr>
            <w:tcW w:w="1300" w:type="dxa"/>
            <w:tcBorders>
              <w:top w:val="nil"/>
              <w:left w:val="nil"/>
              <w:bottom w:val="nil"/>
              <w:right w:val="nil"/>
            </w:tcBorders>
            <w:shd w:val="clear" w:color="auto" w:fill="auto"/>
            <w:vAlign w:val="center"/>
            <w:hideMark/>
          </w:tcPr>
          <w:p w14:paraId="1B4FA19D"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0.78; 0.22</w:t>
            </w:r>
          </w:p>
        </w:tc>
      </w:tr>
      <w:tr w:rsidR="00417D53" w:rsidRPr="00BF16A1" w14:paraId="30DFC993" w14:textId="77777777" w:rsidTr="00AF7642">
        <w:trPr>
          <w:trHeight w:val="300"/>
          <w:jc w:val="center"/>
        </w:trPr>
        <w:tc>
          <w:tcPr>
            <w:tcW w:w="1300" w:type="dxa"/>
            <w:tcBorders>
              <w:top w:val="nil"/>
              <w:left w:val="nil"/>
              <w:bottom w:val="nil"/>
              <w:right w:val="nil"/>
            </w:tcBorders>
            <w:shd w:val="clear" w:color="auto" w:fill="auto"/>
            <w:vAlign w:val="center"/>
            <w:hideMark/>
          </w:tcPr>
          <w:p w14:paraId="35026ED6"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Sample 6</w:t>
            </w:r>
          </w:p>
        </w:tc>
        <w:tc>
          <w:tcPr>
            <w:tcW w:w="1300" w:type="dxa"/>
            <w:tcBorders>
              <w:top w:val="nil"/>
              <w:left w:val="nil"/>
              <w:bottom w:val="nil"/>
              <w:right w:val="nil"/>
            </w:tcBorders>
            <w:shd w:val="clear" w:color="auto" w:fill="auto"/>
            <w:vAlign w:val="center"/>
            <w:hideMark/>
          </w:tcPr>
          <w:p w14:paraId="3962DD29"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1338</w:t>
            </w:r>
          </w:p>
        </w:tc>
        <w:tc>
          <w:tcPr>
            <w:tcW w:w="1300" w:type="dxa"/>
            <w:tcBorders>
              <w:top w:val="nil"/>
              <w:left w:val="nil"/>
              <w:bottom w:val="nil"/>
              <w:right w:val="nil"/>
            </w:tcBorders>
            <w:shd w:val="clear" w:color="auto" w:fill="auto"/>
            <w:vAlign w:val="center"/>
            <w:hideMark/>
          </w:tcPr>
          <w:p w14:paraId="20CB4A6F"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353</w:t>
            </w:r>
          </w:p>
        </w:tc>
        <w:tc>
          <w:tcPr>
            <w:tcW w:w="1300" w:type="dxa"/>
            <w:tcBorders>
              <w:top w:val="nil"/>
              <w:left w:val="nil"/>
              <w:bottom w:val="nil"/>
              <w:right w:val="nil"/>
            </w:tcBorders>
            <w:shd w:val="clear" w:color="auto" w:fill="auto"/>
            <w:vAlign w:val="center"/>
            <w:hideMark/>
          </w:tcPr>
          <w:p w14:paraId="31F34450"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0.85</w:t>
            </w:r>
          </w:p>
        </w:tc>
        <w:tc>
          <w:tcPr>
            <w:tcW w:w="1300" w:type="dxa"/>
            <w:tcBorders>
              <w:top w:val="nil"/>
              <w:left w:val="nil"/>
              <w:bottom w:val="nil"/>
              <w:right w:val="nil"/>
            </w:tcBorders>
            <w:shd w:val="clear" w:color="auto" w:fill="auto"/>
            <w:vAlign w:val="center"/>
            <w:hideMark/>
          </w:tcPr>
          <w:p w14:paraId="5C908F8C"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0.77; 0.23</w:t>
            </w:r>
          </w:p>
        </w:tc>
      </w:tr>
      <w:tr w:rsidR="00417D53" w:rsidRPr="00BF16A1" w14:paraId="2CF4BC97" w14:textId="77777777" w:rsidTr="00AF7642">
        <w:trPr>
          <w:trHeight w:val="300"/>
          <w:jc w:val="center"/>
        </w:trPr>
        <w:tc>
          <w:tcPr>
            <w:tcW w:w="1300" w:type="dxa"/>
            <w:tcBorders>
              <w:top w:val="nil"/>
              <w:left w:val="nil"/>
              <w:bottom w:val="nil"/>
              <w:right w:val="nil"/>
            </w:tcBorders>
            <w:shd w:val="clear" w:color="auto" w:fill="auto"/>
            <w:vAlign w:val="center"/>
            <w:hideMark/>
          </w:tcPr>
          <w:p w14:paraId="1444CC78"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Sample 7</w:t>
            </w:r>
          </w:p>
        </w:tc>
        <w:tc>
          <w:tcPr>
            <w:tcW w:w="1300" w:type="dxa"/>
            <w:tcBorders>
              <w:top w:val="nil"/>
              <w:left w:val="nil"/>
              <w:bottom w:val="nil"/>
              <w:right w:val="nil"/>
            </w:tcBorders>
            <w:shd w:val="clear" w:color="auto" w:fill="auto"/>
            <w:vAlign w:val="center"/>
            <w:hideMark/>
          </w:tcPr>
          <w:p w14:paraId="2E64D6AF"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1332</w:t>
            </w:r>
          </w:p>
        </w:tc>
        <w:tc>
          <w:tcPr>
            <w:tcW w:w="1300" w:type="dxa"/>
            <w:tcBorders>
              <w:top w:val="nil"/>
              <w:left w:val="nil"/>
              <w:bottom w:val="nil"/>
              <w:right w:val="nil"/>
            </w:tcBorders>
            <w:shd w:val="clear" w:color="auto" w:fill="auto"/>
            <w:vAlign w:val="center"/>
            <w:hideMark/>
          </w:tcPr>
          <w:p w14:paraId="6D8CCF2A"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457</w:t>
            </w:r>
          </w:p>
        </w:tc>
        <w:tc>
          <w:tcPr>
            <w:tcW w:w="1300" w:type="dxa"/>
            <w:tcBorders>
              <w:top w:val="nil"/>
              <w:left w:val="nil"/>
              <w:bottom w:val="nil"/>
              <w:right w:val="nil"/>
            </w:tcBorders>
            <w:shd w:val="clear" w:color="auto" w:fill="auto"/>
            <w:vAlign w:val="center"/>
            <w:hideMark/>
          </w:tcPr>
          <w:p w14:paraId="4DF4650F"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0.88</w:t>
            </w:r>
          </w:p>
        </w:tc>
        <w:tc>
          <w:tcPr>
            <w:tcW w:w="1300" w:type="dxa"/>
            <w:tcBorders>
              <w:top w:val="nil"/>
              <w:left w:val="nil"/>
              <w:bottom w:val="nil"/>
              <w:right w:val="nil"/>
            </w:tcBorders>
            <w:shd w:val="clear" w:color="auto" w:fill="auto"/>
            <w:vAlign w:val="center"/>
            <w:hideMark/>
          </w:tcPr>
          <w:p w14:paraId="33D5D262"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0.80; 0.20</w:t>
            </w:r>
          </w:p>
        </w:tc>
      </w:tr>
      <w:tr w:rsidR="00417D53" w:rsidRPr="00BF16A1" w14:paraId="2BC9F910" w14:textId="77777777" w:rsidTr="00AF7642">
        <w:trPr>
          <w:trHeight w:val="300"/>
          <w:jc w:val="center"/>
        </w:trPr>
        <w:tc>
          <w:tcPr>
            <w:tcW w:w="1300" w:type="dxa"/>
            <w:tcBorders>
              <w:top w:val="nil"/>
              <w:left w:val="nil"/>
              <w:bottom w:val="nil"/>
              <w:right w:val="nil"/>
            </w:tcBorders>
            <w:shd w:val="clear" w:color="auto" w:fill="auto"/>
            <w:vAlign w:val="center"/>
            <w:hideMark/>
          </w:tcPr>
          <w:p w14:paraId="43F3AF2B"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Sample 8</w:t>
            </w:r>
          </w:p>
        </w:tc>
        <w:tc>
          <w:tcPr>
            <w:tcW w:w="1300" w:type="dxa"/>
            <w:tcBorders>
              <w:top w:val="nil"/>
              <w:left w:val="nil"/>
              <w:bottom w:val="nil"/>
              <w:right w:val="nil"/>
            </w:tcBorders>
            <w:shd w:val="clear" w:color="auto" w:fill="auto"/>
            <w:vAlign w:val="center"/>
            <w:hideMark/>
          </w:tcPr>
          <w:p w14:paraId="7693D4F1"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1378</w:t>
            </w:r>
          </w:p>
        </w:tc>
        <w:tc>
          <w:tcPr>
            <w:tcW w:w="1300" w:type="dxa"/>
            <w:tcBorders>
              <w:top w:val="nil"/>
              <w:left w:val="nil"/>
              <w:bottom w:val="nil"/>
              <w:right w:val="nil"/>
            </w:tcBorders>
            <w:shd w:val="clear" w:color="auto" w:fill="auto"/>
            <w:vAlign w:val="center"/>
            <w:hideMark/>
          </w:tcPr>
          <w:p w14:paraId="205D16F7"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372</w:t>
            </w:r>
          </w:p>
        </w:tc>
        <w:tc>
          <w:tcPr>
            <w:tcW w:w="1300" w:type="dxa"/>
            <w:tcBorders>
              <w:top w:val="nil"/>
              <w:left w:val="nil"/>
              <w:bottom w:val="nil"/>
              <w:right w:val="nil"/>
            </w:tcBorders>
            <w:shd w:val="clear" w:color="auto" w:fill="auto"/>
            <w:vAlign w:val="center"/>
            <w:hideMark/>
          </w:tcPr>
          <w:p w14:paraId="2E46CD7C"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0.84</w:t>
            </w:r>
          </w:p>
        </w:tc>
        <w:tc>
          <w:tcPr>
            <w:tcW w:w="1300" w:type="dxa"/>
            <w:tcBorders>
              <w:top w:val="nil"/>
              <w:left w:val="nil"/>
              <w:bottom w:val="nil"/>
              <w:right w:val="nil"/>
            </w:tcBorders>
            <w:shd w:val="clear" w:color="auto" w:fill="auto"/>
            <w:vAlign w:val="center"/>
            <w:hideMark/>
          </w:tcPr>
          <w:p w14:paraId="6D45DA06"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0.78; 0.22</w:t>
            </w:r>
          </w:p>
        </w:tc>
      </w:tr>
      <w:tr w:rsidR="00417D53" w:rsidRPr="00BF16A1" w14:paraId="2813F60D" w14:textId="77777777" w:rsidTr="00AF7642">
        <w:trPr>
          <w:trHeight w:val="300"/>
          <w:jc w:val="center"/>
        </w:trPr>
        <w:tc>
          <w:tcPr>
            <w:tcW w:w="1300" w:type="dxa"/>
            <w:tcBorders>
              <w:top w:val="nil"/>
              <w:left w:val="nil"/>
              <w:bottom w:val="nil"/>
              <w:right w:val="nil"/>
            </w:tcBorders>
            <w:shd w:val="clear" w:color="auto" w:fill="auto"/>
            <w:vAlign w:val="center"/>
            <w:hideMark/>
          </w:tcPr>
          <w:p w14:paraId="7E64AF67"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Sample 9</w:t>
            </w:r>
          </w:p>
        </w:tc>
        <w:tc>
          <w:tcPr>
            <w:tcW w:w="1300" w:type="dxa"/>
            <w:tcBorders>
              <w:top w:val="nil"/>
              <w:left w:val="nil"/>
              <w:bottom w:val="nil"/>
              <w:right w:val="nil"/>
            </w:tcBorders>
            <w:shd w:val="clear" w:color="auto" w:fill="auto"/>
            <w:vAlign w:val="center"/>
            <w:hideMark/>
          </w:tcPr>
          <w:p w14:paraId="77AA0564"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1378</w:t>
            </w:r>
          </w:p>
        </w:tc>
        <w:tc>
          <w:tcPr>
            <w:tcW w:w="1300" w:type="dxa"/>
            <w:tcBorders>
              <w:top w:val="nil"/>
              <w:left w:val="nil"/>
              <w:bottom w:val="nil"/>
              <w:right w:val="nil"/>
            </w:tcBorders>
            <w:shd w:val="clear" w:color="auto" w:fill="auto"/>
            <w:vAlign w:val="center"/>
            <w:hideMark/>
          </w:tcPr>
          <w:p w14:paraId="509DBAA6"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411</w:t>
            </w:r>
          </w:p>
        </w:tc>
        <w:tc>
          <w:tcPr>
            <w:tcW w:w="1300" w:type="dxa"/>
            <w:tcBorders>
              <w:top w:val="nil"/>
              <w:left w:val="nil"/>
              <w:bottom w:val="nil"/>
              <w:right w:val="nil"/>
            </w:tcBorders>
            <w:shd w:val="clear" w:color="auto" w:fill="auto"/>
            <w:vAlign w:val="center"/>
            <w:hideMark/>
          </w:tcPr>
          <w:p w14:paraId="4E0E4CBE"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0.87</w:t>
            </w:r>
          </w:p>
        </w:tc>
        <w:tc>
          <w:tcPr>
            <w:tcW w:w="1300" w:type="dxa"/>
            <w:tcBorders>
              <w:top w:val="nil"/>
              <w:left w:val="nil"/>
              <w:bottom w:val="nil"/>
              <w:right w:val="nil"/>
            </w:tcBorders>
            <w:shd w:val="clear" w:color="auto" w:fill="auto"/>
            <w:vAlign w:val="center"/>
            <w:hideMark/>
          </w:tcPr>
          <w:p w14:paraId="15A2F815"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0.77; 0.23</w:t>
            </w:r>
          </w:p>
        </w:tc>
      </w:tr>
      <w:tr w:rsidR="00417D53" w:rsidRPr="00BF16A1" w14:paraId="4C0C0E13" w14:textId="77777777" w:rsidTr="00AF7642">
        <w:trPr>
          <w:trHeight w:val="300"/>
          <w:jc w:val="center"/>
        </w:trPr>
        <w:tc>
          <w:tcPr>
            <w:tcW w:w="1300" w:type="dxa"/>
            <w:tcBorders>
              <w:top w:val="nil"/>
              <w:left w:val="nil"/>
              <w:bottom w:val="single" w:sz="4" w:space="0" w:color="auto"/>
              <w:right w:val="nil"/>
            </w:tcBorders>
            <w:shd w:val="clear" w:color="auto" w:fill="auto"/>
            <w:vAlign w:val="center"/>
            <w:hideMark/>
          </w:tcPr>
          <w:p w14:paraId="20D321F2"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Sample 10</w:t>
            </w:r>
          </w:p>
        </w:tc>
        <w:tc>
          <w:tcPr>
            <w:tcW w:w="1300" w:type="dxa"/>
            <w:tcBorders>
              <w:top w:val="nil"/>
              <w:left w:val="nil"/>
              <w:bottom w:val="single" w:sz="4" w:space="0" w:color="auto"/>
              <w:right w:val="nil"/>
            </w:tcBorders>
            <w:shd w:val="clear" w:color="auto" w:fill="auto"/>
            <w:vAlign w:val="center"/>
            <w:hideMark/>
          </w:tcPr>
          <w:p w14:paraId="5ECA16DB"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1389</w:t>
            </w:r>
          </w:p>
        </w:tc>
        <w:tc>
          <w:tcPr>
            <w:tcW w:w="1300" w:type="dxa"/>
            <w:tcBorders>
              <w:top w:val="nil"/>
              <w:left w:val="nil"/>
              <w:bottom w:val="single" w:sz="4" w:space="0" w:color="auto"/>
              <w:right w:val="nil"/>
            </w:tcBorders>
            <w:shd w:val="clear" w:color="auto" w:fill="auto"/>
            <w:vAlign w:val="center"/>
            <w:hideMark/>
          </w:tcPr>
          <w:p w14:paraId="09DBB684"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382</w:t>
            </w:r>
          </w:p>
        </w:tc>
        <w:tc>
          <w:tcPr>
            <w:tcW w:w="1300" w:type="dxa"/>
            <w:tcBorders>
              <w:top w:val="nil"/>
              <w:left w:val="nil"/>
              <w:bottom w:val="single" w:sz="4" w:space="0" w:color="auto"/>
              <w:right w:val="nil"/>
            </w:tcBorders>
            <w:shd w:val="clear" w:color="auto" w:fill="auto"/>
            <w:vAlign w:val="center"/>
            <w:hideMark/>
          </w:tcPr>
          <w:p w14:paraId="4CF58918"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0.88</w:t>
            </w:r>
          </w:p>
        </w:tc>
        <w:tc>
          <w:tcPr>
            <w:tcW w:w="1300" w:type="dxa"/>
            <w:tcBorders>
              <w:top w:val="nil"/>
              <w:left w:val="nil"/>
              <w:bottom w:val="single" w:sz="4" w:space="0" w:color="auto"/>
              <w:right w:val="nil"/>
            </w:tcBorders>
            <w:shd w:val="clear" w:color="auto" w:fill="auto"/>
            <w:vAlign w:val="center"/>
            <w:hideMark/>
          </w:tcPr>
          <w:p w14:paraId="02993ED4" w14:textId="77777777" w:rsidR="00417D53" w:rsidRPr="00BF16A1" w:rsidRDefault="00417D5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0.77; 0.23</w:t>
            </w:r>
          </w:p>
        </w:tc>
      </w:tr>
    </w:tbl>
    <w:p w14:paraId="0584DE8D" w14:textId="77777777" w:rsidR="00417D53" w:rsidRPr="00BF16A1" w:rsidRDefault="00417D53" w:rsidP="00417D53">
      <w:pPr>
        <w:pStyle w:val="Normal1"/>
        <w:spacing w:line="240" w:lineRule="auto"/>
        <w:jc w:val="both"/>
        <w:rPr>
          <w:rFonts w:ascii="Calibri" w:eastAsia="Calibri" w:hAnsi="Calibri" w:cs="Calibri"/>
        </w:rPr>
      </w:pPr>
    </w:p>
    <w:p w14:paraId="555A8410" w14:textId="77777777" w:rsidR="00417D53" w:rsidRPr="00BF16A1" w:rsidRDefault="00417D53" w:rsidP="00417D53">
      <w:pPr>
        <w:spacing w:line="240" w:lineRule="auto"/>
        <w:jc w:val="both"/>
        <w:rPr>
          <w:rFonts w:ascii="Calibri" w:eastAsia="Calibri" w:hAnsi="Calibri" w:cs="Calibri"/>
        </w:rPr>
      </w:pPr>
      <w:r w:rsidRPr="00BF16A1">
        <w:rPr>
          <w:rFonts w:ascii="Calibri" w:eastAsia="Calibri" w:hAnsi="Calibri" w:cs="Calibri"/>
        </w:rPr>
        <w:t>In aggregate, these sensitivity analyses (Supplementary Tables 6.1-6.3), add to our conclusions that the LCA model adequately distinguished the underlying probability of latrine use through use of psychosocial variables. With the ability to assess error in the final latent variable classifications, we also suggest that our models are minimally biased relative to the bias that would be included in self-reported latrine use variables.</w:t>
      </w:r>
    </w:p>
    <w:p w14:paraId="0C894689" w14:textId="77777777" w:rsidR="00417D53" w:rsidRPr="00BF16A1" w:rsidRDefault="00417D53" w:rsidP="00417D53">
      <w:pPr>
        <w:spacing w:line="240" w:lineRule="auto"/>
        <w:jc w:val="both"/>
        <w:rPr>
          <w:rFonts w:ascii="Calibri" w:eastAsia="Calibri" w:hAnsi="Calibri" w:cs="Calibri"/>
        </w:rPr>
      </w:pPr>
    </w:p>
    <w:p w14:paraId="0963BEC1" w14:textId="77777777" w:rsidR="00417D53" w:rsidRPr="00BF16A1" w:rsidRDefault="00417D53" w:rsidP="00417D53">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Calibri" w:hAnsi="Calibri" w:cs="Calibri"/>
          <w:b/>
        </w:rPr>
      </w:pPr>
    </w:p>
    <w:sectPr w:rsidR="00417D53" w:rsidRPr="00BF16A1" w:rsidSect="005E32E2">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D53"/>
    <w:rsid w:val="00417D53"/>
    <w:rsid w:val="00562172"/>
    <w:rsid w:val="00621C56"/>
    <w:rsid w:val="008D41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AF9A8F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17D53"/>
    <w:pPr>
      <w:pBdr>
        <w:top w:val="nil"/>
        <w:left w:val="nil"/>
        <w:bottom w:val="nil"/>
        <w:right w:val="nil"/>
        <w:between w:val="nil"/>
      </w:pBdr>
      <w:spacing w:line="276" w:lineRule="auto"/>
    </w:pPr>
    <w:rPr>
      <w:rFonts w:ascii="Arial" w:eastAsia="Arial" w:hAnsi="Arial" w:cs="Arial"/>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417D53"/>
    <w:pPr>
      <w:pBdr>
        <w:top w:val="nil"/>
        <w:left w:val="nil"/>
        <w:bottom w:val="nil"/>
        <w:right w:val="nil"/>
        <w:between w:val="nil"/>
      </w:pBdr>
      <w:spacing w:line="276" w:lineRule="auto"/>
    </w:pPr>
    <w:rPr>
      <w:rFonts w:ascii="Arial" w:eastAsia="Arial" w:hAnsi="Arial" w:cs="Arial"/>
      <w:color w:val="000000"/>
      <w:sz w:val="22"/>
      <w:szCs w:val="22"/>
      <w:lang w:val="e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17D53"/>
    <w:pPr>
      <w:pBdr>
        <w:top w:val="nil"/>
        <w:left w:val="nil"/>
        <w:bottom w:val="nil"/>
        <w:right w:val="nil"/>
        <w:between w:val="nil"/>
      </w:pBdr>
      <w:spacing w:line="276" w:lineRule="auto"/>
    </w:pPr>
    <w:rPr>
      <w:rFonts w:ascii="Arial" w:eastAsia="Arial" w:hAnsi="Arial" w:cs="Arial"/>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417D53"/>
    <w:pPr>
      <w:pBdr>
        <w:top w:val="nil"/>
        <w:left w:val="nil"/>
        <w:bottom w:val="nil"/>
        <w:right w:val="nil"/>
        <w:between w:val="nil"/>
      </w:pBdr>
      <w:spacing w:line="276" w:lineRule="auto"/>
    </w:pPr>
    <w:rPr>
      <w:rFonts w:ascii="Arial" w:eastAsia="Arial" w:hAnsi="Arial" w:cs="Arial"/>
      <w:color w:val="000000"/>
      <w:sz w:val="22"/>
      <w:szCs w:val="2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1055</Words>
  <Characters>6018</Characters>
  <Application>Microsoft Macintosh Word</Application>
  <DocSecurity>0</DocSecurity>
  <Lines>50</Lines>
  <Paragraphs>14</Paragraphs>
  <ScaleCrop>false</ScaleCrop>
  <Company/>
  <LinksUpToDate>false</LinksUpToDate>
  <CharactersWithSpaces>7059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Velma Lopez</dc:creator>
  <cp:keywords/>
  <dc:description/>
  <cp:lastModifiedBy>Velma Lopez</cp:lastModifiedBy>
  <cp:revision>3</cp:revision>
  <dcterms:created xsi:type="dcterms:W3CDTF">2019-01-06T04:26:00Z</dcterms:created>
  <dcterms:modified xsi:type="dcterms:W3CDTF">2019-01-06T04:37:00Z</dcterms:modified>
</cp:coreProperties>
</file>