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EA3" w:rsidRPr="00A143CF" w:rsidRDefault="00E35852" w:rsidP="00BB2EA3">
      <w:pPr>
        <w:pStyle w:val="Heading2"/>
        <w:rPr>
          <w:rFonts w:ascii="Arial" w:hAnsi="Arial" w:cs="Arial"/>
          <w:sz w:val="22"/>
          <w:szCs w:val="22"/>
        </w:rPr>
      </w:pPr>
      <w:bookmarkStart w:id="0" w:name="_Toc524453976"/>
      <w:r w:rsidRPr="00E35852">
        <w:rPr>
          <w:rFonts w:ascii="Arial" w:hAnsi="Arial" w:cs="Arial"/>
          <w:sz w:val="22"/>
          <w:szCs w:val="22"/>
        </w:rPr>
        <w:t xml:space="preserve">Additional </w:t>
      </w:r>
      <w:r>
        <w:rPr>
          <w:rFonts w:ascii="Arial" w:hAnsi="Arial" w:cs="Arial"/>
          <w:sz w:val="22"/>
          <w:szCs w:val="22"/>
        </w:rPr>
        <w:t xml:space="preserve">File </w:t>
      </w:r>
      <w:r w:rsidR="00175A87">
        <w:rPr>
          <w:rFonts w:ascii="Arial" w:hAnsi="Arial" w:cs="Arial"/>
          <w:sz w:val="22"/>
          <w:szCs w:val="22"/>
        </w:rPr>
        <w:t>2 (AF2)</w:t>
      </w:r>
      <w:r w:rsidR="00BB2EA3" w:rsidRPr="00A143CF">
        <w:rPr>
          <w:rFonts w:ascii="Arial" w:hAnsi="Arial" w:cs="Arial"/>
          <w:sz w:val="22"/>
          <w:szCs w:val="22"/>
        </w:rPr>
        <w:t xml:space="preserve">: Mapping </w:t>
      </w:r>
      <w:r w:rsidR="00A143CF">
        <w:rPr>
          <w:rFonts w:ascii="Arial" w:hAnsi="Arial" w:cs="Arial"/>
          <w:sz w:val="22"/>
          <w:szCs w:val="22"/>
        </w:rPr>
        <w:t xml:space="preserve">district boundaries to </w:t>
      </w:r>
      <w:r w:rsidR="00BB2EA3" w:rsidRPr="00A143CF">
        <w:rPr>
          <w:rFonts w:ascii="Arial" w:hAnsi="Arial" w:cs="Arial"/>
          <w:sz w:val="22"/>
          <w:szCs w:val="22"/>
        </w:rPr>
        <w:t xml:space="preserve">county </w:t>
      </w:r>
      <w:bookmarkEnd w:id="0"/>
      <w:r w:rsidR="00A143CF">
        <w:rPr>
          <w:rFonts w:ascii="Arial" w:hAnsi="Arial" w:cs="Arial"/>
          <w:sz w:val="22"/>
          <w:szCs w:val="22"/>
        </w:rPr>
        <w:t xml:space="preserve">equivalent </w:t>
      </w:r>
    </w:p>
    <w:p w:rsidR="00BB2EA3" w:rsidRPr="00A143CF" w:rsidRDefault="00BB2EA3" w:rsidP="00BB2EA3">
      <w:pPr>
        <w:spacing w:after="0" w:line="240" w:lineRule="auto"/>
        <w:rPr>
          <w:rFonts w:cs="Arial"/>
          <w:sz w:val="22"/>
        </w:rPr>
      </w:pPr>
    </w:p>
    <w:p w:rsidR="00BB2EA3" w:rsidRPr="00E35852" w:rsidRDefault="00BB2EA3" w:rsidP="00BB2EA3">
      <w:pPr>
        <w:spacing w:line="360" w:lineRule="auto"/>
        <w:rPr>
          <w:rFonts w:cs="Arial"/>
          <w:szCs w:val="24"/>
        </w:rPr>
      </w:pPr>
      <w:r w:rsidRPr="00E35852">
        <w:rPr>
          <w:rFonts w:cs="Arial"/>
          <w:szCs w:val="24"/>
        </w:rPr>
        <w:t xml:space="preserve">The county was used as the </w:t>
      </w:r>
      <w:bookmarkStart w:id="1" w:name="_GoBack"/>
      <w:bookmarkEnd w:id="1"/>
      <w:r w:rsidRPr="00E35852">
        <w:rPr>
          <w:rFonts w:cs="Arial"/>
          <w:szCs w:val="24"/>
        </w:rPr>
        <w:t>unit of analysis since it’s the resource allocation and decision-making unit in Kenya. Counties came into effect after the promulgation of the new constitution in 2010 and the 2013 general elections. Kenya became a decentralized state, with a central government and 47 semi-autonomous county governments</w:t>
      </w:r>
      <w:r w:rsidR="00A143CF" w:rsidRPr="00E35852">
        <w:rPr>
          <w:rFonts w:cs="Arial"/>
          <w:szCs w:val="24"/>
        </w:rPr>
        <w:t xml:space="preserve"> </w:t>
      </w:r>
      <w:r w:rsidR="00A143CF" w:rsidRPr="00E35852">
        <w:rPr>
          <w:rFonts w:cs="Arial"/>
          <w:szCs w:val="24"/>
        </w:rPr>
        <w:fldChar w:fldCharType="begin" w:fldLock="1"/>
      </w:r>
      <w:r w:rsidR="00E35852" w:rsidRPr="00E35852">
        <w:rPr>
          <w:rFonts w:cs="Arial"/>
          <w:szCs w:val="24"/>
        </w:rPr>
        <w:instrText>ADDIN CSL_CITATION {"citationItems":[{"id":"ITEM-1","itemData":{"DOI":"10.1371/journal.pone.0182440","ISBN":"1111111111","ISSN":"19326203","abstract":"© 2017 Barasa et al. This is an open access article distributed under the terms of the Creative Commons Attribution License, which permits unrestricted use, distribution, and reproduction in any medium, provided the original author and source are credited. Background: In 2013, Kenya transitioned into a devolved system of government with a central government and 47 semi-autonomous county governments. In this paper, we report early experiences of devolution in the Kenyan health sector, with a focus on public county hospitals. Specifically, we examine changes in hospital autonomy as a result of devolution, and how these have affected hospital functioning. Methods: We used a qualitative case study approach to examine the level of autonomy that hospitals had over key management functions and how this had affected hospital functioning in three county hospitals in coastal Kenya. We collected data by in-depth interviews of county health managers and hospital managers in the case study hospitals (n = 21). We adopted the framework proposed by Chawla et al (1995) to examine the autonomy that hospitals had over five management domains (strategic management, finance, procurement, human resource, and administration), and how these influenced hospital functioning. Findings: Devolution had resulted in a substantial reduction in the autonomy of county hospitals over the five key functions examined. This resulted in weakened hospital management and leadership, reduced community participation in hospital affairs, compromised quality of services, reduced motivation among hospital staff, non-alignment of county and hospital priorities, staff insubordination, and compromised quality of care. Conclusion: Increasing the autonomy of county hospitals in Kenya will improve their functioning. County governments should develop legislation that give hospitals greater control over resources and key management functions.","author":[{"dropping-particle":"","family":"Barasa","given":"Edwine W.","non-dropping-particle":"","parse-names":false,"suffix":""},{"dropping-particle":"","family":"Manyara","given":"Anthony M.","non-dropping-particle":"","parse-names":false,"suffix":""},{"dropping-particle":"","family":"Molyneux","given":"Sassy","non-dropping-particle":"","parse-names":false,"suffix":""},{"dropping-particle":"","family":"Tsofa","given":"Benjamin","non-dropping-particle":"","parse-names":false,"suffix":""}],"container-title":"PLoS ONE","id":"ITEM-1","issue":"8","issued":{"date-parts":[["2017"]]},"page":"e0182440","title":"Recentralization within decentralization: County hospital autonomy under devolution in Kenya","type":"article-journal","volume":"12"},"uris":["http://www.mendeley.com/documents/?uuid=2ccbcb8d-6770-473d-846a-64ce0d1357a3"]},{"id":"ITEM-2","itemData":{"URL":"http://kenyalaw.org/kl/index.php?id=398","abstract":"We, the people of Kenya— Acknowledging the supremacy of the Almighty God of all creation: Honouring those who heroically struggled to bring freedom and justice to our land: Proud of our ethnic, cultural and religious diversity, and determined to live in peace and unity as one indivisible sovereign nation: Respectful of the environment, which is our heritage, and determined to sustain it for the benefit of future generations: Committed to nurturing and protecting the well-being of the individual, the family, communities and the nation: Recognising the aspirations of all Kenyans for a government based on the essential values of human rights, equality, freedom, democracy, social justice and the rule of law: Exercising our sovereign and inalienable right to determine the form of governance of our country and having participated fully in the making of this Constitution: Adopt, Enact and give this Constitution to ourselves and to our future generations.","accessed":{"date-parts":[["2017","7","1"]]},"author":[{"dropping-particle":"","family":"Government of Kenya","given":"","non-dropping-particle":"","parse-names":false,"suffix":""}],"id":"ITEM-2","issued":{"date-parts":[["2010"]]},"publisher-place":"Kenya","title":"The Constitution of Kenya","type":"webpage"},"uris":["http://www.mendeley.com/documents/?uuid=92b4647b-19f4-4bfa-aea3-8773674155ae"]}],"mendeley":{"formattedCitation":"[1, 2]","plainTextFormattedCitation":"[1, 2]","previouslyFormattedCitation":"[1,2]"},"properties":{"noteIndex":0},"schema":"https://github.com/citation-style-language/schema/raw/master/csl-citation.json"}</w:instrText>
      </w:r>
      <w:r w:rsidR="00A143CF" w:rsidRPr="00E35852">
        <w:rPr>
          <w:rFonts w:cs="Arial"/>
          <w:szCs w:val="24"/>
        </w:rPr>
        <w:fldChar w:fldCharType="separate"/>
      </w:r>
      <w:r w:rsidR="00E35852" w:rsidRPr="00E35852">
        <w:rPr>
          <w:rFonts w:cs="Arial"/>
          <w:noProof/>
          <w:szCs w:val="24"/>
        </w:rPr>
        <w:t>[1, 2]</w:t>
      </w:r>
      <w:r w:rsidR="00A143CF" w:rsidRPr="00E35852">
        <w:rPr>
          <w:rFonts w:cs="Arial"/>
          <w:szCs w:val="24"/>
        </w:rPr>
        <w:fldChar w:fldCharType="end"/>
      </w:r>
      <w:r w:rsidRPr="00E35852">
        <w:rPr>
          <w:rFonts w:cs="Arial"/>
          <w:szCs w:val="24"/>
        </w:rPr>
        <w:t>. However, before counties became operational, districts were used as the administrative units</w:t>
      </w:r>
      <w:r w:rsidR="00A143CF" w:rsidRPr="00E35852">
        <w:rPr>
          <w:rFonts w:cs="Arial"/>
          <w:szCs w:val="24"/>
        </w:rPr>
        <w:t xml:space="preserve"> </w:t>
      </w:r>
      <w:r w:rsidR="00A143CF" w:rsidRPr="00E35852">
        <w:rPr>
          <w:rFonts w:cs="Arial"/>
          <w:szCs w:val="24"/>
        </w:rPr>
        <w:fldChar w:fldCharType="begin" w:fldLock="1"/>
      </w:r>
      <w:r w:rsidR="00E35852" w:rsidRPr="00E35852">
        <w:rPr>
          <w:rFonts w:cs="Arial"/>
          <w:szCs w:val="24"/>
        </w:rPr>
        <w:instrText>ADDIN CSL_CITATION {"citationItems":[{"id":"ITEM-1","itemData":{"DOI":"10.1016/S0168-8510(02)00164-1","ISBN":"0168-8510","ISSN":"01688510","PMID":"12644333","abstract":"The paper examines health sector reforms in Kenya at the district level based on the Government of Kenya's Health Policy Framework of 1994. The authors present the context of and historical perspective to health sector reforms in Kenya and discuss the major reform policies including decentralization to the district level. The authors then review intended policy outcomes, investigating assumptions on which the implementation and effectiveness of the reform agenda at the local level are based. The authors argue that emphasis on outcomes rather than process have not supported sustainable reforms or achieved the government's goal of improving health and ensuring equity for the citizens of the country. © 2003 Elsevier Science Ireland Ltd. All rights reserved.","author":[{"dropping-particle":"","family":"Oyaya","given":"Charles O.","non-dropping-particle":"","parse-names":false,"suffix":""},{"dropping-particle":"","family":"Rifkin","given":"Susan B.","non-dropping-particle":"","parse-names":false,"suffix":""}],"container-title":"Health Policy","id":"ITEM-1","issue":"1","issued":{"date-parts":[["2003"]]},"page":"113-127","title":"Health sector reforms in Kenya: An examination of district level planning","type":"article-journal","volume":"64"},"uris":["http://www.mendeley.com/documents/?uuid=1ac58d26-3b18-4599-b474-4a6732f57d65"]},{"id":"ITEM-2","itemData":{"DOI":"10.1016/0168-8510(95)00738-E","ISBN":"0168-8510 (Print)\r0168-8510 (Linking)","ISSN":"01688510","PMID":"10156641","abstract":"The paper looks at the process of health care reform in Kenya during the past 30 years, with a focus on implementation strategies. The data are from official documents of the government. The main finding is that development plans served as the medium through which the government announced its intentions as well as its decisions to implement reforms. A decision to implement a reform was normally accompanied by an implementation budget, whereas an announcement of an intention typically lacked such support. Some of the reforms were implemented speedily and firmly, whereas others suffered delays and reversals. Reforms were implemented with speed and firmness when research provided clear guidance on key policy issues or when political will and skill existed. Donor influence on the timing of reforms might have been excessive. Policy lessons from the process are indicated. ?? 1995.","author":[{"dropping-particle":"","family":"Mwabu","given":"Germano","non-dropping-particle":"","parse-names":false,"suffix":""}],"container-title":"Health policy","id":"ITEM-2","issue":"1-3","issued":{"date-parts":[["1995"]]},"page":"245-255","title":"Health care reform in Kenya: a review of the process","type":"article-journal","volume":"32"},"uris":["http://www.mendeley.com/documents/?uuid=13ae2007-77a3-4551-8b2d-1d9048f1a554"]}],"mendeley":{"formattedCitation":"[3, 4]","plainTextFormattedCitation":"[3, 4]","previouslyFormattedCitation":"[3,4]"},"properties":{"noteIndex":0},"schema":"https://github.com/citation-style-language/schema/raw/master/csl-citation.json"}</w:instrText>
      </w:r>
      <w:r w:rsidR="00A143CF" w:rsidRPr="00E35852">
        <w:rPr>
          <w:rFonts w:cs="Arial"/>
          <w:szCs w:val="24"/>
        </w:rPr>
        <w:fldChar w:fldCharType="separate"/>
      </w:r>
      <w:r w:rsidR="00E35852" w:rsidRPr="00E35852">
        <w:rPr>
          <w:rFonts w:cs="Arial"/>
          <w:noProof/>
          <w:szCs w:val="24"/>
        </w:rPr>
        <w:t>[3, 4]</w:t>
      </w:r>
      <w:r w:rsidR="00A143CF" w:rsidRPr="00E35852">
        <w:rPr>
          <w:rFonts w:cs="Arial"/>
          <w:szCs w:val="24"/>
        </w:rPr>
        <w:fldChar w:fldCharType="end"/>
      </w:r>
      <w:r w:rsidRPr="00E35852">
        <w:rPr>
          <w:rFonts w:cs="Arial"/>
          <w:szCs w:val="24"/>
        </w:rPr>
        <w:t xml:space="preserve">. Consequently, household surveys and population census conducted before 2010, used the districts as the administrative units. Their number and size have changed over time ranging from 41 in 1989, 69 in 1999, 72 in 2003, to 198 in 2009. Therefore, </w:t>
      </w:r>
      <w:r w:rsidR="00E35852">
        <w:rPr>
          <w:rFonts w:cs="Arial"/>
          <w:szCs w:val="24"/>
        </w:rPr>
        <w:t>all district boundaries were</w:t>
      </w:r>
      <w:r w:rsidRPr="00E35852">
        <w:rPr>
          <w:rFonts w:cs="Arial"/>
          <w:szCs w:val="24"/>
        </w:rPr>
        <w:t xml:space="preserve"> mapped to the</w:t>
      </w:r>
      <w:r w:rsidR="00E35852">
        <w:rPr>
          <w:rFonts w:cs="Arial"/>
          <w:szCs w:val="24"/>
        </w:rPr>
        <w:t>ir</w:t>
      </w:r>
      <w:r w:rsidRPr="00E35852">
        <w:rPr>
          <w:rFonts w:cs="Arial"/>
          <w:szCs w:val="24"/>
        </w:rPr>
        <w:t xml:space="preserve"> corresponding county boundaries between 1989 and 2010. A unique list indicating the districts that either split or merged and how these match</w:t>
      </w:r>
      <w:r w:rsidR="00E35852">
        <w:rPr>
          <w:rFonts w:cs="Arial"/>
          <w:szCs w:val="24"/>
        </w:rPr>
        <w:t>ed</w:t>
      </w:r>
      <w:r w:rsidRPr="00E35852">
        <w:rPr>
          <w:rFonts w:cs="Arial"/>
          <w:szCs w:val="24"/>
        </w:rPr>
        <w:t xml:space="preserve"> to the </w:t>
      </w:r>
      <w:r w:rsidR="00E35852">
        <w:rPr>
          <w:rFonts w:cs="Arial"/>
          <w:szCs w:val="24"/>
        </w:rPr>
        <w:t xml:space="preserve">existing </w:t>
      </w:r>
      <w:r w:rsidRPr="00E35852">
        <w:rPr>
          <w:rFonts w:cs="Arial"/>
          <w:szCs w:val="24"/>
        </w:rPr>
        <w:t>counties was constructed.</w:t>
      </w:r>
    </w:p>
    <w:p w:rsidR="00BB2EA3" w:rsidRPr="00A143CF" w:rsidRDefault="00BB2EA3" w:rsidP="00BB2EA3">
      <w:pPr>
        <w:spacing w:after="0" w:line="360" w:lineRule="auto"/>
        <w:rPr>
          <w:rFonts w:cs="Arial"/>
          <w:sz w:val="22"/>
        </w:rPr>
      </w:pPr>
    </w:p>
    <w:p w:rsidR="00BB2EA3" w:rsidRPr="00E35852" w:rsidRDefault="00BB2EA3" w:rsidP="00BB2EA3">
      <w:pPr>
        <w:spacing w:after="0" w:line="360" w:lineRule="auto"/>
        <w:rPr>
          <w:rFonts w:cs="Arial"/>
          <w:szCs w:val="24"/>
        </w:rPr>
      </w:pPr>
      <w:r w:rsidRPr="00E35852">
        <w:rPr>
          <w:rFonts w:cs="Arial"/>
          <w:szCs w:val="24"/>
        </w:rPr>
        <w:t xml:space="preserve">Where available (DHS 2003 and 2008/09), cluster coordinates were used to map the equivalent county in ArcMap version 10·5 (ESRI Inc., Redlands, CA, USA). Otherwise, district names and codes were </w:t>
      </w:r>
      <w:r w:rsidRPr="00E35852">
        <w:rPr>
          <w:rFonts w:cs="Arial"/>
          <w:noProof/>
          <w:szCs w:val="24"/>
        </w:rPr>
        <w:t>fast-tracked</w:t>
      </w:r>
      <w:r w:rsidRPr="00E35852">
        <w:rPr>
          <w:rFonts w:cs="Arial"/>
          <w:szCs w:val="24"/>
        </w:rPr>
        <w:t xml:space="preserve"> per survey type to figure out which district codes/names matched between similar surveys e.g. all the district codes/names of DHS 1989 were </w:t>
      </w:r>
      <w:r w:rsidRPr="00E35852">
        <w:rPr>
          <w:rFonts w:cs="Arial"/>
          <w:noProof/>
          <w:szCs w:val="24"/>
        </w:rPr>
        <w:t>cross-walked</w:t>
      </w:r>
      <w:r w:rsidRPr="00E35852">
        <w:rPr>
          <w:rFonts w:cs="Arial"/>
          <w:szCs w:val="24"/>
        </w:rPr>
        <w:t xml:space="preserve"> with those of DHS 1993 followed by DHS 1998 then repeated for all </w:t>
      </w:r>
      <w:r w:rsidRPr="00E35852">
        <w:rPr>
          <w:rFonts w:cs="Arial"/>
          <w:noProof/>
          <w:szCs w:val="24"/>
        </w:rPr>
        <w:t>MICS</w:t>
      </w:r>
      <w:r w:rsidRPr="00E35852">
        <w:rPr>
          <w:rFonts w:cs="Arial"/>
          <w:szCs w:val="24"/>
        </w:rPr>
        <w:t xml:space="preserve"> and census data. This was supported by information on how districts split over time</w:t>
      </w:r>
      <w:r w:rsidR="00A143CF" w:rsidRPr="00E35852">
        <w:rPr>
          <w:rFonts w:cs="Arial"/>
          <w:szCs w:val="24"/>
        </w:rPr>
        <w:t xml:space="preserve"> </w:t>
      </w:r>
      <w:r w:rsidR="00A143CF" w:rsidRPr="00E35852">
        <w:rPr>
          <w:rFonts w:cs="Arial"/>
          <w:szCs w:val="24"/>
        </w:rPr>
        <w:fldChar w:fldCharType="begin" w:fldLock="1"/>
      </w:r>
      <w:r w:rsidR="00E35852" w:rsidRPr="00E35852">
        <w:rPr>
          <w:rFonts w:cs="Arial"/>
          <w:szCs w:val="24"/>
        </w:rPr>
        <w:instrText>ADDIN CSL_CITATION {"citationItems":[{"id":"ITEM-1","itemData":{"URL":"https://www.dhsprogram.com/Publications/Publication-Search.cfm?ctry_id=20&amp;c=Kenya&amp;Country=Kenya&amp;cn=Kenya","accessed":{"date-parts":[["2017","1","17"]]},"author":[{"dropping-particle":"","family":"NCPD","given":"","non-dropping-particle":"","parse-names":false,"suffix":""},{"dropping-particle":"","family":"CBS","given":"","non-dropping-particle":"","parse-names":false,"suffix":""},{"dropping-particle":"","family":"Macro International Inc","given":"","non-dropping-particle":"","parse-names":false,"suffix":""}],"id":"ITEM-1","issued":{"date-parts":[["1994"]]},"title":"Kenya Demographic and Health Survey 1993","type":"webpage"},"uris":["http://www.mendeley.com/documents/?uuid=a9f26e9a-be9f-4d37-9f98-88aa5ad2cc9a"]},{"id":"ITEM-2","itemData":{"URL":"http://catalog.ihsn.org/index.php/catalog/429/download/30820","accessed":{"date-parts":[["2017","6","30"]]},"author":[{"dropping-particle":"","family":"NASCOP","given":"","non-dropping-particle":"","parse-names":false,"suffix":""}],"id":"ITEM-2","issued":{"date-parts":[["2009"]]},"title":"2007 Kenya AIDS Indicator Survey: Final Report","type":"webpage"},"uris":["http://www.mendeley.com/documents/?uuid=9ba87f99-239f-49f2-97dc-434f879f33e6"]},{"id":"ITEM-3","itemData":{"URL":"https://unstats.un.org/unsd/demographic/meetings/egm/CensusMappingEGM07/docs/Kenya.pdf","accessed":{"date-parts":[["2018","2","22"]]},"author":[{"dropping-particle":"","family":"KNBS","given":"","non-dropping-particle":"","parse-names":false,"suffix":""}],"container-title":"Census Mapping and Use of Geographical Information Systems","id":"ITEM-3","issued":{"date-parts":[["2007"]]},"title":"Census Cartography: The Kenyan Exeperince","type":"webpage"},"uris":["http://www.mendeley.com/documents/?uuid=003b5403-5290-4277-bf68-6ea8108bb368"]},{"id":"ITEM-4","itemData":{"URL":"http://apps.who.int/healthinfo/systems/datacatalog/index.php/catalog/4/download/39","accessed":{"date-parts":[["2017","5","5"]]},"author":[{"dropping-particle":"","family":"Government of Kenya","given":"","non-dropping-particle":"","parse-names":false,"suffix":""}],"id":"ITEM-4","issued":{"date-parts":[["2014"]]},"page":"341","title":"Kenya Service Availability and Readiness Assessment Mapping (SARAM)","type":"webpage"},"uris":["http://www.mendeley.com/documents/?uuid=ae2f93ea-6340-4e5e-8fb1-a078b7c15773"]},{"id":"ITEM-5","itemData":{"URL":"http://www.statoids.com/yke.html","accessed":{"date-parts":[["2017","1","9"]]},"author":[{"dropping-particle":"","family":"Law","given":"Gwillim","non-dropping-particle":"","parse-names":false,"suffix":""}],"id":"ITEM-5","issued":{"date-parts":[["2013"]]},"title":"Districts of Kenya","type":"webpage"},"uris":["http://www.mendeley.com/documents/?uuid=370f15b0-12a4-4aef-97d7-bbaeeb95ffa2"]}],"mendeley":{"formattedCitation":"[5–9]","plainTextFormattedCitation":"[5–9]","previouslyFormattedCitation":"[5–9]"},"properties":{"noteIndex":0},"schema":"https://github.com/citation-style-language/schema/raw/master/csl-citation.json"}</w:instrText>
      </w:r>
      <w:r w:rsidR="00A143CF" w:rsidRPr="00E35852">
        <w:rPr>
          <w:rFonts w:cs="Arial"/>
          <w:szCs w:val="24"/>
        </w:rPr>
        <w:fldChar w:fldCharType="separate"/>
      </w:r>
      <w:r w:rsidR="00A143CF" w:rsidRPr="00E35852">
        <w:rPr>
          <w:rFonts w:cs="Arial"/>
          <w:noProof/>
          <w:szCs w:val="24"/>
        </w:rPr>
        <w:t>[5–9]</w:t>
      </w:r>
      <w:r w:rsidR="00A143CF" w:rsidRPr="00E35852">
        <w:rPr>
          <w:rFonts w:cs="Arial"/>
          <w:szCs w:val="24"/>
        </w:rPr>
        <w:fldChar w:fldCharType="end"/>
      </w:r>
      <w:r w:rsidRPr="00E35852">
        <w:rPr>
          <w:rFonts w:cs="Arial"/>
          <w:szCs w:val="24"/>
        </w:rPr>
        <w:t xml:space="preserve">, with a unique list generated after the exercise. </w:t>
      </w:r>
      <w:r w:rsidR="00E35852">
        <w:rPr>
          <w:rFonts w:cs="Arial"/>
          <w:szCs w:val="24"/>
        </w:rPr>
        <w:t>T</w:t>
      </w:r>
      <w:r w:rsidRPr="00E35852">
        <w:rPr>
          <w:rFonts w:cs="Arial"/>
          <w:szCs w:val="24"/>
        </w:rPr>
        <w:t xml:space="preserve">he results </w:t>
      </w:r>
      <w:r w:rsidR="00E35852">
        <w:rPr>
          <w:rFonts w:cs="Arial"/>
          <w:szCs w:val="24"/>
        </w:rPr>
        <w:t xml:space="preserve">were validated </w:t>
      </w:r>
      <w:r w:rsidRPr="00E35852">
        <w:rPr>
          <w:rFonts w:cs="Arial"/>
          <w:szCs w:val="24"/>
        </w:rPr>
        <w:t xml:space="preserve">by extracting and digitizing district hardcopy maps from census, survey and related reports and overlaid them on the county boundaries in ArcMap version 10·5 (ESRI Inc., Redlands, CA, USA). Where ≥ 2 districts enclosed a county, </w:t>
      </w:r>
      <w:r w:rsidR="00E35852">
        <w:rPr>
          <w:rFonts w:cs="Arial"/>
          <w:szCs w:val="24"/>
        </w:rPr>
        <w:t>data were</w:t>
      </w:r>
      <w:r w:rsidRPr="00E35852">
        <w:rPr>
          <w:rFonts w:cs="Arial"/>
          <w:szCs w:val="24"/>
        </w:rPr>
        <w:t xml:space="preserve"> aggregated and where two counties covered a single district, U5M was </w:t>
      </w:r>
      <w:r w:rsidR="00E35852">
        <w:rPr>
          <w:rFonts w:cs="Arial"/>
          <w:szCs w:val="24"/>
        </w:rPr>
        <w:t xml:space="preserve">assumed to be </w:t>
      </w:r>
      <w:r w:rsidRPr="00E35852">
        <w:rPr>
          <w:rFonts w:cs="Arial"/>
          <w:szCs w:val="24"/>
        </w:rPr>
        <w:t xml:space="preserve">equal in the two counties. </w:t>
      </w:r>
      <w:r w:rsidR="00A143CF" w:rsidRPr="00E35852">
        <w:rPr>
          <w:rFonts w:cs="Arial"/>
          <w:szCs w:val="24"/>
        </w:rPr>
        <w:t xml:space="preserve">The </w:t>
      </w:r>
      <w:r w:rsidR="00E35852">
        <w:rPr>
          <w:rFonts w:cs="Arial"/>
          <w:szCs w:val="24"/>
        </w:rPr>
        <w:t>AF</w:t>
      </w:r>
      <w:r w:rsidR="00175A87">
        <w:rPr>
          <w:rFonts w:cs="Arial"/>
          <w:szCs w:val="24"/>
        </w:rPr>
        <w:t>2</w:t>
      </w:r>
      <w:r w:rsidR="00E35852">
        <w:rPr>
          <w:rFonts w:cs="Arial"/>
          <w:szCs w:val="24"/>
        </w:rPr>
        <w:t xml:space="preserve"> </w:t>
      </w:r>
      <w:r w:rsidR="00A143CF" w:rsidRPr="00E35852">
        <w:rPr>
          <w:rFonts w:cs="Arial"/>
          <w:szCs w:val="24"/>
        </w:rPr>
        <w:t>Table</w:t>
      </w:r>
      <w:r w:rsidR="00E35852">
        <w:rPr>
          <w:rFonts w:cs="Arial"/>
          <w:szCs w:val="24"/>
        </w:rPr>
        <w:t xml:space="preserve"> 1</w:t>
      </w:r>
      <w:r w:rsidR="00A143CF" w:rsidRPr="00E35852">
        <w:rPr>
          <w:rFonts w:cs="Arial"/>
          <w:szCs w:val="24"/>
        </w:rPr>
        <w:t xml:space="preserve"> </w:t>
      </w:r>
      <w:r w:rsidRPr="00E35852">
        <w:rPr>
          <w:rFonts w:cs="Arial"/>
          <w:szCs w:val="24"/>
        </w:rPr>
        <w:t>summarizes the method used to map district to county boundary and technique used to re-distribute data across surveys.</w:t>
      </w:r>
    </w:p>
    <w:p w:rsidR="00BB2EA3" w:rsidRPr="00A143CF" w:rsidRDefault="00BB2EA3" w:rsidP="00BB2EA3">
      <w:pPr>
        <w:spacing w:after="0" w:line="240" w:lineRule="auto"/>
        <w:rPr>
          <w:rFonts w:cs="Arial"/>
          <w:sz w:val="22"/>
        </w:rPr>
      </w:pPr>
    </w:p>
    <w:p w:rsidR="00BB2EA3" w:rsidRDefault="00BB2EA3" w:rsidP="00BB2EA3">
      <w:pPr>
        <w:spacing w:after="0" w:line="240" w:lineRule="auto"/>
        <w:rPr>
          <w:rFonts w:cs="Arial"/>
          <w:sz w:val="22"/>
        </w:rPr>
      </w:pPr>
    </w:p>
    <w:p w:rsidR="00E35852" w:rsidRDefault="00E35852" w:rsidP="00BB2EA3">
      <w:pPr>
        <w:spacing w:after="0" w:line="240" w:lineRule="auto"/>
        <w:rPr>
          <w:rFonts w:cs="Arial"/>
          <w:sz w:val="22"/>
        </w:rPr>
      </w:pPr>
    </w:p>
    <w:p w:rsidR="00E35852" w:rsidRPr="00A143CF" w:rsidRDefault="00E35852" w:rsidP="00BB2EA3">
      <w:pPr>
        <w:spacing w:after="0" w:line="240" w:lineRule="auto"/>
        <w:rPr>
          <w:rFonts w:cs="Arial"/>
          <w:sz w:val="22"/>
        </w:rPr>
      </w:pPr>
    </w:p>
    <w:p w:rsidR="00BB2EA3" w:rsidRPr="00E35852" w:rsidRDefault="00E35852" w:rsidP="00E35852">
      <w:pPr>
        <w:pStyle w:val="Caption"/>
      </w:pPr>
      <w:r w:rsidRPr="00E35852">
        <w:lastRenderedPageBreak/>
        <w:t>AF</w:t>
      </w:r>
      <w:r w:rsidR="00175A87">
        <w:t>2</w:t>
      </w:r>
      <w:r w:rsidRPr="00E35852">
        <w:t xml:space="preserve"> Table 1: </w:t>
      </w:r>
      <w:r w:rsidR="00A143CF" w:rsidRPr="00E35852">
        <w:t>M</w:t>
      </w:r>
      <w:r w:rsidR="00BB2EA3" w:rsidRPr="00E35852">
        <w:t xml:space="preserve">apping district boundary to </w:t>
      </w:r>
      <w:r w:rsidRPr="00E35852">
        <w:t xml:space="preserve">equivalent </w:t>
      </w:r>
      <w:r w:rsidR="00BB2EA3" w:rsidRPr="00E35852">
        <w:t xml:space="preserve">county </w:t>
      </w:r>
      <w:r>
        <w:t>between 1989 and 2010</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730"/>
        <w:gridCol w:w="6189"/>
      </w:tblGrid>
      <w:tr w:rsidR="00BB2EA3" w:rsidRPr="00E35852" w:rsidTr="00E35852">
        <w:trPr>
          <w:trHeight w:val="417"/>
          <w:jc w:val="center"/>
        </w:trPr>
        <w:tc>
          <w:tcPr>
            <w:tcW w:w="1676" w:type="dxa"/>
            <w:shd w:val="clear" w:color="auto" w:fill="auto"/>
          </w:tcPr>
          <w:p w:rsidR="00BB2EA3" w:rsidRPr="00E35852" w:rsidRDefault="00BB2EA3" w:rsidP="00C80D1A">
            <w:pPr>
              <w:spacing w:after="0" w:line="240" w:lineRule="auto"/>
              <w:jc w:val="center"/>
              <w:rPr>
                <w:rFonts w:cs="Arial"/>
                <w:b/>
                <w:szCs w:val="24"/>
              </w:rPr>
            </w:pPr>
            <w:r w:rsidRPr="00E35852">
              <w:rPr>
                <w:rFonts w:cs="Arial"/>
                <w:b/>
                <w:szCs w:val="24"/>
              </w:rPr>
              <w:t xml:space="preserve">Survey and Year </w:t>
            </w:r>
          </w:p>
        </w:tc>
        <w:tc>
          <w:tcPr>
            <w:tcW w:w="1730" w:type="dxa"/>
            <w:shd w:val="clear" w:color="auto" w:fill="auto"/>
          </w:tcPr>
          <w:p w:rsidR="00BB2EA3" w:rsidRPr="00E35852" w:rsidRDefault="00BB2EA3" w:rsidP="00C80D1A">
            <w:pPr>
              <w:spacing w:after="0" w:line="240" w:lineRule="auto"/>
              <w:jc w:val="center"/>
              <w:rPr>
                <w:rFonts w:cs="Arial"/>
                <w:b/>
                <w:szCs w:val="24"/>
              </w:rPr>
            </w:pPr>
            <w:r w:rsidRPr="00E35852">
              <w:rPr>
                <w:rFonts w:cs="Arial"/>
                <w:b/>
                <w:szCs w:val="24"/>
              </w:rPr>
              <w:t xml:space="preserve">Matching method </w:t>
            </w:r>
          </w:p>
        </w:tc>
        <w:tc>
          <w:tcPr>
            <w:tcW w:w="6189" w:type="dxa"/>
            <w:shd w:val="clear" w:color="auto" w:fill="auto"/>
          </w:tcPr>
          <w:p w:rsidR="00BB2EA3" w:rsidRPr="00E35852" w:rsidRDefault="00BB2EA3" w:rsidP="00C80D1A">
            <w:pPr>
              <w:spacing w:after="0" w:line="240" w:lineRule="auto"/>
              <w:jc w:val="center"/>
              <w:rPr>
                <w:rFonts w:cs="Arial"/>
                <w:b/>
                <w:szCs w:val="24"/>
              </w:rPr>
            </w:pPr>
            <w:r w:rsidRPr="00E35852">
              <w:rPr>
                <w:rFonts w:cs="Arial"/>
                <w:b/>
                <w:szCs w:val="24"/>
              </w:rPr>
              <w:t>Observation and data re-allocation</w:t>
            </w:r>
          </w:p>
        </w:tc>
      </w:tr>
      <w:tr w:rsidR="00BB2EA3" w:rsidRPr="00E35852" w:rsidTr="00E35852">
        <w:trPr>
          <w:trHeight w:val="420"/>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DHS 2014 and MICS 2011</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County identifiers</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County identifiers were provided with the microdata </w:t>
            </w:r>
          </w:p>
        </w:tc>
      </w:tr>
      <w:tr w:rsidR="00BB2EA3" w:rsidRPr="00E35852" w:rsidTr="00E35852">
        <w:trPr>
          <w:trHeight w:val="508"/>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DHS 2008/09 and 2003</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Coordinates</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GPS cluster provided within the microdata of the two surveys were used to unambiguously remap district boundaries to their county equivalent </w:t>
            </w:r>
          </w:p>
        </w:tc>
      </w:tr>
      <w:tr w:rsidR="00BB2EA3" w:rsidRPr="00E35852" w:rsidTr="00E35852">
        <w:trPr>
          <w:trHeight w:val="320"/>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MICS 2007</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District code and name</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All districts overlaid on county boundary seamlessly for MICS 2007</w:t>
            </w:r>
          </w:p>
        </w:tc>
      </w:tr>
      <w:tr w:rsidR="00BB2EA3" w:rsidRPr="00E35852" w:rsidTr="00E35852">
        <w:trPr>
          <w:trHeight w:val="596"/>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DHS 1989, 1993, 1998 and Census 1989</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District code and name</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One district covered two counties on six instances in each survey. U5M assumed to be similar in both the two counties enclosing a district </w:t>
            </w:r>
          </w:p>
        </w:tc>
      </w:tr>
      <w:tr w:rsidR="00BB2EA3" w:rsidRPr="00E35852" w:rsidTr="00E35852">
        <w:trPr>
          <w:trHeight w:val="536"/>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MICS 2000 and 2008</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District code and name</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Two districts covered one county in 19 instances. Data in each of the two districts were aggregated to form a single county </w:t>
            </w:r>
          </w:p>
        </w:tc>
      </w:tr>
      <w:tr w:rsidR="00BB2EA3" w:rsidRPr="00E35852" w:rsidTr="00E35852">
        <w:trPr>
          <w:trHeight w:val="615"/>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Census 1999 </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District code and name</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Two districts enclosed one county in 16 cases, data aggregated to a single county </w:t>
            </w:r>
          </w:p>
          <w:p w:rsidR="00BB2EA3" w:rsidRPr="00E35852" w:rsidRDefault="00BB2EA3" w:rsidP="00C80D1A">
            <w:pPr>
              <w:spacing w:after="0" w:line="240" w:lineRule="auto"/>
              <w:rPr>
                <w:rFonts w:cs="Arial"/>
                <w:szCs w:val="24"/>
              </w:rPr>
            </w:pPr>
            <w:r w:rsidRPr="00E35852">
              <w:rPr>
                <w:rFonts w:cs="Arial"/>
                <w:szCs w:val="24"/>
              </w:rPr>
              <w:t>One district covered two counties in two cases. U5M assumed to be similar in both the two counties enclosing a district</w:t>
            </w:r>
          </w:p>
        </w:tc>
      </w:tr>
      <w:tr w:rsidR="00BB2EA3" w:rsidRPr="00E35852" w:rsidTr="00E35852">
        <w:trPr>
          <w:trHeight w:val="361"/>
          <w:jc w:val="center"/>
        </w:trPr>
        <w:tc>
          <w:tcPr>
            <w:tcW w:w="1676" w:type="dxa"/>
            <w:shd w:val="clear" w:color="auto" w:fill="auto"/>
          </w:tcPr>
          <w:p w:rsidR="00BB2EA3" w:rsidRPr="00E35852" w:rsidRDefault="00BB2EA3" w:rsidP="00C80D1A">
            <w:pPr>
              <w:spacing w:after="0" w:line="240" w:lineRule="auto"/>
              <w:rPr>
                <w:rFonts w:cs="Arial"/>
                <w:szCs w:val="24"/>
              </w:rPr>
            </w:pPr>
            <w:r w:rsidRPr="00E35852">
              <w:rPr>
                <w:rFonts w:cs="Arial"/>
                <w:szCs w:val="24"/>
              </w:rPr>
              <w:t xml:space="preserve">Census 2009 </w:t>
            </w:r>
          </w:p>
        </w:tc>
        <w:tc>
          <w:tcPr>
            <w:tcW w:w="1730" w:type="dxa"/>
            <w:shd w:val="clear" w:color="auto" w:fill="auto"/>
            <w:vAlign w:val="center"/>
          </w:tcPr>
          <w:p w:rsidR="00BB2EA3" w:rsidRPr="00E35852" w:rsidRDefault="00BB2EA3" w:rsidP="00C80D1A">
            <w:pPr>
              <w:spacing w:after="0" w:line="240" w:lineRule="auto"/>
              <w:jc w:val="center"/>
              <w:rPr>
                <w:rFonts w:cs="Arial"/>
                <w:szCs w:val="24"/>
              </w:rPr>
            </w:pPr>
            <w:r w:rsidRPr="00E35852">
              <w:rPr>
                <w:rFonts w:cs="Arial"/>
                <w:szCs w:val="24"/>
              </w:rPr>
              <w:t>District code and name</w:t>
            </w:r>
          </w:p>
        </w:tc>
        <w:tc>
          <w:tcPr>
            <w:tcW w:w="6189" w:type="dxa"/>
            <w:shd w:val="clear" w:color="auto" w:fill="auto"/>
          </w:tcPr>
          <w:p w:rsidR="00BB2EA3" w:rsidRPr="00E35852" w:rsidRDefault="00BB2EA3" w:rsidP="00C80D1A">
            <w:pPr>
              <w:spacing w:after="0" w:line="240" w:lineRule="auto"/>
              <w:rPr>
                <w:rFonts w:cs="Arial"/>
                <w:szCs w:val="24"/>
              </w:rPr>
            </w:pPr>
            <w:r w:rsidRPr="00E35852">
              <w:rPr>
                <w:rFonts w:cs="Arial"/>
                <w:szCs w:val="24"/>
              </w:rPr>
              <w:t>157 districts matched to 47 counties by aggerating data to form counties</w:t>
            </w:r>
          </w:p>
        </w:tc>
      </w:tr>
    </w:tbl>
    <w:p w:rsidR="00BB2EA3" w:rsidRPr="00A143CF" w:rsidRDefault="00BB2EA3" w:rsidP="00BB2EA3">
      <w:pPr>
        <w:spacing w:line="360" w:lineRule="auto"/>
        <w:rPr>
          <w:rFonts w:cs="Arial"/>
          <w:sz w:val="22"/>
        </w:rPr>
      </w:pPr>
    </w:p>
    <w:p w:rsidR="00003AB6" w:rsidRPr="00E35852" w:rsidRDefault="00E35852">
      <w:pPr>
        <w:rPr>
          <w:szCs w:val="24"/>
        </w:rPr>
      </w:pPr>
      <w:r w:rsidRPr="00E35852">
        <w:rPr>
          <w:b/>
          <w:szCs w:val="24"/>
        </w:rPr>
        <w:t>DHS:</w:t>
      </w:r>
      <w:r w:rsidRPr="00E35852">
        <w:rPr>
          <w:szCs w:val="24"/>
        </w:rPr>
        <w:t xml:space="preserve"> Demographic and Health Survey </w:t>
      </w:r>
    </w:p>
    <w:p w:rsidR="00E35852" w:rsidRPr="00E35852" w:rsidRDefault="00E35852">
      <w:pPr>
        <w:rPr>
          <w:szCs w:val="24"/>
        </w:rPr>
      </w:pPr>
      <w:r w:rsidRPr="00E35852">
        <w:rPr>
          <w:b/>
          <w:szCs w:val="24"/>
        </w:rPr>
        <w:t>MICS:</w:t>
      </w:r>
      <w:r w:rsidRPr="00E35852">
        <w:rPr>
          <w:szCs w:val="24"/>
        </w:rPr>
        <w:t xml:space="preserve"> Multiple Indicator Cluster Survey </w:t>
      </w: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Default="00E35852">
      <w:pPr>
        <w:rPr>
          <w:sz w:val="22"/>
        </w:rPr>
      </w:pPr>
    </w:p>
    <w:p w:rsidR="00E35852" w:rsidRPr="00A143CF" w:rsidRDefault="00E35852">
      <w:pPr>
        <w:rPr>
          <w:sz w:val="22"/>
        </w:rPr>
      </w:pPr>
    </w:p>
    <w:p w:rsidR="00A143CF" w:rsidRPr="00A143CF" w:rsidRDefault="00A143CF" w:rsidP="00A143CF">
      <w:pPr>
        <w:jc w:val="center"/>
        <w:rPr>
          <w:b/>
          <w:sz w:val="22"/>
        </w:rPr>
      </w:pPr>
      <w:r w:rsidRPr="00A143CF">
        <w:rPr>
          <w:b/>
          <w:sz w:val="22"/>
        </w:rPr>
        <w:lastRenderedPageBreak/>
        <w:t>References</w:t>
      </w:r>
    </w:p>
    <w:p w:rsidR="00E35852" w:rsidRDefault="00A143CF" w:rsidP="00E35852">
      <w:pPr>
        <w:widowControl w:val="0"/>
        <w:autoSpaceDE w:val="0"/>
        <w:autoSpaceDN w:val="0"/>
        <w:adjustRightInd w:val="0"/>
        <w:spacing w:line="240" w:lineRule="auto"/>
        <w:rPr>
          <w:rFonts w:cs="Arial"/>
          <w:noProof/>
          <w:sz w:val="22"/>
          <w:szCs w:val="24"/>
        </w:rPr>
      </w:pPr>
      <w:r w:rsidRPr="00A143CF">
        <w:rPr>
          <w:b/>
          <w:sz w:val="22"/>
        </w:rPr>
        <w:fldChar w:fldCharType="begin" w:fldLock="1"/>
      </w:r>
      <w:r w:rsidRPr="00A143CF">
        <w:rPr>
          <w:b/>
          <w:sz w:val="22"/>
        </w:rPr>
        <w:instrText xml:space="preserve">ADDIN Mendeley Bibliography CSL_BIBLIOGRAPHY </w:instrText>
      </w:r>
      <w:r w:rsidRPr="00A143CF">
        <w:rPr>
          <w:b/>
          <w:sz w:val="22"/>
        </w:rPr>
        <w:fldChar w:fldCharType="separate"/>
      </w:r>
      <w:r w:rsidR="00E35852" w:rsidRPr="00E35852">
        <w:rPr>
          <w:rFonts w:cs="Arial"/>
          <w:noProof/>
          <w:sz w:val="22"/>
          <w:szCs w:val="24"/>
        </w:rPr>
        <w:t>1. Barasa EW, Manyara AM, Molyneux S, Tsofa B. Recentralization within decentralization: County hospital autonomy under devolution in Kenya. PLoS One. 2017;12:e0182440.</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2. Government of Kenya. The Constitution of Kenya. 2010. http://kenyalaw.org/kl/index.php?id=398. Accessed 1 Jul 2017.</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3. Oyaya CO, Rifkin SB. Health sector reforms in Kenya: An examination of district level planning. Health Policy (New York). 2003;64:113–27.</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4. Mwabu G. Health care reform in Kenya: a review of the process. Health Policy (New York). 1995;32:245–55.</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5. NCPD, CBS, Macro International Inc. Kenya Demographic and Health Survey 1993. 1994. https://www.dhsprogram.com/Publications/Publication-Search.cfm?ctry_id=20&amp;c=Kenya&amp;Country=Kenya&amp;cn=Kenya. Accessed 17 Jan 2017.</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6. NASCOP. 2007 Kenya AIDS Indicator Survey: Final Report. 2009. http://catalog.ihsn.org/index.php/catalog/429/download/30820. Accessed 30 Jun 2017.</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7. KNBS. Census Cartography: The Kenyan Exeperince. Census Mapping and Use of Geographical Information Systems. 2007. https://unstats.un.org/unsd/demographic/meetings/egm/CensusMappingEGM07/docs/Kenya.pdf. Accessed 22 Feb 2018.</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Default="00E35852" w:rsidP="00E35852">
      <w:pPr>
        <w:widowControl w:val="0"/>
        <w:autoSpaceDE w:val="0"/>
        <w:autoSpaceDN w:val="0"/>
        <w:adjustRightInd w:val="0"/>
        <w:spacing w:line="240" w:lineRule="auto"/>
        <w:rPr>
          <w:rFonts w:cs="Arial"/>
          <w:noProof/>
          <w:sz w:val="22"/>
          <w:szCs w:val="24"/>
        </w:rPr>
      </w:pPr>
      <w:r w:rsidRPr="00E35852">
        <w:rPr>
          <w:rFonts w:cs="Arial"/>
          <w:noProof/>
          <w:sz w:val="22"/>
          <w:szCs w:val="24"/>
        </w:rPr>
        <w:t>8. Government of Kenya. Kenya Service Availability and Readiness Assessment Mapping (SARAM). 2014;:341. http://apps.who.int/healthinfo/systems/datacatalog/index.php/catalog/4/download/39. Accessed 5 May 2017.</w:t>
      </w:r>
    </w:p>
    <w:p w:rsidR="00E35852" w:rsidRPr="00E35852" w:rsidRDefault="00E35852" w:rsidP="00E35852">
      <w:pPr>
        <w:widowControl w:val="0"/>
        <w:autoSpaceDE w:val="0"/>
        <w:autoSpaceDN w:val="0"/>
        <w:adjustRightInd w:val="0"/>
        <w:spacing w:after="0" w:line="240" w:lineRule="auto"/>
        <w:rPr>
          <w:rFonts w:cs="Arial"/>
          <w:noProof/>
          <w:sz w:val="22"/>
          <w:szCs w:val="24"/>
        </w:rPr>
      </w:pPr>
    </w:p>
    <w:p w:rsidR="00E35852" w:rsidRPr="00E35852" w:rsidRDefault="00E35852" w:rsidP="00E35852">
      <w:pPr>
        <w:widowControl w:val="0"/>
        <w:autoSpaceDE w:val="0"/>
        <w:autoSpaceDN w:val="0"/>
        <w:adjustRightInd w:val="0"/>
        <w:spacing w:line="240" w:lineRule="auto"/>
        <w:rPr>
          <w:rFonts w:cs="Arial"/>
          <w:noProof/>
          <w:sz w:val="22"/>
        </w:rPr>
      </w:pPr>
      <w:r w:rsidRPr="00E35852">
        <w:rPr>
          <w:rFonts w:cs="Arial"/>
          <w:noProof/>
          <w:sz w:val="22"/>
          <w:szCs w:val="24"/>
        </w:rPr>
        <w:t>9. Law G. Districts of Kenya. 2013. http://www.statoids.com/yke.html. Accessed 9 Jan 2017.</w:t>
      </w:r>
    </w:p>
    <w:p w:rsidR="00A143CF" w:rsidRPr="00A143CF" w:rsidRDefault="00A143CF" w:rsidP="00A143CF">
      <w:pPr>
        <w:jc w:val="center"/>
        <w:rPr>
          <w:b/>
          <w:sz w:val="22"/>
        </w:rPr>
      </w:pPr>
      <w:r w:rsidRPr="00A143CF">
        <w:rPr>
          <w:b/>
          <w:sz w:val="22"/>
        </w:rPr>
        <w:fldChar w:fldCharType="end"/>
      </w:r>
    </w:p>
    <w:sectPr w:rsidR="00A143CF" w:rsidRPr="00A14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A3"/>
    <w:rsid w:val="00003AB6"/>
    <w:rsid w:val="000210EC"/>
    <w:rsid w:val="00175A87"/>
    <w:rsid w:val="0061175A"/>
    <w:rsid w:val="007309C9"/>
    <w:rsid w:val="008A26B4"/>
    <w:rsid w:val="00A143CF"/>
    <w:rsid w:val="00A91256"/>
    <w:rsid w:val="00B26586"/>
    <w:rsid w:val="00BB2EA3"/>
    <w:rsid w:val="00BC2DC4"/>
    <w:rsid w:val="00C52EF3"/>
    <w:rsid w:val="00E35852"/>
    <w:rsid w:val="00EF0A81"/>
    <w:rsid w:val="00F40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3B028"/>
  <w15:chartTrackingRefBased/>
  <w15:docId w15:val="{D64118B3-9786-48E1-B0D1-73AA4212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2EA3"/>
    <w:rPr>
      <w:rFonts w:eastAsia="Calibri" w:cs="Times New Roman"/>
    </w:rPr>
  </w:style>
  <w:style w:type="paragraph" w:styleId="Heading2">
    <w:name w:val="heading 2"/>
    <w:basedOn w:val="Normal"/>
    <w:next w:val="Normal"/>
    <w:link w:val="Heading2Char"/>
    <w:autoRedefine/>
    <w:uiPriority w:val="9"/>
    <w:unhideWhenUsed/>
    <w:qFormat/>
    <w:rsid w:val="00BB2EA3"/>
    <w:pPr>
      <w:keepNext/>
      <w:keepLines/>
      <w:spacing w:before="40" w:after="0"/>
      <w:jc w:val="center"/>
      <w:outlineLvl w:val="1"/>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2EA3"/>
    <w:rPr>
      <w:rFonts w:ascii="Times New Roman" w:eastAsia="Times New Roman" w:hAnsi="Times New Roman" w:cs="Times New Roman"/>
      <w:b/>
      <w:sz w:val="20"/>
      <w:szCs w:val="20"/>
    </w:rPr>
  </w:style>
  <w:style w:type="paragraph" w:styleId="Caption">
    <w:name w:val="caption"/>
    <w:basedOn w:val="Normal"/>
    <w:next w:val="Normal"/>
    <w:autoRedefine/>
    <w:uiPriority w:val="35"/>
    <w:unhideWhenUsed/>
    <w:qFormat/>
    <w:rsid w:val="00E35852"/>
    <w:pPr>
      <w:keepNext/>
      <w:spacing w:after="200" w:line="240" w:lineRule="auto"/>
      <w:jc w:val="center"/>
    </w:pPr>
    <w:rPr>
      <w:rFonts w:cs="Arial"/>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0EB23-048E-45AE-A63B-5400642A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2360</Words>
  <Characters>13453</Characters>
  <Application>Microsoft Office Word</Application>
  <DocSecurity>0</DocSecurity>
  <Lines>112</Lines>
  <Paragraphs>31</Paragraphs>
  <ScaleCrop>false</ScaleCrop>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Macharia</dc:creator>
  <cp:keywords/>
  <dc:description/>
  <cp:lastModifiedBy>Peter Macharia</cp:lastModifiedBy>
  <cp:revision>5</cp:revision>
  <dcterms:created xsi:type="dcterms:W3CDTF">2018-10-22T05:37:00Z</dcterms:created>
  <dcterms:modified xsi:type="dcterms:W3CDTF">2018-10-25T10:26:00Z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http://www.zotero.org/styles/bmc-health-services-research</vt:lpwstr>
  </property>
  <property fmtid="{D5CDD505-2E9C-101B-9397-08002B2CF9AE}" pid="3" name="Mendeley Recent Style Name 0_1">
    <vt:lpwstr>BMC Health Services Research</vt:lpwstr>
  </property>
  <property fmtid="{D5CDD505-2E9C-101B-9397-08002B2CF9AE}" pid="4" name="Mendeley Recent Style Id 1_1">
    <vt:lpwstr>http://www.zotero.org/styles/bmc-medicine</vt:lpwstr>
  </property>
  <property fmtid="{D5CDD505-2E9C-101B-9397-08002B2CF9AE}" pid="5" name="Mendeley Recent Style Name 1_1">
    <vt:lpwstr>BMC Medicine</vt:lpwstr>
  </property>
  <property fmtid="{D5CDD505-2E9C-101B-9397-08002B2CF9AE}" pid="6" name="Mendeley Recent Style Id 2_1">
    <vt:lpwstr>http://www.zotero.org/styles/bmc-public-health</vt:lpwstr>
  </property>
  <property fmtid="{D5CDD505-2E9C-101B-9397-08002B2CF9AE}" pid="7" name="Mendeley Recent Style Name 2_1">
    <vt:lpwstr>BMC Public Health</vt:lpwstr>
  </property>
  <property fmtid="{D5CDD505-2E9C-101B-9397-08002B2CF9AE}" pid="8" name="Mendeley Recent Style Id 3_1">
    <vt:lpwstr>http://www.zotero.org/styles/bmj</vt:lpwstr>
  </property>
  <property fmtid="{D5CDD505-2E9C-101B-9397-08002B2CF9AE}" pid="9" name="Mendeley Recent Style Name 3_1">
    <vt:lpwstr>BMJ</vt:lpwstr>
  </property>
  <property fmtid="{D5CDD505-2E9C-101B-9397-08002B2CF9AE}" pid="10" name="Mendeley Recent Style Id 4_1">
    <vt:lpwstr>http://www.zotero.org/styles/bmj-open</vt:lpwstr>
  </property>
  <property fmtid="{D5CDD505-2E9C-101B-9397-08002B2CF9AE}" pid="11" name="Mendeley Recent Style Name 4_1">
    <vt:lpwstr>BMJ Open</vt:lpwstr>
  </property>
  <property fmtid="{D5CDD505-2E9C-101B-9397-08002B2CF9AE}" pid="12" name="Mendeley Recent Style Id 5_1">
    <vt:lpwstr>http://www.zotero.org/styles/plos-medicine</vt:lpwstr>
  </property>
  <property fmtid="{D5CDD505-2E9C-101B-9397-08002B2CF9AE}" pid="13" name="Mendeley Recent Style Name 5_1">
    <vt:lpwstr>PLOS Medicine</vt:lpwstr>
  </property>
  <property fmtid="{D5CDD505-2E9C-101B-9397-08002B2CF9AE}" pid="14" name="Mendeley Recent Style Id 6_1">
    <vt:lpwstr>http://csl.mendeley.com/styles/21328811/springer-basic-author-date</vt:lpwstr>
  </property>
  <property fmtid="{D5CDD505-2E9C-101B-9397-08002B2CF9AE}" pid="15" name="Mendeley Recent Style Name 6_1">
    <vt:lpwstr>Springer - Basic (author-date) - Peter Macharia</vt:lpwstr>
  </property>
  <property fmtid="{D5CDD505-2E9C-101B-9397-08002B2CF9AE}" pid="16" name="Mendeley Recent Style Id 7_1">
    <vt:lpwstr>http://www.zotero.org/styles/springer-basic-author-date</vt:lpwstr>
  </property>
  <property fmtid="{D5CDD505-2E9C-101B-9397-08002B2CF9AE}" pid="17" name="Mendeley Recent Style Name 7_1">
    <vt:lpwstr>Springer Basic (author-date)</vt:lpwstr>
  </property>
  <property fmtid="{D5CDD505-2E9C-101B-9397-08002B2CF9AE}" pid="18" name="Mendeley Recent Style Id 8_1">
    <vt:lpwstr>http://www.zotero.org/styles/student-bmj</vt:lpwstr>
  </property>
  <property fmtid="{D5CDD505-2E9C-101B-9397-08002B2CF9AE}" pid="19" name="Mendeley Recent Style Name 8_1">
    <vt:lpwstr>Student BMJ</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e265b154-3c28-3e93-bb72-46e7709e05ba</vt:lpwstr>
  </property>
  <property fmtid="{D5CDD505-2E9C-101B-9397-08002B2CF9AE}" pid="24" name="Mendeley Citation Style_1">
    <vt:lpwstr>http://www.zotero.org/styles/bmc-public-health</vt:lpwstr>
  </property>
</Properties>
</file>