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DE6" w:rsidRPr="00CC36E7" w:rsidRDefault="00DA4E32"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t>Table 1.</w:t>
      </w:r>
      <w:r w:rsidR="00013A11" w:rsidRPr="00CC36E7">
        <w:rPr>
          <w:rFonts w:ascii="Times New Roman" w:hAnsi="Times New Roman" w:cs="Times New Roman"/>
          <w:sz w:val="18"/>
          <w:szCs w:val="18"/>
        </w:rPr>
        <w:t>1</w:t>
      </w:r>
      <w:r w:rsidRPr="00CC36E7">
        <w:rPr>
          <w:rFonts w:ascii="Times New Roman" w:hAnsi="Times New Roman" w:cs="Times New Roman"/>
          <w:sz w:val="18"/>
          <w:szCs w:val="18"/>
        </w:rPr>
        <w:t xml:space="preserve"> </w:t>
      </w:r>
      <w:r w:rsidR="007F4C7A" w:rsidRPr="00CC36E7">
        <w:rPr>
          <w:rFonts w:ascii="Times New Roman" w:hAnsi="Times New Roman" w:cs="Times New Roman"/>
          <w:sz w:val="18"/>
          <w:szCs w:val="18"/>
        </w:rPr>
        <w:t>Prevalence p</w:t>
      </w:r>
      <w:r w:rsidR="00C13DE6" w:rsidRPr="00CC36E7">
        <w:rPr>
          <w:rFonts w:ascii="Times New Roman" w:hAnsi="Times New Roman" w:cs="Times New Roman"/>
          <w:sz w:val="18"/>
          <w:szCs w:val="18"/>
        </w:rPr>
        <w:t xml:space="preserve">opulation attributable fraction </w:t>
      </w:r>
      <w:r w:rsidR="007F4C7A" w:rsidRPr="00CC36E7">
        <w:rPr>
          <w:rFonts w:ascii="Times New Roman" w:hAnsi="Times New Roman" w:cs="Times New Roman"/>
          <w:sz w:val="18"/>
          <w:szCs w:val="18"/>
        </w:rPr>
        <w:t xml:space="preserve">due to insufficient fruit intake </w:t>
      </w:r>
      <w:r w:rsidR="00C13DE6" w:rsidRPr="00CC36E7">
        <w:rPr>
          <w:rFonts w:ascii="Times New Roman" w:hAnsi="Times New Roman" w:cs="Times New Roman"/>
          <w:sz w:val="18"/>
          <w:szCs w:val="18"/>
        </w:rPr>
        <w:t>by sex and age group</w:t>
      </w:r>
    </w:p>
    <w:tbl>
      <w:tblPr>
        <w:tblStyle w:val="1"/>
        <w:tblW w:w="8581" w:type="dxa"/>
        <w:tblLook w:val="04A0" w:firstRow="1" w:lastRow="0" w:firstColumn="1" w:lastColumn="0" w:noHBand="0" w:noVBand="1"/>
      </w:tblPr>
      <w:tblGrid>
        <w:gridCol w:w="880"/>
        <w:gridCol w:w="758"/>
        <w:gridCol w:w="823"/>
        <w:gridCol w:w="865"/>
        <w:gridCol w:w="728"/>
        <w:gridCol w:w="823"/>
        <w:gridCol w:w="728"/>
        <w:gridCol w:w="705"/>
        <w:gridCol w:w="737"/>
        <w:gridCol w:w="823"/>
        <w:gridCol w:w="711"/>
      </w:tblGrid>
      <w:tr w:rsidR="00D73C26" w:rsidRPr="00CC36E7" w:rsidTr="00CC36E7">
        <w:trPr>
          <w:trHeight w:val="285"/>
        </w:trPr>
        <w:tc>
          <w:tcPr>
            <w:tcW w:w="880" w:type="dxa"/>
            <w:tcBorders>
              <w:bottom w:val="nil"/>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age</w:t>
            </w:r>
          </w:p>
        </w:tc>
        <w:tc>
          <w:tcPr>
            <w:tcW w:w="1581" w:type="dxa"/>
            <w:gridSpan w:val="2"/>
            <w:tcBorders>
              <w:bottom w:val="nil"/>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fruit</w:t>
            </w:r>
          </w:p>
        </w:tc>
        <w:tc>
          <w:tcPr>
            <w:tcW w:w="3144" w:type="dxa"/>
            <w:gridSpan w:val="4"/>
            <w:tcBorders>
              <w:bottom w:val="nil"/>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fruit(+50g)</w:t>
            </w:r>
          </w:p>
        </w:tc>
        <w:tc>
          <w:tcPr>
            <w:tcW w:w="2976" w:type="dxa"/>
            <w:gridSpan w:val="4"/>
            <w:tcBorders>
              <w:bottom w:val="nil"/>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fruit(+100g)</w:t>
            </w:r>
          </w:p>
        </w:tc>
      </w:tr>
      <w:tr w:rsidR="00D73C26" w:rsidRPr="00CC36E7" w:rsidTr="00CC36E7">
        <w:trPr>
          <w:trHeight w:val="285"/>
        </w:trPr>
        <w:tc>
          <w:tcPr>
            <w:tcW w:w="880" w:type="dxa"/>
            <w:tcBorders>
              <w:top w:val="nil"/>
              <w:bottom w:val="single" w:sz="4" w:space="0" w:color="auto"/>
            </w:tcBorders>
            <w:noWrap/>
            <w:hideMark/>
          </w:tcPr>
          <w:p w:rsidR="00D73C26" w:rsidRPr="00CC36E7" w:rsidRDefault="00D73C26" w:rsidP="003156AE">
            <w:pPr>
              <w:widowControl/>
              <w:jc w:val="center"/>
              <w:rPr>
                <w:rFonts w:ascii="Times New Roman" w:hAnsi="Times New Roman" w:cs="Times New Roman"/>
                <w:szCs w:val="18"/>
              </w:rPr>
            </w:pPr>
          </w:p>
        </w:tc>
        <w:tc>
          <w:tcPr>
            <w:tcW w:w="758" w:type="dxa"/>
            <w:tcBorders>
              <w:top w:val="nil"/>
              <w:bottom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823" w:type="dxa"/>
            <w:tcBorders>
              <w:top w:val="nil"/>
              <w:bottom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865" w:type="dxa"/>
            <w:tcBorders>
              <w:top w:val="nil"/>
              <w:bottom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28" w:type="dxa"/>
            <w:tcBorders>
              <w:top w:val="nil"/>
              <w:bottom w:val="single" w:sz="4" w:space="0" w:color="auto"/>
            </w:tcBorders>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28" w:type="dxa"/>
            <w:tcBorders>
              <w:top w:val="nil"/>
              <w:bottom w:val="single" w:sz="4" w:space="0" w:color="auto"/>
            </w:tcBorders>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705" w:type="dxa"/>
            <w:tcBorders>
              <w:top w:val="nil"/>
              <w:bottom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37" w:type="dxa"/>
            <w:tcBorders>
              <w:top w:val="nil"/>
              <w:bottom w:val="single" w:sz="4" w:space="0" w:color="auto"/>
            </w:tcBorders>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11" w:type="dxa"/>
            <w:tcBorders>
              <w:top w:val="nil"/>
              <w:bottom w:val="single" w:sz="4" w:space="0" w:color="auto"/>
            </w:tcBorders>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r>
      <w:tr w:rsidR="00D73C26" w:rsidRPr="00CC36E7" w:rsidTr="00CC36E7">
        <w:trPr>
          <w:trHeight w:val="285"/>
        </w:trPr>
        <w:tc>
          <w:tcPr>
            <w:tcW w:w="880" w:type="dxa"/>
            <w:tcBorders>
              <w:top w:val="single" w:sz="4" w:space="0" w:color="auto"/>
            </w:tcBorders>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20-29</w:t>
            </w:r>
          </w:p>
        </w:tc>
        <w:tc>
          <w:tcPr>
            <w:tcW w:w="758" w:type="dxa"/>
            <w:tcBorders>
              <w:top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0.149</w:t>
            </w:r>
          </w:p>
        </w:tc>
        <w:tc>
          <w:tcPr>
            <w:tcW w:w="823" w:type="dxa"/>
            <w:tcBorders>
              <w:top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0.133</w:t>
            </w:r>
          </w:p>
        </w:tc>
        <w:tc>
          <w:tcPr>
            <w:tcW w:w="865" w:type="dxa"/>
            <w:tcBorders>
              <w:top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0.126</w:t>
            </w:r>
          </w:p>
        </w:tc>
        <w:tc>
          <w:tcPr>
            <w:tcW w:w="728" w:type="dxa"/>
            <w:tcBorders>
              <w:top w:val="single" w:sz="4" w:space="0" w:color="auto"/>
            </w:tcBorders>
          </w:tcPr>
          <w:p w:rsidR="00D73C26" w:rsidRPr="00CC36E7" w:rsidRDefault="00D73C26"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0.152</w:t>
            </w:r>
          </w:p>
        </w:tc>
        <w:tc>
          <w:tcPr>
            <w:tcW w:w="823" w:type="dxa"/>
            <w:tcBorders>
              <w:top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0.110</w:t>
            </w:r>
          </w:p>
        </w:tc>
        <w:tc>
          <w:tcPr>
            <w:tcW w:w="728" w:type="dxa"/>
            <w:tcBorders>
              <w:top w:val="single" w:sz="4" w:space="0" w:color="auto"/>
            </w:tcBorders>
          </w:tcPr>
          <w:p w:rsidR="00D73C26" w:rsidRPr="00CC36E7" w:rsidRDefault="00D73C26"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0.175</w:t>
            </w:r>
          </w:p>
        </w:tc>
        <w:tc>
          <w:tcPr>
            <w:tcW w:w="705" w:type="dxa"/>
            <w:tcBorders>
              <w:top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0.080</w:t>
            </w:r>
          </w:p>
        </w:tc>
        <w:tc>
          <w:tcPr>
            <w:tcW w:w="737" w:type="dxa"/>
            <w:tcBorders>
              <w:top w:val="single" w:sz="4" w:space="0" w:color="auto"/>
            </w:tcBorders>
          </w:tcPr>
          <w:p w:rsidR="00D73C26" w:rsidRPr="00CC36E7" w:rsidRDefault="00D73C26"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0.463</w:t>
            </w:r>
          </w:p>
        </w:tc>
        <w:tc>
          <w:tcPr>
            <w:tcW w:w="823" w:type="dxa"/>
            <w:tcBorders>
              <w:top w:val="single" w:sz="4" w:space="0" w:color="auto"/>
            </w:tcBorders>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0.068</w:t>
            </w:r>
          </w:p>
        </w:tc>
        <w:tc>
          <w:tcPr>
            <w:tcW w:w="711" w:type="dxa"/>
            <w:tcBorders>
              <w:top w:val="single" w:sz="4" w:space="0" w:color="auto"/>
            </w:tcBorders>
          </w:tcPr>
          <w:p w:rsidR="00D73C26" w:rsidRPr="00CC36E7" w:rsidRDefault="00D73C26"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0.488</w:t>
            </w:r>
          </w:p>
        </w:tc>
      </w:tr>
      <w:tr w:rsidR="00D73C26" w:rsidRPr="00CC36E7" w:rsidTr="00CC36E7">
        <w:trPr>
          <w:trHeight w:val="285"/>
        </w:trPr>
        <w:tc>
          <w:tcPr>
            <w:tcW w:w="880" w:type="dxa"/>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30-39</w:t>
            </w:r>
          </w:p>
        </w:tc>
        <w:tc>
          <w:tcPr>
            <w:tcW w:w="758"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0.145</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0.132</w:t>
            </w:r>
          </w:p>
        </w:tc>
        <w:tc>
          <w:tcPr>
            <w:tcW w:w="86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0.121</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0.161</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0.105</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0.199</w:t>
            </w:r>
          </w:p>
        </w:tc>
        <w:tc>
          <w:tcPr>
            <w:tcW w:w="70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0.076</w:t>
            </w:r>
          </w:p>
        </w:tc>
        <w:tc>
          <w:tcPr>
            <w:tcW w:w="737"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0.473</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0.063</w:t>
            </w:r>
          </w:p>
        </w:tc>
        <w:tc>
          <w:tcPr>
            <w:tcW w:w="711"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0.521</w:t>
            </w:r>
          </w:p>
        </w:tc>
      </w:tr>
      <w:tr w:rsidR="00D73C26" w:rsidRPr="00CC36E7" w:rsidTr="00CC36E7">
        <w:trPr>
          <w:trHeight w:val="285"/>
        </w:trPr>
        <w:tc>
          <w:tcPr>
            <w:tcW w:w="880" w:type="dxa"/>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40-49</w:t>
            </w:r>
          </w:p>
        </w:tc>
        <w:tc>
          <w:tcPr>
            <w:tcW w:w="758"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0.145</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0.128</w:t>
            </w:r>
          </w:p>
        </w:tc>
        <w:tc>
          <w:tcPr>
            <w:tcW w:w="86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0.122</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0.159</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0.102</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0.200</w:t>
            </w:r>
          </w:p>
        </w:tc>
        <w:tc>
          <w:tcPr>
            <w:tcW w:w="70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0.077</w:t>
            </w:r>
          </w:p>
        </w:tc>
        <w:tc>
          <w:tcPr>
            <w:tcW w:w="737"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0.470</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0.062</w:t>
            </w:r>
          </w:p>
        </w:tc>
        <w:tc>
          <w:tcPr>
            <w:tcW w:w="711"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0.512</w:t>
            </w:r>
          </w:p>
        </w:tc>
      </w:tr>
      <w:tr w:rsidR="00D73C26" w:rsidRPr="00CC36E7" w:rsidTr="00CC36E7">
        <w:trPr>
          <w:trHeight w:val="285"/>
        </w:trPr>
        <w:tc>
          <w:tcPr>
            <w:tcW w:w="880" w:type="dxa"/>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50-59</w:t>
            </w:r>
          </w:p>
        </w:tc>
        <w:tc>
          <w:tcPr>
            <w:tcW w:w="758"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0.131</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0.106</w:t>
            </w:r>
          </w:p>
        </w:tc>
        <w:tc>
          <w:tcPr>
            <w:tcW w:w="86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0.107</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0.184</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0.081</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0.242</w:t>
            </w:r>
          </w:p>
        </w:tc>
        <w:tc>
          <w:tcPr>
            <w:tcW w:w="70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0.066</w:t>
            </w:r>
          </w:p>
        </w:tc>
        <w:tc>
          <w:tcPr>
            <w:tcW w:w="737"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0.500</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0.046</w:t>
            </w:r>
          </w:p>
        </w:tc>
        <w:tc>
          <w:tcPr>
            <w:tcW w:w="711"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0.563</w:t>
            </w:r>
          </w:p>
        </w:tc>
      </w:tr>
      <w:tr w:rsidR="00D73C26" w:rsidRPr="00CC36E7" w:rsidTr="00CC36E7">
        <w:trPr>
          <w:trHeight w:val="285"/>
        </w:trPr>
        <w:tc>
          <w:tcPr>
            <w:tcW w:w="880" w:type="dxa"/>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60-69</w:t>
            </w:r>
          </w:p>
        </w:tc>
        <w:tc>
          <w:tcPr>
            <w:tcW w:w="758"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0.100</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0.077</w:t>
            </w:r>
          </w:p>
        </w:tc>
        <w:tc>
          <w:tcPr>
            <w:tcW w:w="86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0.076</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0.233</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0.053</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0.315</w:t>
            </w:r>
          </w:p>
        </w:tc>
        <w:tc>
          <w:tcPr>
            <w:tcW w:w="70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0.045</w:t>
            </w:r>
          </w:p>
        </w:tc>
        <w:tc>
          <w:tcPr>
            <w:tcW w:w="737"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0.553</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0.029</w:t>
            </w:r>
          </w:p>
        </w:tc>
        <w:tc>
          <w:tcPr>
            <w:tcW w:w="711"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0.631</w:t>
            </w:r>
          </w:p>
        </w:tc>
      </w:tr>
      <w:tr w:rsidR="00D73C26" w:rsidRPr="00CC36E7" w:rsidTr="00CC36E7">
        <w:trPr>
          <w:trHeight w:val="285"/>
        </w:trPr>
        <w:tc>
          <w:tcPr>
            <w:tcW w:w="880" w:type="dxa"/>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70-</w:t>
            </w:r>
          </w:p>
        </w:tc>
        <w:tc>
          <w:tcPr>
            <w:tcW w:w="758"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0.081</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0.078</w:t>
            </w:r>
          </w:p>
        </w:tc>
        <w:tc>
          <w:tcPr>
            <w:tcW w:w="86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0.059</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0.273</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0.055</w:t>
            </w:r>
          </w:p>
        </w:tc>
        <w:tc>
          <w:tcPr>
            <w:tcW w:w="728"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0.296</w:t>
            </w:r>
          </w:p>
        </w:tc>
        <w:tc>
          <w:tcPr>
            <w:tcW w:w="705"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0.033</w:t>
            </w:r>
          </w:p>
        </w:tc>
        <w:tc>
          <w:tcPr>
            <w:tcW w:w="737"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0.594</w:t>
            </w:r>
          </w:p>
        </w:tc>
        <w:tc>
          <w:tcPr>
            <w:tcW w:w="823" w:type="dxa"/>
            <w:noWrap/>
            <w:hideMark/>
          </w:tcPr>
          <w:p w:rsidR="00D73C26" w:rsidRPr="00CC36E7" w:rsidRDefault="00D73C26" w:rsidP="003156AE">
            <w:pPr>
              <w:widowControl/>
              <w:jc w:val="center"/>
              <w:rPr>
                <w:rFonts w:ascii="Times New Roman" w:hAnsi="Times New Roman" w:cs="Times New Roman"/>
                <w:szCs w:val="18"/>
              </w:rPr>
            </w:pPr>
            <w:r w:rsidRPr="00CC36E7">
              <w:rPr>
                <w:rFonts w:ascii="Times New Roman" w:hAnsi="Times New Roman" w:cs="Times New Roman"/>
                <w:szCs w:val="18"/>
              </w:rPr>
              <w:t>0.030</w:t>
            </w:r>
          </w:p>
        </w:tc>
        <w:tc>
          <w:tcPr>
            <w:tcW w:w="711" w:type="dxa"/>
          </w:tcPr>
          <w:p w:rsidR="00D73C26" w:rsidRPr="00CC36E7" w:rsidRDefault="00D73C26"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0.608</w:t>
            </w:r>
          </w:p>
        </w:tc>
      </w:tr>
    </w:tbl>
    <w:p w:rsidR="00013A11" w:rsidRPr="00CC36E7" w:rsidRDefault="00013A11" w:rsidP="00013A11">
      <w:pPr>
        <w:widowControl/>
        <w:jc w:val="center"/>
        <w:rPr>
          <w:rFonts w:ascii="Times New Roman" w:hAnsi="Times New Roman" w:cs="Times New Roman"/>
          <w:sz w:val="18"/>
          <w:szCs w:val="18"/>
        </w:rPr>
      </w:pPr>
    </w:p>
    <w:p w:rsidR="00C13DE6" w:rsidRPr="00CC36E7" w:rsidRDefault="00013A11"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t>Table 1. 2 Prevalence population attributable fraction due to insufficient fruit intake by sex and age group, 95% CI</w:t>
      </w:r>
    </w:p>
    <w:tbl>
      <w:tblPr>
        <w:tblStyle w:val="1"/>
        <w:tblW w:w="0" w:type="auto"/>
        <w:tblLook w:val="04A0" w:firstRow="1" w:lastRow="0" w:firstColumn="1" w:lastColumn="0" w:noHBand="0" w:noVBand="1"/>
      </w:tblPr>
      <w:tblGrid>
        <w:gridCol w:w="903"/>
        <w:gridCol w:w="903"/>
        <w:gridCol w:w="1074"/>
        <w:gridCol w:w="960"/>
        <w:gridCol w:w="903"/>
        <w:gridCol w:w="903"/>
        <w:gridCol w:w="1074"/>
        <w:gridCol w:w="960"/>
      </w:tblGrid>
      <w:tr w:rsidR="00013A11" w:rsidRPr="00CC36E7" w:rsidTr="00CC36E7">
        <w:trPr>
          <w:trHeight w:val="285"/>
        </w:trPr>
        <w:tc>
          <w:tcPr>
            <w:tcW w:w="3840" w:type="dxa"/>
            <w:gridSpan w:val="4"/>
            <w:noWrap/>
            <w:hideMark/>
          </w:tcPr>
          <w:p w:rsidR="00013A11" w:rsidRPr="00CC36E7" w:rsidRDefault="00013A11" w:rsidP="0000081B">
            <w:pPr>
              <w:widowControl/>
              <w:jc w:val="center"/>
              <w:rPr>
                <w:rFonts w:ascii="Times New Roman" w:hAnsi="Times New Roman" w:cs="Times New Roman"/>
                <w:szCs w:val="18"/>
              </w:rPr>
            </w:pPr>
            <w:r w:rsidRPr="00CC36E7">
              <w:rPr>
                <w:rFonts w:ascii="Times New Roman" w:hAnsi="Times New Roman" w:cs="Times New Roman" w:hint="eastAsia"/>
                <w:szCs w:val="18"/>
              </w:rPr>
              <w:t>fruit(+50g)-PPAF</w:t>
            </w:r>
          </w:p>
        </w:tc>
        <w:tc>
          <w:tcPr>
            <w:tcW w:w="3840" w:type="dxa"/>
            <w:gridSpan w:val="4"/>
            <w:noWrap/>
            <w:hideMark/>
          </w:tcPr>
          <w:p w:rsidR="00013A11" w:rsidRPr="00CC36E7" w:rsidRDefault="00013A11" w:rsidP="0000081B">
            <w:pPr>
              <w:widowControl/>
              <w:jc w:val="center"/>
              <w:rPr>
                <w:rFonts w:ascii="Times New Roman" w:hAnsi="Times New Roman" w:cs="Times New Roman"/>
                <w:szCs w:val="18"/>
              </w:rPr>
            </w:pPr>
            <w:r w:rsidRPr="00CC36E7">
              <w:rPr>
                <w:rFonts w:ascii="Times New Roman" w:hAnsi="Times New Roman" w:cs="Times New Roman" w:hint="eastAsia"/>
                <w:szCs w:val="18"/>
              </w:rPr>
              <w:t>fruit(+100g)-PPAF</w:t>
            </w:r>
          </w:p>
        </w:tc>
      </w:tr>
      <w:tr w:rsidR="00CC36E7" w:rsidRPr="00CC36E7" w:rsidTr="00D00BFA">
        <w:trPr>
          <w:trHeight w:val="285"/>
        </w:trPr>
        <w:tc>
          <w:tcPr>
            <w:tcW w:w="1806" w:type="dxa"/>
            <w:gridSpan w:val="2"/>
            <w:tcBorders>
              <w:bottom w:val="nil"/>
            </w:tcBorders>
            <w:noWrap/>
            <w:hideMark/>
          </w:tcPr>
          <w:p w:rsidR="00CC36E7" w:rsidRPr="00CC36E7" w:rsidRDefault="00CC36E7" w:rsidP="0000081B">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2034" w:type="dxa"/>
            <w:gridSpan w:val="2"/>
            <w:tcBorders>
              <w:bottom w:val="nil"/>
            </w:tcBorders>
            <w:noWrap/>
            <w:hideMark/>
          </w:tcPr>
          <w:p w:rsidR="00CC36E7" w:rsidRPr="00CC36E7" w:rsidRDefault="00CC36E7" w:rsidP="0000081B">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c>
          <w:tcPr>
            <w:tcW w:w="1806" w:type="dxa"/>
            <w:gridSpan w:val="2"/>
            <w:tcBorders>
              <w:bottom w:val="nil"/>
            </w:tcBorders>
            <w:noWrap/>
            <w:hideMark/>
          </w:tcPr>
          <w:p w:rsidR="00CC36E7" w:rsidRPr="00CC36E7" w:rsidRDefault="00CC36E7" w:rsidP="0000081B">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2034" w:type="dxa"/>
            <w:gridSpan w:val="2"/>
            <w:tcBorders>
              <w:bottom w:val="nil"/>
            </w:tcBorders>
            <w:noWrap/>
            <w:hideMark/>
          </w:tcPr>
          <w:p w:rsidR="00CC36E7" w:rsidRPr="00CC36E7" w:rsidRDefault="00CC36E7" w:rsidP="0000081B">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r>
      <w:tr w:rsidR="0000081B" w:rsidRPr="00CC36E7" w:rsidTr="00CC36E7">
        <w:trPr>
          <w:trHeight w:val="285"/>
        </w:trPr>
        <w:tc>
          <w:tcPr>
            <w:tcW w:w="903"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903"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r>
      <w:tr w:rsidR="0000081B" w:rsidRPr="00CC36E7" w:rsidTr="00CC36E7">
        <w:trPr>
          <w:trHeight w:val="285"/>
        </w:trPr>
        <w:tc>
          <w:tcPr>
            <w:tcW w:w="903"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0.146 </w:t>
            </w:r>
          </w:p>
        </w:tc>
        <w:tc>
          <w:tcPr>
            <w:tcW w:w="903"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0.159 </w:t>
            </w:r>
          </w:p>
        </w:tc>
        <w:tc>
          <w:tcPr>
            <w:tcW w:w="1074"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0.167 </w:t>
            </w:r>
          </w:p>
        </w:tc>
        <w:tc>
          <w:tcPr>
            <w:tcW w:w="960"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0.182 </w:t>
            </w:r>
          </w:p>
        </w:tc>
        <w:tc>
          <w:tcPr>
            <w:tcW w:w="903"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0.393 </w:t>
            </w:r>
          </w:p>
        </w:tc>
        <w:tc>
          <w:tcPr>
            <w:tcW w:w="903"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0.533 </w:t>
            </w:r>
          </w:p>
        </w:tc>
        <w:tc>
          <w:tcPr>
            <w:tcW w:w="1074"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0.418 </w:t>
            </w:r>
          </w:p>
        </w:tc>
        <w:tc>
          <w:tcPr>
            <w:tcW w:w="960" w:type="dxa"/>
            <w:tcBorders>
              <w:top w:val="single" w:sz="4" w:space="0" w:color="auto"/>
            </w:tcBorders>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0.557 </w:t>
            </w:r>
          </w:p>
        </w:tc>
      </w:tr>
      <w:tr w:rsidR="0000081B" w:rsidRPr="00CC36E7" w:rsidTr="00CC36E7">
        <w:trPr>
          <w:trHeight w:val="285"/>
        </w:trPr>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0.155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0.167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0.191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0.206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0.403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0.543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0.453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0.590 </w:t>
            </w:r>
          </w:p>
        </w:tc>
      </w:tr>
      <w:tr w:rsidR="0000081B" w:rsidRPr="00CC36E7" w:rsidTr="00CC36E7">
        <w:trPr>
          <w:trHeight w:val="285"/>
        </w:trPr>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0.152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0.165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0.192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0.208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0.400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0.540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0.443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0.581 </w:t>
            </w:r>
          </w:p>
        </w:tc>
      </w:tr>
      <w:tr w:rsidR="0000081B" w:rsidRPr="00CC36E7" w:rsidTr="00CC36E7">
        <w:trPr>
          <w:trHeight w:val="285"/>
        </w:trPr>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0.177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0.191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0.232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0.252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0.430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0.569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0.495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0.631 </w:t>
            </w:r>
          </w:p>
        </w:tc>
      </w:tr>
      <w:tr w:rsidR="0000081B" w:rsidRPr="00CC36E7" w:rsidTr="00CC36E7">
        <w:trPr>
          <w:trHeight w:val="285"/>
        </w:trPr>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0.223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0.244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0.300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0.329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0.485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0.621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0.564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0.697 </w:t>
            </w:r>
          </w:p>
        </w:tc>
      </w:tr>
      <w:tr w:rsidR="0000081B" w:rsidRPr="00CC36E7" w:rsidTr="00CC36E7">
        <w:trPr>
          <w:trHeight w:val="285"/>
        </w:trPr>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0.259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0.286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0.281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0.310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0.527 </w:t>
            </w:r>
          </w:p>
        </w:tc>
        <w:tc>
          <w:tcPr>
            <w:tcW w:w="903"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0.662 </w:t>
            </w:r>
          </w:p>
        </w:tc>
        <w:tc>
          <w:tcPr>
            <w:tcW w:w="1074"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0.541 </w:t>
            </w:r>
          </w:p>
        </w:tc>
        <w:tc>
          <w:tcPr>
            <w:tcW w:w="960" w:type="dxa"/>
            <w:noWrap/>
            <w:hideMark/>
          </w:tcPr>
          <w:p w:rsidR="0000081B" w:rsidRPr="00CC36E7" w:rsidRDefault="0000081B" w:rsidP="0000081B">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0.674 </w:t>
            </w:r>
          </w:p>
        </w:tc>
      </w:tr>
    </w:tbl>
    <w:p w:rsidR="0000081B" w:rsidRPr="00CC36E7" w:rsidRDefault="0000081B" w:rsidP="003156AE">
      <w:pPr>
        <w:widowControl/>
        <w:jc w:val="center"/>
        <w:rPr>
          <w:rFonts w:ascii="Times New Roman" w:hAnsi="Times New Roman" w:cs="Times New Roman"/>
          <w:sz w:val="18"/>
          <w:szCs w:val="18"/>
        </w:rPr>
      </w:pPr>
    </w:p>
    <w:p w:rsidR="007F4C7A" w:rsidRPr="00CC36E7" w:rsidRDefault="00DA4E32"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t>Table 2.</w:t>
      </w:r>
      <w:r w:rsidR="00013A11" w:rsidRPr="00CC36E7">
        <w:rPr>
          <w:rFonts w:ascii="Times New Roman" w:hAnsi="Times New Roman" w:cs="Times New Roman"/>
          <w:sz w:val="18"/>
          <w:szCs w:val="18"/>
        </w:rPr>
        <w:t>1</w:t>
      </w:r>
      <w:r w:rsidRPr="00CC36E7">
        <w:rPr>
          <w:rFonts w:ascii="Times New Roman" w:hAnsi="Times New Roman" w:cs="Times New Roman"/>
          <w:sz w:val="18"/>
          <w:szCs w:val="18"/>
        </w:rPr>
        <w:t xml:space="preserve"> </w:t>
      </w:r>
      <w:r w:rsidR="007F4C7A" w:rsidRPr="00CC36E7">
        <w:rPr>
          <w:rFonts w:ascii="Times New Roman" w:hAnsi="Times New Roman" w:cs="Times New Roman"/>
          <w:sz w:val="18"/>
          <w:szCs w:val="18"/>
        </w:rPr>
        <w:t>Mortality population attributable fraction due to insufficient fruit intake by sex and age group</w:t>
      </w:r>
    </w:p>
    <w:tbl>
      <w:tblPr>
        <w:tblStyle w:val="1"/>
        <w:tblW w:w="8581" w:type="dxa"/>
        <w:tblLook w:val="04A0" w:firstRow="1" w:lastRow="0" w:firstColumn="1" w:lastColumn="0" w:noHBand="0" w:noVBand="1"/>
      </w:tblPr>
      <w:tblGrid>
        <w:gridCol w:w="880"/>
        <w:gridCol w:w="758"/>
        <w:gridCol w:w="823"/>
        <w:gridCol w:w="865"/>
        <w:gridCol w:w="728"/>
        <w:gridCol w:w="823"/>
        <w:gridCol w:w="728"/>
        <w:gridCol w:w="705"/>
        <w:gridCol w:w="737"/>
        <w:gridCol w:w="823"/>
        <w:gridCol w:w="711"/>
      </w:tblGrid>
      <w:tr w:rsidR="003156AE" w:rsidRPr="00CC36E7" w:rsidTr="00CC36E7">
        <w:trPr>
          <w:trHeight w:val="285"/>
        </w:trPr>
        <w:tc>
          <w:tcPr>
            <w:tcW w:w="880" w:type="dxa"/>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age</w:t>
            </w:r>
          </w:p>
        </w:tc>
        <w:tc>
          <w:tcPr>
            <w:tcW w:w="1581" w:type="dxa"/>
            <w:gridSpan w:val="2"/>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fruit</w:t>
            </w:r>
          </w:p>
        </w:tc>
        <w:tc>
          <w:tcPr>
            <w:tcW w:w="3144" w:type="dxa"/>
            <w:gridSpan w:val="4"/>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fruit(+50g)</w:t>
            </w:r>
          </w:p>
        </w:tc>
        <w:tc>
          <w:tcPr>
            <w:tcW w:w="2976" w:type="dxa"/>
            <w:gridSpan w:val="4"/>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fruit(+100g)</w:t>
            </w:r>
          </w:p>
        </w:tc>
      </w:tr>
      <w:tr w:rsidR="003156AE" w:rsidRPr="00CC36E7" w:rsidTr="00CC36E7">
        <w:trPr>
          <w:trHeight w:val="285"/>
        </w:trPr>
        <w:tc>
          <w:tcPr>
            <w:tcW w:w="880"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p>
        </w:tc>
        <w:tc>
          <w:tcPr>
            <w:tcW w:w="758"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865"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705"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37"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11"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r>
      <w:tr w:rsidR="003156AE" w:rsidRPr="00CC36E7" w:rsidTr="00CC36E7">
        <w:trPr>
          <w:trHeight w:val="285"/>
        </w:trPr>
        <w:tc>
          <w:tcPr>
            <w:tcW w:w="880" w:type="dxa"/>
            <w:tcBorders>
              <w:top w:val="single" w:sz="4" w:space="0" w:color="auto"/>
            </w:tcBorders>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20-29</w:t>
            </w:r>
          </w:p>
        </w:tc>
        <w:tc>
          <w:tcPr>
            <w:tcW w:w="758"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0.220</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0.197</w:t>
            </w:r>
          </w:p>
        </w:tc>
        <w:tc>
          <w:tcPr>
            <w:tcW w:w="865"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0.161</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0.269</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0.141</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0.284</w:t>
            </w:r>
          </w:p>
        </w:tc>
        <w:tc>
          <w:tcPr>
            <w:tcW w:w="705"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0.104</w:t>
            </w:r>
          </w:p>
        </w:tc>
        <w:tc>
          <w:tcPr>
            <w:tcW w:w="737"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0.527</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0.089</w:t>
            </w:r>
          </w:p>
        </w:tc>
        <w:tc>
          <w:tcPr>
            <w:tcW w:w="711"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0.547</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30-39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0.214</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0.193</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0.155</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0.274</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0.136</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0.296</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0.100</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0.535</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0.083</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0.572</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40-49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0.215</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0.186</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0.156</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0.272</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0.131</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0.297</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0.100</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0.533</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0.081</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0.565</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50-59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0.193</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0.154</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0.137</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0.289</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0.104</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0.326</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0.086</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0.557</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0.061</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0.608</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60-69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0.146</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0.110</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0.099</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0.325</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0.069</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0.377</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0.058</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0.601</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0.037</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0.662</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70-</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0.118</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0.111</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0.076</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0.355</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0.070</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0.367</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0.043</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0.637</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0.039</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0.647</w:t>
            </w:r>
          </w:p>
        </w:tc>
      </w:tr>
    </w:tbl>
    <w:p w:rsidR="00013A11" w:rsidRPr="00CC36E7" w:rsidRDefault="00013A11" w:rsidP="003156AE">
      <w:pPr>
        <w:widowControl/>
        <w:jc w:val="center"/>
        <w:rPr>
          <w:rFonts w:ascii="Times New Roman" w:hAnsi="Times New Roman" w:cs="Times New Roman"/>
          <w:sz w:val="18"/>
          <w:szCs w:val="18"/>
        </w:rPr>
      </w:pPr>
    </w:p>
    <w:p w:rsidR="00C13DE6" w:rsidRPr="00CC36E7" w:rsidRDefault="00013A11"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t>Table 2.2 Mortality population attributable fraction due to insufficient fruit intake by sex and age group, 95%CI</w:t>
      </w:r>
    </w:p>
    <w:tbl>
      <w:tblPr>
        <w:tblStyle w:val="1"/>
        <w:tblW w:w="0" w:type="auto"/>
        <w:tblLook w:val="04A0" w:firstRow="1" w:lastRow="0" w:firstColumn="1" w:lastColumn="0" w:noHBand="0" w:noVBand="1"/>
      </w:tblPr>
      <w:tblGrid>
        <w:gridCol w:w="903"/>
        <w:gridCol w:w="903"/>
        <w:gridCol w:w="1074"/>
        <w:gridCol w:w="960"/>
        <w:gridCol w:w="903"/>
        <w:gridCol w:w="903"/>
        <w:gridCol w:w="1074"/>
        <w:gridCol w:w="960"/>
      </w:tblGrid>
      <w:tr w:rsidR="00013A11" w:rsidRPr="00CC36E7" w:rsidTr="00CC36E7">
        <w:trPr>
          <w:trHeight w:val="285"/>
        </w:trPr>
        <w:tc>
          <w:tcPr>
            <w:tcW w:w="3840" w:type="dxa"/>
            <w:gridSpan w:val="4"/>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fruit(+50g)-MPAF</w:t>
            </w:r>
          </w:p>
        </w:tc>
        <w:tc>
          <w:tcPr>
            <w:tcW w:w="3840" w:type="dxa"/>
            <w:gridSpan w:val="4"/>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fruit(+100g)-MPAF</w:t>
            </w:r>
          </w:p>
        </w:tc>
      </w:tr>
      <w:tr w:rsidR="00CC36E7" w:rsidRPr="00CC36E7" w:rsidTr="00A701E6">
        <w:trPr>
          <w:trHeight w:val="285"/>
        </w:trPr>
        <w:tc>
          <w:tcPr>
            <w:tcW w:w="1806"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2034"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c>
          <w:tcPr>
            <w:tcW w:w="1806"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2034"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r>
      <w:tr w:rsidR="00013A11" w:rsidRPr="00CC36E7" w:rsidTr="00CC36E7">
        <w:trPr>
          <w:trHeight w:val="285"/>
        </w:trPr>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r>
      <w:tr w:rsidR="00013A11" w:rsidRPr="00CC36E7" w:rsidTr="00CC36E7">
        <w:trPr>
          <w:trHeight w:val="285"/>
        </w:trPr>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0.252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0.286 </w:t>
            </w:r>
          </w:p>
        </w:tc>
        <w:tc>
          <w:tcPr>
            <w:tcW w:w="1074"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0.265 </w:t>
            </w:r>
          </w:p>
        </w:tc>
        <w:tc>
          <w:tcPr>
            <w:tcW w:w="960"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0.304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0.459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0.596 </w:t>
            </w:r>
          </w:p>
        </w:tc>
        <w:tc>
          <w:tcPr>
            <w:tcW w:w="1074"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0.479 </w:t>
            </w:r>
          </w:p>
        </w:tc>
        <w:tc>
          <w:tcPr>
            <w:tcW w:w="960"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0.616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0.257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0.292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0.275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0.317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0.466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0.604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0.504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0.640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0.255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0.289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0.276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0.318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0.464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0.602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0.497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0.633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0.269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0.310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0.299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0.354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0.488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0.625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0.540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0.675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0.296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0.355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0.335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0.420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0.534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0.669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0.594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0.731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0.315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0.394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0.324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0.410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0.568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0.705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0.579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0.716 </w:t>
            </w:r>
          </w:p>
        </w:tc>
      </w:tr>
    </w:tbl>
    <w:p w:rsidR="00013A11" w:rsidRDefault="00013A11" w:rsidP="003156AE">
      <w:pPr>
        <w:widowControl/>
        <w:jc w:val="center"/>
        <w:rPr>
          <w:rFonts w:ascii="Times New Roman" w:hAnsi="Times New Roman" w:cs="Times New Roman"/>
          <w:sz w:val="18"/>
          <w:szCs w:val="18"/>
        </w:rPr>
      </w:pPr>
    </w:p>
    <w:p w:rsidR="00CC36E7" w:rsidRDefault="00CC36E7" w:rsidP="003156AE">
      <w:pPr>
        <w:widowControl/>
        <w:jc w:val="center"/>
        <w:rPr>
          <w:rFonts w:ascii="Times New Roman" w:hAnsi="Times New Roman" w:cs="Times New Roman"/>
          <w:sz w:val="18"/>
          <w:szCs w:val="18"/>
        </w:rPr>
      </w:pPr>
    </w:p>
    <w:p w:rsidR="00CC36E7" w:rsidRPr="00CC36E7" w:rsidRDefault="00CC36E7" w:rsidP="003156AE">
      <w:pPr>
        <w:widowControl/>
        <w:jc w:val="center"/>
        <w:rPr>
          <w:rFonts w:ascii="Times New Roman" w:hAnsi="Times New Roman" w:cs="Times New Roman" w:hint="eastAsia"/>
          <w:sz w:val="18"/>
          <w:szCs w:val="18"/>
        </w:rPr>
      </w:pPr>
    </w:p>
    <w:p w:rsidR="007F4C7A" w:rsidRPr="00CC36E7" w:rsidRDefault="00DA4E32"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lastRenderedPageBreak/>
        <w:t xml:space="preserve">Table 3. </w:t>
      </w:r>
      <w:r w:rsidR="00013A11" w:rsidRPr="00CC36E7">
        <w:rPr>
          <w:rFonts w:ascii="Times New Roman" w:hAnsi="Times New Roman" w:cs="Times New Roman"/>
          <w:sz w:val="18"/>
          <w:szCs w:val="18"/>
        </w:rPr>
        <w:t xml:space="preserve">1 </w:t>
      </w:r>
      <w:r w:rsidR="007F4C7A" w:rsidRPr="00CC36E7">
        <w:rPr>
          <w:rFonts w:ascii="Times New Roman" w:hAnsi="Times New Roman" w:cs="Times New Roman"/>
          <w:sz w:val="18"/>
          <w:szCs w:val="18"/>
        </w:rPr>
        <w:t>Prevalence population attributable fraction due to insufficient vegetable intake by sex and age group</w:t>
      </w:r>
    </w:p>
    <w:tbl>
      <w:tblPr>
        <w:tblStyle w:val="1"/>
        <w:tblW w:w="8581" w:type="dxa"/>
        <w:tblLook w:val="04A0" w:firstRow="1" w:lastRow="0" w:firstColumn="1" w:lastColumn="0" w:noHBand="0" w:noVBand="1"/>
      </w:tblPr>
      <w:tblGrid>
        <w:gridCol w:w="880"/>
        <w:gridCol w:w="758"/>
        <w:gridCol w:w="823"/>
        <w:gridCol w:w="865"/>
        <w:gridCol w:w="728"/>
        <w:gridCol w:w="823"/>
        <w:gridCol w:w="728"/>
        <w:gridCol w:w="705"/>
        <w:gridCol w:w="737"/>
        <w:gridCol w:w="823"/>
        <w:gridCol w:w="711"/>
      </w:tblGrid>
      <w:tr w:rsidR="003156AE" w:rsidRPr="00CC36E7" w:rsidTr="00CC36E7">
        <w:trPr>
          <w:trHeight w:val="285"/>
        </w:trPr>
        <w:tc>
          <w:tcPr>
            <w:tcW w:w="880" w:type="dxa"/>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age</w:t>
            </w:r>
          </w:p>
        </w:tc>
        <w:tc>
          <w:tcPr>
            <w:tcW w:w="1581" w:type="dxa"/>
            <w:gridSpan w:val="2"/>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vegetable</w:t>
            </w:r>
          </w:p>
        </w:tc>
        <w:tc>
          <w:tcPr>
            <w:tcW w:w="3144" w:type="dxa"/>
            <w:gridSpan w:val="4"/>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vegetable(+70g)</w:t>
            </w:r>
          </w:p>
        </w:tc>
        <w:tc>
          <w:tcPr>
            <w:tcW w:w="2976" w:type="dxa"/>
            <w:gridSpan w:val="4"/>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vegetable(+140g)</w:t>
            </w:r>
          </w:p>
        </w:tc>
      </w:tr>
      <w:tr w:rsidR="003156AE" w:rsidRPr="00CC36E7" w:rsidTr="00CC36E7">
        <w:trPr>
          <w:trHeight w:val="285"/>
        </w:trPr>
        <w:tc>
          <w:tcPr>
            <w:tcW w:w="880"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p>
        </w:tc>
        <w:tc>
          <w:tcPr>
            <w:tcW w:w="758"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865"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705"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37"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11"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r>
      <w:tr w:rsidR="003156AE" w:rsidRPr="00CC36E7" w:rsidTr="00CC36E7">
        <w:trPr>
          <w:trHeight w:val="285"/>
        </w:trPr>
        <w:tc>
          <w:tcPr>
            <w:tcW w:w="880" w:type="dxa"/>
            <w:tcBorders>
              <w:top w:val="single" w:sz="4" w:space="0" w:color="auto"/>
            </w:tcBorders>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20-29</w:t>
            </w:r>
          </w:p>
        </w:tc>
        <w:tc>
          <w:tcPr>
            <w:tcW w:w="758"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0.046</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0.051</w:t>
            </w:r>
          </w:p>
        </w:tc>
        <w:tc>
          <w:tcPr>
            <w:tcW w:w="865"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0.030</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0.351</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0.034</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0.328</w:t>
            </w:r>
          </w:p>
        </w:tc>
        <w:tc>
          <w:tcPr>
            <w:tcW w:w="705"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0.016</w:t>
            </w:r>
          </w:p>
        </w:tc>
        <w:tc>
          <w:tcPr>
            <w:tcW w:w="737"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0.640</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0.068</w:t>
            </w:r>
          </w:p>
        </w:tc>
        <w:tc>
          <w:tcPr>
            <w:tcW w:w="711"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0.609</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30-39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0.043</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0.045</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0.027</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0.369</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0.029</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0.354</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0.015</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0.661</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0.063</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0.654</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40-49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0.040</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0.045</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0.025</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0.366</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0.029</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0.356</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0.014</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0.659</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0.062</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0.655</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50-59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0.039</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0.038</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0.025</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0.366</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0.023</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0.387</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0.013</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0.662</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0.046</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0.697</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60-69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0.033</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0.030</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0.020</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0.382</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0.017</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0.425</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0.011</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0.674</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0.029</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0.736</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70-</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0.034</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0.036</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0.021</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0.373</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0.023</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0.356</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0.012</w:t>
            </w:r>
          </w:p>
        </w:tc>
        <w:tc>
          <w:tcPr>
            <w:tcW w:w="737"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0.656</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0.030</w:t>
            </w:r>
          </w:p>
        </w:tc>
        <w:tc>
          <w:tcPr>
            <w:tcW w:w="711"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0.643</w:t>
            </w:r>
          </w:p>
        </w:tc>
      </w:tr>
    </w:tbl>
    <w:p w:rsidR="00013A11" w:rsidRPr="00CC36E7" w:rsidRDefault="00013A11" w:rsidP="00013A11">
      <w:pPr>
        <w:widowControl/>
        <w:jc w:val="center"/>
        <w:rPr>
          <w:rFonts w:ascii="Times New Roman" w:hAnsi="Times New Roman" w:cs="Times New Roman"/>
          <w:sz w:val="18"/>
          <w:szCs w:val="18"/>
        </w:rPr>
      </w:pPr>
    </w:p>
    <w:p w:rsidR="003156AE" w:rsidRPr="00CC36E7" w:rsidRDefault="00013A11"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t>Table 3.2 Prevalence population attributable fraction due to insufficient vegetable intake by sex and age group, 95% CI</w:t>
      </w:r>
    </w:p>
    <w:tbl>
      <w:tblPr>
        <w:tblStyle w:val="1"/>
        <w:tblW w:w="0" w:type="auto"/>
        <w:tblLook w:val="04A0" w:firstRow="1" w:lastRow="0" w:firstColumn="1" w:lastColumn="0" w:noHBand="0" w:noVBand="1"/>
      </w:tblPr>
      <w:tblGrid>
        <w:gridCol w:w="903"/>
        <w:gridCol w:w="903"/>
        <w:gridCol w:w="1074"/>
        <w:gridCol w:w="960"/>
        <w:gridCol w:w="903"/>
        <w:gridCol w:w="903"/>
        <w:gridCol w:w="1074"/>
        <w:gridCol w:w="960"/>
      </w:tblGrid>
      <w:tr w:rsidR="00013A11" w:rsidRPr="00CC36E7" w:rsidTr="00CC36E7">
        <w:trPr>
          <w:trHeight w:val="285"/>
        </w:trPr>
        <w:tc>
          <w:tcPr>
            <w:tcW w:w="3840" w:type="dxa"/>
            <w:gridSpan w:val="4"/>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vegetable(+70g)-PPAF</w:t>
            </w:r>
          </w:p>
        </w:tc>
        <w:tc>
          <w:tcPr>
            <w:tcW w:w="3840" w:type="dxa"/>
            <w:gridSpan w:val="4"/>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vegetable(+140g)-PPAF</w:t>
            </w:r>
          </w:p>
        </w:tc>
      </w:tr>
      <w:tr w:rsidR="00CC36E7" w:rsidRPr="00CC36E7" w:rsidTr="00363E7A">
        <w:trPr>
          <w:trHeight w:val="285"/>
        </w:trPr>
        <w:tc>
          <w:tcPr>
            <w:tcW w:w="1806"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2034"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c>
          <w:tcPr>
            <w:tcW w:w="1806"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2034" w:type="dxa"/>
            <w:gridSpan w:val="2"/>
            <w:tcBorders>
              <w:bottom w:val="nil"/>
            </w:tcBorders>
            <w:noWrap/>
            <w:hideMark/>
          </w:tcPr>
          <w:p w:rsidR="00CC36E7" w:rsidRPr="00CC36E7" w:rsidRDefault="00CC36E7"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r>
      <w:tr w:rsidR="00013A11" w:rsidRPr="00CC36E7" w:rsidTr="00CC36E7">
        <w:trPr>
          <w:trHeight w:val="285"/>
        </w:trPr>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r>
      <w:tr w:rsidR="00013A11" w:rsidRPr="00CC36E7" w:rsidTr="00CC36E7">
        <w:trPr>
          <w:trHeight w:val="285"/>
        </w:trPr>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0.251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0.451 </w:t>
            </w:r>
          </w:p>
        </w:tc>
        <w:tc>
          <w:tcPr>
            <w:tcW w:w="1074"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0.243 </w:t>
            </w:r>
          </w:p>
        </w:tc>
        <w:tc>
          <w:tcPr>
            <w:tcW w:w="960"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0.412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0.561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0.719 </w:t>
            </w:r>
          </w:p>
        </w:tc>
        <w:tc>
          <w:tcPr>
            <w:tcW w:w="1074"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0.534 </w:t>
            </w:r>
          </w:p>
        </w:tc>
        <w:tc>
          <w:tcPr>
            <w:tcW w:w="960"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0.684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0.263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0.475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0.255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0.453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0.741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0.576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0.732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0.254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0.479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0.257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0.454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0.577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0.740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0.577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0.734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0.251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0.481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0.268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0.505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0.744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0.612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0.783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0.240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0.524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0.261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0.590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0.583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0.765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0.633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0.838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0.237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0.510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0.233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0.480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0.568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0.744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0.558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0.727 </w:t>
            </w:r>
          </w:p>
        </w:tc>
      </w:tr>
    </w:tbl>
    <w:p w:rsidR="00013A11" w:rsidRPr="00CC36E7" w:rsidRDefault="00013A11" w:rsidP="003156AE">
      <w:pPr>
        <w:widowControl/>
        <w:jc w:val="center"/>
        <w:rPr>
          <w:rFonts w:ascii="Times New Roman" w:hAnsi="Times New Roman" w:cs="Times New Roman"/>
          <w:sz w:val="18"/>
          <w:szCs w:val="18"/>
        </w:rPr>
      </w:pPr>
    </w:p>
    <w:p w:rsidR="007F4C7A" w:rsidRPr="00CC36E7" w:rsidRDefault="00DA4E32"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t>Table 4.</w:t>
      </w:r>
      <w:r w:rsidR="00013A11" w:rsidRPr="00CC36E7">
        <w:rPr>
          <w:rFonts w:ascii="Times New Roman" w:hAnsi="Times New Roman" w:cs="Times New Roman"/>
          <w:sz w:val="18"/>
          <w:szCs w:val="18"/>
        </w:rPr>
        <w:t>1</w:t>
      </w:r>
      <w:r w:rsidRPr="00CC36E7">
        <w:rPr>
          <w:rFonts w:ascii="Times New Roman" w:hAnsi="Times New Roman" w:cs="Times New Roman"/>
          <w:sz w:val="18"/>
          <w:szCs w:val="18"/>
        </w:rPr>
        <w:t xml:space="preserve"> </w:t>
      </w:r>
      <w:r w:rsidR="007F4C7A" w:rsidRPr="00CC36E7">
        <w:rPr>
          <w:rFonts w:ascii="Times New Roman" w:hAnsi="Times New Roman" w:cs="Times New Roman"/>
          <w:sz w:val="18"/>
          <w:szCs w:val="18"/>
        </w:rPr>
        <w:t>Mortality population attributable fraction due to insufficient vegetable intake by sex and age group</w:t>
      </w:r>
    </w:p>
    <w:tbl>
      <w:tblPr>
        <w:tblStyle w:val="1"/>
        <w:tblW w:w="8589" w:type="dxa"/>
        <w:tblLook w:val="04A0" w:firstRow="1" w:lastRow="0" w:firstColumn="1" w:lastColumn="0" w:noHBand="0" w:noVBand="1"/>
      </w:tblPr>
      <w:tblGrid>
        <w:gridCol w:w="880"/>
        <w:gridCol w:w="758"/>
        <w:gridCol w:w="823"/>
        <w:gridCol w:w="865"/>
        <w:gridCol w:w="728"/>
        <w:gridCol w:w="823"/>
        <w:gridCol w:w="728"/>
        <w:gridCol w:w="705"/>
        <w:gridCol w:w="728"/>
        <w:gridCol w:w="823"/>
        <w:gridCol w:w="728"/>
      </w:tblGrid>
      <w:tr w:rsidR="003156AE" w:rsidRPr="00CC36E7" w:rsidTr="00CC36E7">
        <w:trPr>
          <w:trHeight w:val="285"/>
        </w:trPr>
        <w:tc>
          <w:tcPr>
            <w:tcW w:w="880" w:type="dxa"/>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age</w:t>
            </w:r>
          </w:p>
        </w:tc>
        <w:tc>
          <w:tcPr>
            <w:tcW w:w="1581" w:type="dxa"/>
            <w:gridSpan w:val="2"/>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vegetable</w:t>
            </w:r>
          </w:p>
        </w:tc>
        <w:tc>
          <w:tcPr>
            <w:tcW w:w="3144" w:type="dxa"/>
            <w:gridSpan w:val="4"/>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vegetable(+70g)</w:t>
            </w:r>
          </w:p>
        </w:tc>
        <w:tc>
          <w:tcPr>
            <w:tcW w:w="2984" w:type="dxa"/>
            <w:gridSpan w:val="4"/>
            <w:tcBorders>
              <w:bottom w:val="nil"/>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vegetable(+140g)</w:t>
            </w:r>
          </w:p>
        </w:tc>
      </w:tr>
      <w:tr w:rsidR="003156AE" w:rsidRPr="00CC36E7" w:rsidTr="00CC36E7">
        <w:trPr>
          <w:trHeight w:val="285"/>
        </w:trPr>
        <w:tc>
          <w:tcPr>
            <w:tcW w:w="880"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p>
        </w:tc>
        <w:tc>
          <w:tcPr>
            <w:tcW w:w="758"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865"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705"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c>
          <w:tcPr>
            <w:tcW w:w="823" w:type="dxa"/>
            <w:tcBorders>
              <w:top w:val="nil"/>
              <w:bottom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female</w:t>
            </w:r>
          </w:p>
        </w:tc>
        <w:tc>
          <w:tcPr>
            <w:tcW w:w="728" w:type="dxa"/>
            <w:tcBorders>
              <w:top w:val="nil"/>
              <w:bottom w:val="single" w:sz="4" w:space="0" w:color="auto"/>
            </w:tcBorders>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w:t>
            </w:r>
          </w:p>
        </w:tc>
      </w:tr>
      <w:tr w:rsidR="003156AE" w:rsidRPr="00CC36E7" w:rsidTr="00CC36E7">
        <w:trPr>
          <w:trHeight w:val="285"/>
        </w:trPr>
        <w:tc>
          <w:tcPr>
            <w:tcW w:w="880" w:type="dxa"/>
            <w:tcBorders>
              <w:top w:val="single" w:sz="4" w:space="0" w:color="auto"/>
            </w:tcBorders>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20-29</w:t>
            </w:r>
          </w:p>
        </w:tc>
        <w:tc>
          <w:tcPr>
            <w:tcW w:w="758"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0.118</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0.133</w:t>
            </w:r>
          </w:p>
        </w:tc>
        <w:tc>
          <w:tcPr>
            <w:tcW w:w="865"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0.078</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0.342</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0.091</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0.317</w:t>
            </w:r>
          </w:p>
        </w:tc>
        <w:tc>
          <w:tcPr>
            <w:tcW w:w="705"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0.044</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0.627</w:t>
            </w:r>
          </w:p>
        </w:tc>
        <w:tc>
          <w:tcPr>
            <w:tcW w:w="823" w:type="dxa"/>
            <w:tcBorders>
              <w:top w:val="single" w:sz="4" w:space="0" w:color="auto"/>
            </w:tcBorders>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0.055</w:t>
            </w:r>
          </w:p>
        </w:tc>
        <w:tc>
          <w:tcPr>
            <w:tcW w:w="728" w:type="dxa"/>
            <w:tcBorders>
              <w:top w:val="single" w:sz="4" w:space="0" w:color="auto"/>
            </w:tcBorders>
          </w:tcPr>
          <w:p w:rsidR="003156AE" w:rsidRPr="00CC36E7" w:rsidRDefault="003156AE" w:rsidP="003156AE">
            <w:pPr>
              <w:widowControl/>
              <w:jc w:val="center"/>
              <w:rPr>
                <w:rFonts w:ascii="Times New Roman" w:hAnsi="Times New Roman" w:cs="Times New Roman"/>
                <w:color w:val="000000"/>
                <w:szCs w:val="18"/>
              </w:rPr>
            </w:pPr>
            <w:r w:rsidRPr="00CC36E7">
              <w:rPr>
                <w:rFonts w:ascii="Times New Roman" w:hAnsi="Times New Roman" w:cs="Times New Roman"/>
                <w:color w:val="000000"/>
                <w:szCs w:val="18"/>
              </w:rPr>
              <w:t>0.588</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30-39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0.112</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0.119</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0.071</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0.361</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0.078</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0.341</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0.039</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0.649</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0.044</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0.632</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40-49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0.104</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0.118</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0.067</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0.357</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0.078</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0.341</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0.037</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0.647</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0.043</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0.633</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50-59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0.103</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0.101</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0.066</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0.359</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0.063</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0.371</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0.036</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0.651</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0.033</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0.675</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60-69</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0.087</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0.080</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0.054</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0.377</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0.047</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0.408</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0.029</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0.666</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0.023</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0.712</w:t>
            </w:r>
          </w:p>
        </w:tc>
      </w:tr>
      <w:tr w:rsidR="003156AE" w:rsidRPr="00CC36E7" w:rsidTr="00CC36E7">
        <w:trPr>
          <w:trHeight w:val="285"/>
        </w:trPr>
        <w:tc>
          <w:tcPr>
            <w:tcW w:w="880" w:type="dxa"/>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70-</w:t>
            </w:r>
          </w:p>
        </w:tc>
        <w:tc>
          <w:tcPr>
            <w:tcW w:w="758"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0.090</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0.096</w:t>
            </w:r>
          </w:p>
        </w:tc>
        <w:tc>
          <w:tcPr>
            <w:tcW w:w="86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0.057</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0.369</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0.062</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0.354</w:t>
            </w:r>
          </w:p>
        </w:tc>
        <w:tc>
          <w:tcPr>
            <w:tcW w:w="705"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0.032</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0.648</w:t>
            </w:r>
          </w:p>
        </w:tc>
        <w:tc>
          <w:tcPr>
            <w:tcW w:w="823" w:type="dxa"/>
            <w:noWrap/>
            <w:hideMark/>
          </w:tcPr>
          <w:p w:rsidR="003156AE" w:rsidRPr="00CC36E7" w:rsidRDefault="003156AE" w:rsidP="003156AE">
            <w:pPr>
              <w:widowControl/>
              <w:jc w:val="center"/>
              <w:rPr>
                <w:rFonts w:ascii="Times New Roman" w:hAnsi="Times New Roman" w:cs="Times New Roman"/>
                <w:szCs w:val="18"/>
              </w:rPr>
            </w:pPr>
            <w:r w:rsidRPr="00CC36E7">
              <w:rPr>
                <w:rFonts w:ascii="Times New Roman" w:hAnsi="Times New Roman" w:cs="Times New Roman"/>
                <w:szCs w:val="18"/>
              </w:rPr>
              <w:t>0.035</w:t>
            </w:r>
          </w:p>
        </w:tc>
        <w:tc>
          <w:tcPr>
            <w:tcW w:w="728" w:type="dxa"/>
          </w:tcPr>
          <w:p w:rsidR="003156AE" w:rsidRPr="00CC36E7" w:rsidRDefault="003156AE" w:rsidP="003156AE">
            <w:pPr>
              <w:jc w:val="center"/>
              <w:rPr>
                <w:rFonts w:ascii="Times New Roman" w:hAnsi="Times New Roman" w:cs="Times New Roman"/>
                <w:color w:val="000000"/>
                <w:szCs w:val="18"/>
              </w:rPr>
            </w:pPr>
            <w:r w:rsidRPr="00CC36E7">
              <w:rPr>
                <w:rFonts w:ascii="Times New Roman" w:hAnsi="Times New Roman" w:cs="Times New Roman"/>
                <w:color w:val="000000"/>
                <w:szCs w:val="18"/>
              </w:rPr>
              <w:t>0.635</w:t>
            </w:r>
          </w:p>
        </w:tc>
      </w:tr>
    </w:tbl>
    <w:p w:rsidR="00013A11" w:rsidRPr="00CC36E7" w:rsidRDefault="00013A11" w:rsidP="00013A11">
      <w:pPr>
        <w:widowControl/>
        <w:jc w:val="center"/>
        <w:rPr>
          <w:rFonts w:ascii="Times New Roman" w:hAnsi="Times New Roman" w:cs="Times New Roman"/>
          <w:sz w:val="18"/>
          <w:szCs w:val="18"/>
        </w:rPr>
      </w:pPr>
    </w:p>
    <w:p w:rsidR="003156AE" w:rsidRPr="00CC36E7" w:rsidRDefault="00013A11" w:rsidP="003156AE">
      <w:pPr>
        <w:widowControl/>
        <w:jc w:val="center"/>
        <w:rPr>
          <w:rFonts w:ascii="Times New Roman" w:hAnsi="Times New Roman" w:cs="Times New Roman"/>
          <w:sz w:val="18"/>
          <w:szCs w:val="18"/>
        </w:rPr>
      </w:pPr>
      <w:r w:rsidRPr="00CC36E7">
        <w:rPr>
          <w:rFonts w:ascii="Times New Roman" w:hAnsi="Times New Roman" w:cs="Times New Roman"/>
          <w:sz w:val="18"/>
          <w:szCs w:val="18"/>
        </w:rPr>
        <w:t>Table 4.2 Mortality population attributable fraction due to insufficient vegetable intake by sex and age group, 95%CI</w:t>
      </w:r>
    </w:p>
    <w:tbl>
      <w:tblPr>
        <w:tblStyle w:val="1"/>
        <w:tblW w:w="0" w:type="auto"/>
        <w:tblLook w:val="04A0" w:firstRow="1" w:lastRow="0" w:firstColumn="1" w:lastColumn="0" w:noHBand="0" w:noVBand="1"/>
      </w:tblPr>
      <w:tblGrid>
        <w:gridCol w:w="903"/>
        <w:gridCol w:w="903"/>
        <w:gridCol w:w="1074"/>
        <w:gridCol w:w="960"/>
        <w:gridCol w:w="903"/>
        <w:gridCol w:w="903"/>
        <w:gridCol w:w="1074"/>
        <w:gridCol w:w="960"/>
      </w:tblGrid>
      <w:tr w:rsidR="00013A11" w:rsidRPr="00CC36E7" w:rsidTr="00CC36E7">
        <w:trPr>
          <w:trHeight w:val="285"/>
        </w:trPr>
        <w:tc>
          <w:tcPr>
            <w:tcW w:w="3840" w:type="dxa"/>
            <w:gridSpan w:val="4"/>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vegetable(+70g)-MPAF</w:t>
            </w:r>
          </w:p>
        </w:tc>
        <w:tc>
          <w:tcPr>
            <w:tcW w:w="3840" w:type="dxa"/>
            <w:gridSpan w:val="4"/>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vegetable(+140g)-MPAF</w:t>
            </w:r>
          </w:p>
        </w:tc>
      </w:tr>
      <w:tr w:rsidR="00013A11" w:rsidRPr="00CC36E7" w:rsidTr="00CC36E7">
        <w:trPr>
          <w:trHeight w:val="285"/>
        </w:trPr>
        <w:tc>
          <w:tcPr>
            <w:tcW w:w="903" w:type="dxa"/>
            <w:tcBorders>
              <w:bottom w:val="nil"/>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903" w:type="dxa"/>
            <w:tcBorders>
              <w:bottom w:val="nil"/>
            </w:tcBorders>
            <w:noWrap/>
            <w:hideMark/>
          </w:tcPr>
          <w:p w:rsidR="00013A11" w:rsidRPr="00CC36E7" w:rsidRDefault="00013A11" w:rsidP="00013A11">
            <w:pPr>
              <w:widowControl/>
              <w:jc w:val="center"/>
              <w:rPr>
                <w:rFonts w:ascii="Times New Roman" w:hAnsi="Times New Roman" w:cs="Times New Roman"/>
                <w:szCs w:val="18"/>
              </w:rPr>
            </w:pPr>
          </w:p>
        </w:tc>
        <w:tc>
          <w:tcPr>
            <w:tcW w:w="1074" w:type="dxa"/>
            <w:tcBorders>
              <w:bottom w:val="nil"/>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c>
          <w:tcPr>
            <w:tcW w:w="960" w:type="dxa"/>
            <w:tcBorders>
              <w:bottom w:val="nil"/>
            </w:tcBorders>
            <w:noWrap/>
            <w:hideMark/>
          </w:tcPr>
          <w:p w:rsidR="00013A11" w:rsidRPr="00CC36E7" w:rsidRDefault="00013A11" w:rsidP="00013A11">
            <w:pPr>
              <w:widowControl/>
              <w:jc w:val="center"/>
              <w:rPr>
                <w:rFonts w:ascii="Times New Roman" w:hAnsi="Times New Roman" w:cs="Times New Roman"/>
                <w:szCs w:val="18"/>
              </w:rPr>
            </w:pPr>
          </w:p>
        </w:tc>
        <w:tc>
          <w:tcPr>
            <w:tcW w:w="903" w:type="dxa"/>
            <w:tcBorders>
              <w:bottom w:val="nil"/>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male</w:t>
            </w:r>
          </w:p>
        </w:tc>
        <w:tc>
          <w:tcPr>
            <w:tcW w:w="903" w:type="dxa"/>
            <w:tcBorders>
              <w:bottom w:val="nil"/>
            </w:tcBorders>
            <w:noWrap/>
            <w:hideMark/>
          </w:tcPr>
          <w:p w:rsidR="00013A11" w:rsidRPr="00CC36E7" w:rsidRDefault="00013A11" w:rsidP="00013A11">
            <w:pPr>
              <w:widowControl/>
              <w:jc w:val="center"/>
              <w:rPr>
                <w:rFonts w:ascii="Times New Roman" w:hAnsi="Times New Roman" w:cs="Times New Roman"/>
                <w:szCs w:val="18"/>
              </w:rPr>
            </w:pPr>
          </w:p>
        </w:tc>
        <w:tc>
          <w:tcPr>
            <w:tcW w:w="1074" w:type="dxa"/>
            <w:tcBorders>
              <w:bottom w:val="nil"/>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female</w:t>
            </w:r>
          </w:p>
        </w:tc>
        <w:tc>
          <w:tcPr>
            <w:tcW w:w="960" w:type="dxa"/>
            <w:tcBorders>
              <w:bottom w:val="nil"/>
            </w:tcBorders>
            <w:noWrap/>
            <w:hideMark/>
          </w:tcPr>
          <w:p w:rsidR="00013A11" w:rsidRPr="00CC36E7" w:rsidRDefault="00013A11" w:rsidP="00013A11">
            <w:pPr>
              <w:widowControl/>
              <w:jc w:val="center"/>
              <w:rPr>
                <w:rFonts w:ascii="Times New Roman" w:hAnsi="Times New Roman" w:cs="Times New Roman"/>
                <w:szCs w:val="18"/>
              </w:rPr>
            </w:pPr>
          </w:p>
        </w:tc>
      </w:tr>
      <w:tr w:rsidR="00013A11" w:rsidRPr="00CC36E7" w:rsidTr="00CC36E7">
        <w:trPr>
          <w:trHeight w:val="285"/>
        </w:trPr>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03"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c>
          <w:tcPr>
            <w:tcW w:w="1074"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lower</w:t>
            </w:r>
          </w:p>
        </w:tc>
        <w:tc>
          <w:tcPr>
            <w:tcW w:w="960" w:type="dxa"/>
            <w:tcBorders>
              <w:top w:val="nil"/>
              <w:bottom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upper</w:t>
            </w:r>
          </w:p>
        </w:tc>
      </w:tr>
      <w:tr w:rsidR="00013A11" w:rsidRPr="00CC36E7" w:rsidTr="00CC36E7">
        <w:trPr>
          <w:trHeight w:val="285"/>
        </w:trPr>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0.318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0.367 </w:t>
            </w:r>
          </w:p>
        </w:tc>
        <w:tc>
          <w:tcPr>
            <w:tcW w:w="1074"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0.296 </w:t>
            </w:r>
          </w:p>
        </w:tc>
        <w:tc>
          <w:tcPr>
            <w:tcW w:w="960"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0.338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0.560 </w:t>
            </w:r>
          </w:p>
        </w:tc>
        <w:tc>
          <w:tcPr>
            <w:tcW w:w="903"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0.694 </w:t>
            </w:r>
          </w:p>
        </w:tc>
        <w:tc>
          <w:tcPr>
            <w:tcW w:w="1074"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0.520 </w:t>
            </w:r>
          </w:p>
        </w:tc>
        <w:tc>
          <w:tcPr>
            <w:tcW w:w="960" w:type="dxa"/>
            <w:tcBorders>
              <w:top w:val="single" w:sz="4" w:space="0" w:color="auto"/>
            </w:tcBorders>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0.655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0.335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0.388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0.316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0.365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0.582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0.716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0.565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0.699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0.328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0.387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0.316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0.366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0.714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0.566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0.699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0.330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0.388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0.341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0.401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0.584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0.718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0.608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0.741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0.341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0.413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0.368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0.449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0.598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0.733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0.645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0.779 </w:t>
            </w:r>
          </w:p>
        </w:tc>
      </w:tr>
      <w:tr w:rsidR="00013A11" w:rsidRPr="00CC36E7" w:rsidTr="00CC36E7">
        <w:trPr>
          <w:trHeight w:val="285"/>
        </w:trPr>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0.335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0.403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0.322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0.385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0.581 </w:t>
            </w:r>
          </w:p>
        </w:tc>
        <w:tc>
          <w:tcPr>
            <w:tcW w:w="903"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0.715 </w:t>
            </w:r>
          </w:p>
        </w:tc>
        <w:tc>
          <w:tcPr>
            <w:tcW w:w="1074"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0.568 </w:t>
            </w:r>
          </w:p>
        </w:tc>
        <w:tc>
          <w:tcPr>
            <w:tcW w:w="960" w:type="dxa"/>
            <w:noWrap/>
            <w:hideMark/>
          </w:tcPr>
          <w:p w:rsidR="00013A11" w:rsidRPr="00CC36E7" w:rsidRDefault="00013A11" w:rsidP="00013A11">
            <w:pPr>
              <w:widowControl/>
              <w:jc w:val="center"/>
              <w:rPr>
                <w:rFonts w:ascii="Times New Roman" w:hAnsi="Times New Roman" w:cs="Times New Roman"/>
                <w:szCs w:val="18"/>
              </w:rPr>
            </w:pPr>
            <w:r w:rsidRPr="00CC36E7">
              <w:rPr>
                <w:rFonts w:ascii="Times New Roman" w:hAnsi="Times New Roman" w:cs="Times New Roman" w:hint="eastAsia"/>
                <w:szCs w:val="18"/>
              </w:rPr>
              <w:t xml:space="preserve">0.702 </w:t>
            </w:r>
          </w:p>
        </w:tc>
      </w:tr>
    </w:tbl>
    <w:p w:rsidR="00013A11" w:rsidRPr="00CC36E7" w:rsidRDefault="00013A11" w:rsidP="003156AE">
      <w:pPr>
        <w:widowControl/>
        <w:jc w:val="center"/>
        <w:rPr>
          <w:rFonts w:ascii="Times New Roman" w:hAnsi="Times New Roman" w:cs="Times New Roman"/>
          <w:sz w:val="18"/>
          <w:szCs w:val="18"/>
        </w:rPr>
      </w:pPr>
    </w:p>
    <w:p w:rsidR="00C13DE6" w:rsidRPr="00CC36E7" w:rsidRDefault="00C13DE6">
      <w:pPr>
        <w:widowControl/>
        <w:jc w:val="left"/>
        <w:rPr>
          <w:rFonts w:ascii="Times New Roman" w:hAnsi="Times New Roman" w:cs="Times New Roman"/>
          <w:sz w:val="18"/>
          <w:szCs w:val="18"/>
        </w:rPr>
      </w:pPr>
    </w:p>
    <w:p w:rsidR="00C94355" w:rsidRPr="00CC36E7" w:rsidRDefault="00DA4E32">
      <w:pPr>
        <w:rPr>
          <w:rFonts w:ascii="Times New Roman" w:hAnsi="Times New Roman" w:cs="Times New Roman"/>
          <w:sz w:val="18"/>
          <w:szCs w:val="18"/>
        </w:rPr>
      </w:pPr>
      <w:r w:rsidRPr="00CC36E7">
        <w:rPr>
          <w:rFonts w:ascii="Times New Roman" w:hAnsi="Times New Roman" w:cs="Times New Roman"/>
          <w:sz w:val="18"/>
          <w:szCs w:val="18"/>
        </w:rPr>
        <w:t xml:space="preserve">Table 5.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male in 2015</w:t>
      </w:r>
    </w:p>
    <w:tbl>
      <w:tblPr>
        <w:tblStyle w:val="1"/>
        <w:tblW w:w="0" w:type="auto"/>
        <w:tblLook w:val="04A0" w:firstRow="1" w:lastRow="0" w:firstColumn="1" w:lastColumn="0" w:noHBand="0" w:noVBand="1"/>
      </w:tblPr>
      <w:tblGrid>
        <w:gridCol w:w="3620"/>
        <w:gridCol w:w="1040"/>
        <w:gridCol w:w="1040"/>
        <w:gridCol w:w="1040"/>
        <w:gridCol w:w="1040"/>
      </w:tblGrid>
      <w:tr w:rsidR="009F2203" w:rsidRPr="00CC36E7" w:rsidTr="00CC36E7">
        <w:trPr>
          <w:trHeight w:val="285"/>
        </w:trPr>
        <w:tc>
          <w:tcPr>
            <w:tcW w:w="362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620" w:type="dxa"/>
            <w:tcBorders>
              <w:top w:val="single" w:sz="4" w:space="0" w:color="auto"/>
            </w:tcBorders>
            <w:noWrap/>
            <w:hideMark/>
          </w:tcPr>
          <w:p w:rsidR="009F2203" w:rsidRPr="00CC36E7" w:rsidRDefault="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744054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1532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583146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1325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60726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50800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44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100004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131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83502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116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38700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32349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28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68489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57107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84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21295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7978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40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40469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34007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49 </w:t>
            </w:r>
          </w:p>
        </w:tc>
      </w:tr>
    </w:tbl>
    <w:p w:rsidR="009F2203" w:rsidRPr="00CC36E7" w:rsidRDefault="009F2203">
      <w:pPr>
        <w:rPr>
          <w:rFonts w:ascii="Times New Roman" w:hAnsi="Times New Roman" w:cs="Times New Roman"/>
          <w:sz w:val="18"/>
          <w:szCs w:val="18"/>
        </w:rPr>
      </w:pPr>
    </w:p>
    <w:p w:rsidR="007F4C7A" w:rsidRPr="00CC36E7" w:rsidRDefault="00DA4E32" w:rsidP="007F4C7A">
      <w:pPr>
        <w:rPr>
          <w:rFonts w:ascii="Times New Roman" w:hAnsi="Times New Roman" w:cs="Times New Roman"/>
          <w:sz w:val="18"/>
          <w:szCs w:val="18"/>
        </w:rPr>
      </w:pPr>
      <w:r w:rsidRPr="00CC36E7">
        <w:rPr>
          <w:rFonts w:ascii="Times New Roman" w:hAnsi="Times New Roman" w:cs="Times New Roman"/>
          <w:sz w:val="18"/>
          <w:szCs w:val="18"/>
        </w:rPr>
        <w:t xml:space="preserve">Table 6.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female in 2015</w:t>
      </w:r>
    </w:p>
    <w:tbl>
      <w:tblPr>
        <w:tblStyle w:val="1"/>
        <w:tblW w:w="0" w:type="auto"/>
        <w:tblLook w:val="04A0" w:firstRow="1" w:lastRow="0" w:firstColumn="1" w:lastColumn="0" w:noHBand="0" w:noVBand="1"/>
      </w:tblPr>
      <w:tblGrid>
        <w:gridCol w:w="3620"/>
        <w:gridCol w:w="1040"/>
        <w:gridCol w:w="1040"/>
        <w:gridCol w:w="1040"/>
        <w:gridCol w:w="1040"/>
      </w:tblGrid>
      <w:tr w:rsidR="009F2203" w:rsidRPr="00CC36E7" w:rsidTr="00CC36E7">
        <w:trPr>
          <w:trHeight w:val="285"/>
        </w:trPr>
        <w:tc>
          <w:tcPr>
            <w:tcW w:w="362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62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704244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1525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357045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1003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59319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31807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36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78200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40349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79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37981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20340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23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50936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26004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54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21017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5134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34 </w:t>
            </w:r>
          </w:p>
        </w:tc>
      </w:tr>
      <w:tr w:rsidR="009F2203" w:rsidRPr="00CC36E7" w:rsidTr="00CC36E7">
        <w:trPr>
          <w:trHeight w:val="285"/>
        </w:trPr>
        <w:tc>
          <w:tcPr>
            <w:tcW w:w="362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28706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14607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31 </w:t>
            </w:r>
          </w:p>
        </w:tc>
      </w:tr>
    </w:tbl>
    <w:p w:rsidR="009F2203" w:rsidRPr="00CC36E7" w:rsidRDefault="009F2203">
      <w:pPr>
        <w:rPr>
          <w:rFonts w:ascii="Times New Roman" w:hAnsi="Times New Roman" w:cs="Times New Roman"/>
          <w:sz w:val="18"/>
          <w:szCs w:val="18"/>
        </w:rPr>
      </w:pPr>
    </w:p>
    <w:p w:rsidR="007F4C7A" w:rsidRPr="00CC36E7" w:rsidRDefault="00DA4E32" w:rsidP="007F4C7A">
      <w:pPr>
        <w:rPr>
          <w:rFonts w:ascii="Times New Roman" w:hAnsi="Times New Roman" w:cs="Times New Roman"/>
          <w:sz w:val="18"/>
          <w:szCs w:val="18"/>
        </w:rPr>
      </w:pPr>
      <w:r w:rsidRPr="00CC36E7">
        <w:rPr>
          <w:rFonts w:ascii="Times New Roman" w:hAnsi="Times New Roman" w:cs="Times New Roman"/>
          <w:sz w:val="18"/>
          <w:szCs w:val="18"/>
        </w:rPr>
        <w:t xml:space="preserve">Table 7.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male in 2030</w:t>
      </w:r>
    </w:p>
    <w:tbl>
      <w:tblPr>
        <w:tblStyle w:val="1"/>
        <w:tblW w:w="0" w:type="auto"/>
        <w:tblLook w:val="04A0" w:firstRow="1" w:lastRow="0" w:firstColumn="1" w:lastColumn="0" w:noHBand="0" w:noVBand="1"/>
      </w:tblPr>
      <w:tblGrid>
        <w:gridCol w:w="3525"/>
        <w:gridCol w:w="1040"/>
        <w:gridCol w:w="1040"/>
        <w:gridCol w:w="1040"/>
        <w:gridCol w:w="1040"/>
      </w:tblGrid>
      <w:tr w:rsidR="009F2203" w:rsidRPr="00CC36E7" w:rsidTr="00CC36E7">
        <w:trPr>
          <w:trHeight w:val="285"/>
        </w:trPr>
        <w:tc>
          <w:tcPr>
            <w:tcW w:w="3525"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525"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946684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1820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698501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1553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77131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60603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52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122350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158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96409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130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49251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38670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32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82986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65414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94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27187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9541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47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48537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38624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55 </w:t>
            </w:r>
          </w:p>
        </w:tc>
      </w:tr>
    </w:tbl>
    <w:p w:rsidR="009F2203" w:rsidRPr="00CC36E7" w:rsidRDefault="009F2203">
      <w:pPr>
        <w:rPr>
          <w:rFonts w:ascii="Times New Roman" w:hAnsi="Times New Roman" w:cs="Times New Roman"/>
          <w:sz w:val="18"/>
          <w:szCs w:val="18"/>
        </w:rPr>
      </w:pPr>
    </w:p>
    <w:p w:rsidR="007F4C7A" w:rsidRPr="00CC36E7" w:rsidRDefault="00DA4E32" w:rsidP="007F4C7A">
      <w:pPr>
        <w:rPr>
          <w:rFonts w:ascii="Times New Roman" w:hAnsi="Times New Roman" w:cs="Times New Roman"/>
          <w:sz w:val="18"/>
          <w:szCs w:val="18"/>
        </w:rPr>
      </w:pPr>
      <w:r w:rsidRPr="00CC36E7">
        <w:rPr>
          <w:rFonts w:ascii="Times New Roman" w:hAnsi="Times New Roman" w:cs="Times New Roman"/>
          <w:sz w:val="18"/>
          <w:szCs w:val="18"/>
        </w:rPr>
        <w:t xml:space="preserve">Table 8.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female in 2030</w:t>
      </w:r>
    </w:p>
    <w:tbl>
      <w:tblPr>
        <w:tblStyle w:val="1"/>
        <w:tblW w:w="0" w:type="auto"/>
        <w:tblLook w:val="04A0" w:firstRow="1" w:lastRow="0" w:firstColumn="1" w:lastColumn="0" w:noHBand="0" w:noVBand="1"/>
      </w:tblPr>
      <w:tblGrid>
        <w:gridCol w:w="3525"/>
        <w:gridCol w:w="1040"/>
        <w:gridCol w:w="1040"/>
        <w:gridCol w:w="1040"/>
        <w:gridCol w:w="1040"/>
      </w:tblGrid>
      <w:tr w:rsidR="009F2203" w:rsidRPr="00CC36E7" w:rsidTr="00CC36E7">
        <w:trPr>
          <w:trHeight w:val="285"/>
        </w:trPr>
        <w:tc>
          <w:tcPr>
            <w:tcW w:w="3525"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525"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995013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1990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485838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1296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84441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43774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46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108601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158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54313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104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54231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28094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29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70392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34880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69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30212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7001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44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39507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19545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39 </w:t>
            </w:r>
          </w:p>
        </w:tc>
      </w:tr>
    </w:tbl>
    <w:p w:rsidR="009F2203" w:rsidRDefault="009F2203">
      <w:pPr>
        <w:rPr>
          <w:rFonts w:ascii="Times New Roman" w:hAnsi="Times New Roman" w:cs="Times New Roman"/>
          <w:sz w:val="18"/>
          <w:szCs w:val="18"/>
        </w:rPr>
      </w:pPr>
    </w:p>
    <w:p w:rsidR="00CC36E7" w:rsidRDefault="00CC36E7">
      <w:pPr>
        <w:rPr>
          <w:rFonts w:ascii="Times New Roman" w:hAnsi="Times New Roman" w:cs="Times New Roman"/>
          <w:sz w:val="18"/>
          <w:szCs w:val="18"/>
        </w:rPr>
      </w:pPr>
    </w:p>
    <w:p w:rsidR="00CC36E7" w:rsidRDefault="00CC36E7">
      <w:pPr>
        <w:rPr>
          <w:rFonts w:ascii="Times New Roman" w:hAnsi="Times New Roman" w:cs="Times New Roman"/>
          <w:sz w:val="18"/>
          <w:szCs w:val="18"/>
        </w:rPr>
      </w:pPr>
    </w:p>
    <w:p w:rsidR="00CC36E7" w:rsidRDefault="00CC36E7">
      <w:pPr>
        <w:rPr>
          <w:rFonts w:ascii="Times New Roman" w:hAnsi="Times New Roman" w:cs="Times New Roman"/>
          <w:sz w:val="18"/>
          <w:szCs w:val="18"/>
        </w:rPr>
      </w:pPr>
    </w:p>
    <w:p w:rsidR="007F4C7A" w:rsidRPr="00CC36E7" w:rsidRDefault="00DA4E32" w:rsidP="007F4C7A">
      <w:pPr>
        <w:rPr>
          <w:rFonts w:ascii="Times New Roman" w:hAnsi="Times New Roman" w:cs="Times New Roman"/>
          <w:sz w:val="18"/>
          <w:szCs w:val="18"/>
        </w:rPr>
      </w:pPr>
      <w:r w:rsidRPr="00CC36E7">
        <w:rPr>
          <w:rFonts w:ascii="Times New Roman" w:hAnsi="Times New Roman" w:cs="Times New Roman"/>
          <w:sz w:val="18"/>
          <w:szCs w:val="18"/>
        </w:rPr>
        <w:lastRenderedPageBreak/>
        <w:t xml:space="preserve">Table .9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male in 2045</w:t>
      </w:r>
    </w:p>
    <w:tbl>
      <w:tblPr>
        <w:tblStyle w:val="1"/>
        <w:tblW w:w="0" w:type="auto"/>
        <w:tblLook w:val="04A0" w:firstRow="1" w:lastRow="0" w:firstColumn="1" w:lastColumn="0" w:noHBand="0" w:noVBand="1"/>
      </w:tblPr>
      <w:tblGrid>
        <w:gridCol w:w="3525"/>
        <w:gridCol w:w="1040"/>
        <w:gridCol w:w="1040"/>
        <w:gridCol w:w="1040"/>
        <w:gridCol w:w="1040"/>
      </w:tblGrid>
      <w:tr w:rsidR="009F2203" w:rsidRPr="00CC36E7" w:rsidTr="00CC36E7">
        <w:trPr>
          <w:trHeight w:val="285"/>
        </w:trPr>
        <w:tc>
          <w:tcPr>
            <w:tcW w:w="3525"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525" w:type="dxa"/>
            <w:tcBorders>
              <w:top w:val="single" w:sz="4" w:space="0" w:color="auto"/>
            </w:tcBorders>
            <w:noWrap/>
            <w:hideMark/>
          </w:tcPr>
          <w:p w:rsidR="009F2203" w:rsidRPr="00CC36E7" w:rsidRDefault="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984318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1831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700839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1465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79317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60459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50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123445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157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93907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124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50658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38589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31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83245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63271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91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28005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9468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46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48347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37090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50 </w:t>
            </w:r>
          </w:p>
        </w:tc>
      </w:tr>
    </w:tbl>
    <w:p w:rsidR="009F2203" w:rsidRPr="00CC36E7" w:rsidRDefault="009F2203">
      <w:pPr>
        <w:rPr>
          <w:rFonts w:ascii="Times New Roman" w:hAnsi="Times New Roman" w:cs="Times New Roman"/>
          <w:sz w:val="18"/>
          <w:szCs w:val="18"/>
        </w:rPr>
      </w:pPr>
    </w:p>
    <w:p w:rsidR="007F4C7A" w:rsidRPr="00CC36E7" w:rsidRDefault="00DA4E32" w:rsidP="007F4C7A">
      <w:pPr>
        <w:rPr>
          <w:rFonts w:ascii="Times New Roman" w:hAnsi="Times New Roman" w:cs="Times New Roman"/>
          <w:sz w:val="18"/>
          <w:szCs w:val="18"/>
        </w:rPr>
      </w:pPr>
      <w:r w:rsidRPr="00CC36E7">
        <w:rPr>
          <w:rFonts w:ascii="Times New Roman" w:hAnsi="Times New Roman" w:cs="Times New Roman"/>
          <w:sz w:val="18"/>
          <w:szCs w:val="18"/>
        </w:rPr>
        <w:t xml:space="preserve">Table 10.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female in 2045</w:t>
      </w:r>
    </w:p>
    <w:tbl>
      <w:tblPr>
        <w:tblStyle w:val="1"/>
        <w:tblW w:w="0" w:type="auto"/>
        <w:tblLook w:val="04A0" w:firstRow="1" w:lastRow="0" w:firstColumn="1" w:lastColumn="0" w:noHBand="0" w:noVBand="1"/>
      </w:tblPr>
      <w:tblGrid>
        <w:gridCol w:w="3525"/>
        <w:gridCol w:w="1040"/>
        <w:gridCol w:w="1040"/>
        <w:gridCol w:w="1040"/>
        <w:gridCol w:w="1040"/>
      </w:tblGrid>
      <w:tr w:rsidR="009F2203" w:rsidRPr="00CC36E7" w:rsidTr="00CC36E7">
        <w:trPr>
          <w:trHeight w:val="285"/>
        </w:trPr>
        <w:tc>
          <w:tcPr>
            <w:tcW w:w="3525"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525"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1113189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2372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512225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1154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93860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46424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41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119751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193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56906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92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60346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29825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27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77475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137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36442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64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33718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7310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39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43387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20381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37 </w:t>
            </w:r>
          </w:p>
        </w:tc>
      </w:tr>
    </w:tbl>
    <w:p w:rsidR="009F2203" w:rsidRPr="00CC36E7" w:rsidRDefault="009F2203">
      <w:pPr>
        <w:rPr>
          <w:rFonts w:ascii="Times New Roman" w:hAnsi="Times New Roman" w:cs="Times New Roman"/>
          <w:sz w:val="18"/>
          <w:szCs w:val="18"/>
        </w:rPr>
      </w:pPr>
    </w:p>
    <w:p w:rsidR="007F4C7A" w:rsidRPr="00CC36E7" w:rsidRDefault="00DA4E32" w:rsidP="007F4C7A">
      <w:pPr>
        <w:rPr>
          <w:rFonts w:ascii="Times New Roman" w:hAnsi="Times New Roman" w:cs="Times New Roman"/>
          <w:sz w:val="18"/>
          <w:szCs w:val="18"/>
        </w:rPr>
      </w:pPr>
      <w:r w:rsidRPr="00CC36E7">
        <w:rPr>
          <w:rFonts w:ascii="Times New Roman" w:hAnsi="Times New Roman" w:cs="Times New Roman"/>
          <w:sz w:val="18"/>
          <w:szCs w:val="18"/>
        </w:rPr>
        <w:t xml:space="preserve">Table 11.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male in 2060</w:t>
      </w:r>
    </w:p>
    <w:tbl>
      <w:tblPr>
        <w:tblStyle w:val="1"/>
        <w:tblW w:w="0" w:type="auto"/>
        <w:tblLook w:val="04A0" w:firstRow="1" w:lastRow="0" w:firstColumn="1" w:lastColumn="0" w:noHBand="0" w:noVBand="1"/>
      </w:tblPr>
      <w:tblGrid>
        <w:gridCol w:w="3525"/>
        <w:gridCol w:w="1040"/>
        <w:gridCol w:w="1040"/>
        <w:gridCol w:w="1040"/>
        <w:gridCol w:w="1040"/>
      </w:tblGrid>
      <w:tr w:rsidR="009F2203" w:rsidRPr="00CC36E7" w:rsidTr="00CC36E7">
        <w:trPr>
          <w:trHeight w:val="285"/>
        </w:trPr>
        <w:tc>
          <w:tcPr>
            <w:tcW w:w="3525"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525"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1000680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1992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682261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1338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80495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58822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46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123398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161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89978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114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51447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37576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29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82870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122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60397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86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28481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9176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43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47912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66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35262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47 </w:t>
            </w:r>
          </w:p>
        </w:tc>
      </w:tr>
    </w:tbl>
    <w:p w:rsidR="009F2203" w:rsidRPr="00CC36E7" w:rsidRDefault="009F2203">
      <w:pPr>
        <w:rPr>
          <w:rFonts w:ascii="Times New Roman" w:hAnsi="Times New Roman" w:cs="Times New Roman"/>
          <w:sz w:val="18"/>
          <w:szCs w:val="18"/>
        </w:rPr>
      </w:pPr>
    </w:p>
    <w:p w:rsidR="007F4C7A" w:rsidRPr="00CC36E7" w:rsidRDefault="00DA4E32" w:rsidP="007F4C7A">
      <w:pPr>
        <w:rPr>
          <w:rFonts w:ascii="Times New Roman" w:hAnsi="Times New Roman" w:cs="Times New Roman"/>
          <w:sz w:val="18"/>
          <w:szCs w:val="18"/>
        </w:rPr>
      </w:pPr>
      <w:r w:rsidRPr="00CC36E7">
        <w:rPr>
          <w:rFonts w:ascii="Times New Roman" w:hAnsi="Times New Roman" w:cs="Times New Roman"/>
          <w:sz w:val="18"/>
          <w:szCs w:val="18"/>
        </w:rPr>
        <w:t xml:space="preserve">Table 12. </w:t>
      </w:r>
      <w:r w:rsidR="00E87724" w:rsidRPr="00CC36E7">
        <w:rPr>
          <w:rFonts w:ascii="Times New Roman" w:hAnsi="Times New Roman" w:cs="Times New Roman"/>
          <w:sz w:val="18"/>
          <w:szCs w:val="18"/>
        </w:rPr>
        <w:t>CV</w:t>
      </w:r>
      <w:r w:rsidR="007F4C7A" w:rsidRPr="00CC36E7">
        <w:rPr>
          <w:rFonts w:ascii="Times New Roman" w:hAnsi="Times New Roman" w:cs="Times New Roman"/>
          <w:sz w:val="18"/>
          <w:szCs w:val="18"/>
        </w:rPr>
        <w:t>D disease burden due to insufficient fruit and vegetable intake of female in 2060</w:t>
      </w:r>
    </w:p>
    <w:tbl>
      <w:tblPr>
        <w:tblStyle w:val="1"/>
        <w:tblW w:w="0" w:type="auto"/>
        <w:tblLook w:val="04A0" w:firstRow="1" w:lastRow="0" w:firstColumn="1" w:lastColumn="0" w:noHBand="0" w:noVBand="1"/>
      </w:tblPr>
      <w:tblGrid>
        <w:gridCol w:w="3525"/>
        <w:gridCol w:w="1040"/>
        <w:gridCol w:w="1040"/>
        <w:gridCol w:w="1040"/>
        <w:gridCol w:w="1040"/>
      </w:tblGrid>
      <w:tr w:rsidR="009F2203" w:rsidRPr="00CC36E7" w:rsidTr="00CC36E7">
        <w:trPr>
          <w:trHeight w:val="285"/>
        </w:trPr>
        <w:tc>
          <w:tcPr>
            <w:tcW w:w="3525"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stroke</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CHD</w:t>
            </w:r>
          </w:p>
        </w:tc>
        <w:tc>
          <w:tcPr>
            <w:tcW w:w="1040" w:type="dxa"/>
            <w:tcBorders>
              <w:top w:val="single" w:sz="4" w:space="0" w:color="auto"/>
              <w:bottom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SD</w:t>
            </w:r>
          </w:p>
        </w:tc>
      </w:tr>
      <w:tr w:rsidR="009F2203" w:rsidRPr="00CC36E7" w:rsidTr="00CC36E7">
        <w:trPr>
          <w:trHeight w:val="285"/>
        </w:trPr>
        <w:tc>
          <w:tcPr>
            <w:tcW w:w="3525"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original DALYs</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1171262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2834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528231 </w:t>
            </w:r>
          </w:p>
        </w:tc>
        <w:tc>
          <w:tcPr>
            <w:tcW w:w="1040" w:type="dxa"/>
            <w:tcBorders>
              <w:top w:val="single" w:sz="4" w:space="0" w:color="auto"/>
            </w:tcBorders>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1189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98917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108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48118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41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125391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229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58532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90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(+70g)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63672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30951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27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(+50g)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81024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159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37439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65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vegetables (+140g)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35654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7533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41 </w:t>
            </w:r>
          </w:p>
        </w:tc>
      </w:tr>
      <w:tr w:rsidR="009F2203" w:rsidRPr="00CC36E7" w:rsidTr="00CC36E7">
        <w:trPr>
          <w:trHeight w:val="285"/>
        </w:trPr>
        <w:tc>
          <w:tcPr>
            <w:tcW w:w="3525"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DALYs caused by fruits (+100g)</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45335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91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20928 </w:t>
            </w:r>
          </w:p>
        </w:tc>
        <w:tc>
          <w:tcPr>
            <w:tcW w:w="1040" w:type="dxa"/>
            <w:noWrap/>
            <w:hideMark/>
          </w:tcPr>
          <w:p w:rsidR="009F2203" w:rsidRPr="00CC36E7" w:rsidRDefault="009F2203" w:rsidP="009F2203">
            <w:pPr>
              <w:rPr>
                <w:rFonts w:ascii="Times New Roman" w:hAnsi="Times New Roman" w:cs="Times New Roman"/>
                <w:szCs w:val="18"/>
              </w:rPr>
            </w:pPr>
            <w:r w:rsidRPr="00CC36E7">
              <w:rPr>
                <w:rFonts w:ascii="Times New Roman" w:hAnsi="Times New Roman" w:cs="Times New Roman"/>
                <w:szCs w:val="18"/>
              </w:rPr>
              <w:t xml:space="preserve">36 </w:t>
            </w:r>
          </w:p>
        </w:tc>
      </w:tr>
    </w:tbl>
    <w:p w:rsidR="00CC36E7" w:rsidRDefault="00CC36E7">
      <w:pPr>
        <w:rPr>
          <w:rFonts w:ascii="Times New Roman" w:hAnsi="Times New Roman" w:cs="Times New Roman"/>
          <w:sz w:val="18"/>
          <w:szCs w:val="18"/>
        </w:rPr>
      </w:pPr>
    </w:p>
    <w:p w:rsidR="00CC36E7" w:rsidRDefault="00CC36E7">
      <w:pPr>
        <w:rPr>
          <w:rFonts w:ascii="Times New Roman" w:hAnsi="Times New Roman" w:cs="Times New Roman"/>
          <w:sz w:val="18"/>
          <w:szCs w:val="18"/>
        </w:rPr>
      </w:pPr>
    </w:p>
    <w:p w:rsidR="00CC36E7" w:rsidRDefault="00CC36E7">
      <w:pPr>
        <w:rPr>
          <w:rFonts w:ascii="Times New Roman" w:hAnsi="Times New Roman" w:cs="Times New Roman"/>
          <w:sz w:val="18"/>
          <w:szCs w:val="18"/>
        </w:rPr>
      </w:pPr>
    </w:p>
    <w:p w:rsidR="00CC36E7" w:rsidRDefault="00CC36E7">
      <w:pPr>
        <w:rPr>
          <w:rFonts w:ascii="Times New Roman" w:hAnsi="Times New Roman" w:cs="Times New Roman"/>
          <w:sz w:val="18"/>
          <w:szCs w:val="18"/>
        </w:rPr>
      </w:pPr>
    </w:p>
    <w:p w:rsidR="00CC36E7" w:rsidRDefault="00CC36E7">
      <w:pPr>
        <w:rPr>
          <w:rFonts w:ascii="Times New Roman" w:hAnsi="Times New Roman" w:cs="Times New Roman"/>
          <w:sz w:val="18"/>
          <w:szCs w:val="18"/>
        </w:rPr>
      </w:pPr>
    </w:p>
    <w:p w:rsidR="00455F46" w:rsidRPr="00CC36E7" w:rsidRDefault="00455F46">
      <w:pPr>
        <w:rPr>
          <w:rFonts w:ascii="Times New Roman" w:hAnsi="Times New Roman" w:cs="Times New Roman"/>
          <w:b/>
          <w:sz w:val="18"/>
          <w:szCs w:val="18"/>
        </w:rPr>
      </w:pPr>
      <w:r w:rsidRPr="00CC36E7">
        <w:rPr>
          <w:rFonts w:ascii="Times New Roman" w:hAnsi="Times New Roman" w:cs="Times New Roman"/>
          <w:b/>
          <w:sz w:val="18"/>
          <w:szCs w:val="18"/>
        </w:rPr>
        <w:lastRenderedPageBreak/>
        <w:t xml:space="preserve">Disability weight </w:t>
      </w:r>
      <w:r w:rsidR="009F6951" w:rsidRPr="00CC36E7">
        <w:rPr>
          <w:rFonts w:ascii="Times New Roman" w:hAnsi="Times New Roman" w:cs="Times New Roman"/>
          <w:b/>
          <w:sz w:val="18"/>
          <w:szCs w:val="18"/>
        </w:rPr>
        <w:t xml:space="preserve">(DW) </w:t>
      </w:r>
      <w:r w:rsidRPr="00CC36E7">
        <w:rPr>
          <w:rFonts w:ascii="Times New Roman" w:hAnsi="Times New Roman" w:cs="Times New Roman"/>
          <w:b/>
          <w:sz w:val="18"/>
          <w:szCs w:val="18"/>
        </w:rPr>
        <w:t>used in the study:</w:t>
      </w:r>
    </w:p>
    <w:p w:rsidR="00455F46" w:rsidRPr="00CC36E7" w:rsidRDefault="00455F46" w:rsidP="00455F46">
      <w:pPr>
        <w:widowControl/>
        <w:rPr>
          <w:rFonts w:ascii="等线" w:eastAsia="等线" w:hAnsi="等线" w:cs="宋体"/>
          <w:color w:val="000000"/>
          <w:kern w:val="0"/>
          <w:sz w:val="18"/>
          <w:szCs w:val="18"/>
        </w:rPr>
      </w:pPr>
    </w:p>
    <w:p w:rsidR="009F6951" w:rsidRPr="00CC36E7" w:rsidRDefault="009F6951" w:rsidP="00A80F92">
      <w:pPr>
        <w:widowControl/>
        <w:jc w:val="center"/>
        <w:rPr>
          <w:rFonts w:ascii="Times New Roman" w:hAnsi="Times New Roman" w:cs="Times New Roman"/>
          <w:sz w:val="18"/>
          <w:szCs w:val="18"/>
        </w:rPr>
      </w:pPr>
      <w:r w:rsidRPr="00CC36E7">
        <w:rPr>
          <w:rFonts w:ascii="Times New Roman" w:hAnsi="Times New Roman" w:cs="Times New Roman" w:hint="eastAsia"/>
          <w:sz w:val="18"/>
          <w:szCs w:val="18"/>
        </w:rPr>
        <w:t>Table 13. Disability weight of stroke used in the study</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1320"/>
        <w:gridCol w:w="1140"/>
        <w:gridCol w:w="1140"/>
        <w:gridCol w:w="1140"/>
      </w:tblGrid>
      <w:tr w:rsidR="009F6951" w:rsidRPr="00CC36E7" w:rsidTr="00A80F92">
        <w:trPr>
          <w:trHeight w:val="134"/>
          <w:jc w:val="center"/>
        </w:trPr>
        <w:tc>
          <w:tcPr>
            <w:tcW w:w="1060" w:type="dxa"/>
            <w:vMerge w:val="restart"/>
            <w:tcBorders>
              <w:top w:val="single" w:sz="4" w:space="0" w:color="auto"/>
              <w:bottom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mRS score</w:t>
            </w:r>
          </w:p>
        </w:tc>
        <w:tc>
          <w:tcPr>
            <w:tcW w:w="1320" w:type="dxa"/>
            <w:vMerge w:val="restart"/>
            <w:tcBorders>
              <w:top w:val="single" w:sz="4" w:space="0" w:color="auto"/>
              <w:bottom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sz w:val="18"/>
                <w:szCs w:val="18"/>
              </w:rPr>
              <w:t>Distribution of mRs [1]</w:t>
            </w:r>
          </w:p>
        </w:tc>
        <w:tc>
          <w:tcPr>
            <w:tcW w:w="1140" w:type="dxa"/>
            <w:vMerge w:val="restart"/>
            <w:tcBorders>
              <w:top w:val="single" w:sz="4" w:space="0" w:color="auto"/>
              <w:bottom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sz w:val="18"/>
                <w:szCs w:val="18"/>
              </w:rPr>
              <w:t>W</w:t>
            </w:r>
            <w:r w:rsidRPr="00CC36E7">
              <w:rPr>
                <w:rFonts w:ascii="Times New Roman" w:hAnsi="Times New Roman" w:cs="Times New Roman" w:hint="eastAsia"/>
                <w:sz w:val="18"/>
                <w:szCs w:val="18"/>
              </w:rPr>
              <w:t>eight</w:t>
            </w:r>
            <w:r w:rsidRPr="00CC36E7">
              <w:rPr>
                <w:rFonts w:ascii="Times New Roman" w:hAnsi="Times New Roman" w:cs="Times New Roman"/>
                <w:sz w:val="18"/>
                <w:szCs w:val="18"/>
              </w:rPr>
              <w:t xml:space="preserve"> [2]</w:t>
            </w:r>
          </w:p>
        </w:tc>
        <w:tc>
          <w:tcPr>
            <w:tcW w:w="2280" w:type="dxa"/>
            <w:gridSpan w:val="2"/>
            <w:tcBorders>
              <w:top w:val="single" w:sz="4" w:space="0" w:color="auto"/>
              <w:bottom w:val="single" w:sz="4" w:space="0" w:color="auto"/>
            </w:tcBorders>
            <w:noWrap/>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 xml:space="preserve">95% </w:t>
            </w:r>
            <w:r w:rsidRPr="00CC36E7">
              <w:rPr>
                <w:rFonts w:ascii="Times New Roman" w:hAnsi="Times New Roman" w:cs="Times New Roman"/>
                <w:sz w:val="18"/>
                <w:szCs w:val="18"/>
              </w:rPr>
              <w:t>CI</w:t>
            </w:r>
          </w:p>
        </w:tc>
      </w:tr>
      <w:tr w:rsidR="009F6951" w:rsidRPr="00CC36E7" w:rsidTr="00A80F92">
        <w:trPr>
          <w:trHeight w:val="330"/>
          <w:jc w:val="center"/>
        </w:trPr>
        <w:tc>
          <w:tcPr>
            <w:tcW w:w="1060" w:type="dxa"/>
            <w:vMerge/>
            <w:tcBorders>
              <w:top w:val="nil"/>
              <w:bottom w:val="single" w:sz="4" w:space="0" w:color="auto"/>
            </w:tcBorders>
            <w:noWrap/>
          </w:tcPr>
          <w:p w:rsidR="009F6951" w:rsidRPr="00CC36E7" w:rsidRDefault="009F6951" w:rsidP="00A80F92">
            <w:pPr>
              <w:jc w:val="center"/>
              <w:rPr>
                <w:rFonts w:ascii="Times New Roman" w:hAnsi="Times New Roman" w:cs="Times New Roman"/>
                <w:sz w:val="18"/>
                <w:szCs w:val="18"/>
              </w:rPr>
            </w:pPr>
          </w:p>
        </w:tc>
        <w:tc>
          <w:tcPr>
            <w:tcW w:w="1320" w:type="dxa"/>
            <w:vMerge/>
            <w:tcBorders>
              <w:top w:val="nil"/>
              <w:bottom w:val="single" w:sz="4" w:space="0" w:color="auto"/>
            </w:tcBorders>
            <w:noWrap/>
          </w:tcPr>
          <w:p w:rsidR="009F6951" w:rsidRPr="00CC36E7" w:rsidRDefault="009F6951" w:rsidP="00A80F92">
            <w:pPr>
              <w:jc w:val="center"/>
              <w:rPr>
                <w:rFonts w:ascii="Times New Roman" w:hAnsi="Times New Roman" w:cs="Times New Roman"/>
                <w:sz w:val="18"/>
                <w:szCs w:val="18"/>
              </w:rPr>
            </w:pPr>
          </w:p>
        </w:tc>
        <w:tc>
          <w:tcPr>
            <w:tcW w:w="1140" w:type="dxa"/>
            <w:vMerge/>
            <w:tcBorders>
              <w:top w:val="nil"/>
              <w:bottom w:val="single" w:sz="4" w:space="0" w:color="auto"/>
            </w:tcBorders>
            <w:noWrap/>
          </w:tcPr>
          <w:p w:rsidR="009F6951" w:rsidRPr="00CC36E7" w:rsidRDefault="009F6951" w:rsidP="00A80F92">
            <w:pPr>
              <w:jc w:val="center"/>
              <w:rPr>
                <w:rFonts w:ascii="Times New Roman" w:hAnsi="Times New Roman" w:cs="Times New Roman"/>
                <w:sz w:val="18"/>
                <w:szCs w:val="18"/>
              </w:rPr>
            </w:pPr>
          </w:p>
        </w:tc>
        <w:tc>
          <w:tcPr>
            <w:tcW w:w="1140" w:type="dxa"/>
            <w:tcBorders>
              <w:top w:val="single" w:sz="4" w:space="0" w:color="auto"/>
              <w:bottom w:val="single" w:sz="4" w:space="0" w:color="auto"/>
            </w:tcBorders>
            <w:noWrap/>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low</w:t>
            </w:r>
          </w:p>
        </w:tc>
        <w:tc>
          <w:tcPr>
            <w:tcW w:w="1140" w:type="dxa"/>
            <w:tcBorders>
              <w:top w:val="single" w:sz="4" w:space="0" w:color="auto"/>
              <w:bottom w:val="single" w:sz="4" w:space="0" w:color="auto"/>
            </w:tcBorders>
            <w:noWrap/>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high</w:t>
            </w:r>
          </w:p>
        </w:tc>
      </w:tr>
      <w:tr w:rsidR="009F6951" w:rsidRPr="00CC36E7" w:rsidTr="00A80F92">
        <w:trPr>
          <w:trHeight w:val="280"/>
          <w:jc w:val="center"/>
        </w:trPr>
        <w:tc>
          <w:tcPr>
            <w:tcW w:w="1060" w:type="dxa"/>
            <w:tcBorders>
              <w:top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w:t>
            </w:r>
          </w:p>
        </w:tc>
        <w:tc>
          <w:tcPr>
            <w:tcW w:w="1320" w:type="dxa"/>
            <w:tcBorders>
              <w:top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0.19</w:t>
            </w:r>
          </w:p>
        </w:tc>
        <w:tc>
          <w:tcPr>
            <w:tcW w:w="1140" w:type="dxa"/>
            <w:tcBorders>
              <w:top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w:t>
            </w:r>
          </w:p>
        </w:tc>
        <w:tc>
          <w:tcPr>
            <w:tcW w:w="1140" w:type="dxa"/>
            <w:tcBorders>
              <w:top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w:t>
            </w:r>
          </w:p>
        </w:tc>
        <w:tc>
          <w:tcPr>
            <w:tcW w:w="1140" w:type="dxa"/>
            <w:tcBorders>
              <w:top w:val="single" w:sz="4" w:space="0" w:color="auto"/>
            </w:tcBorders>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w:t>
            </w:r>
          </w:p>
        </w:tc>
      </w:tr>
      <w:tr w:rsidR="009F6951" w:rsidRPr="00CC36E7" w:rsidTr="00A80F92">
        <w:trPr>
          <w:trHeight w:val="280"/>
          <w:jc w:val="center"/>
        </w:trPr>
        <w:tc>
          <w:tcPr>
            <w:tcW w:w="106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1</w:t>
            </w:r>
          </w:p>
        </w:tc>
        <w:tc>
          <w:tcPr>
            <w:tcW w:w="132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0.29</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0.046</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0.004</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0.088</w:t>
            </w:r>
          </w:p>
        </w:tc>
      </w:tr>
      <w:tr w:rsidR="009F6951" w:rsidRPr="00CC36E7" w:rsidTr="00A80F92">
        <w:trPr>
          <w:trHeight w:val="280"/>
          <w:jc w:val="center"/>
        </w:trPr>
        <w:tc>
          <w:tcPr>
            <w:tcW w:w="106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2</w:t>
            </w:r>
          </w:p>
        </w:tc>
        <w:tc>
          <w:tcPr>
            <w:tcW w:w="132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0.13</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0.212</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0.175</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0.25</w:t>
            </w:r>
          </w:p>
        </w:tc>
      </w:tr>
      <w:tr w:rsidR="009F6951" w:rsidRPr="00CC36E7" w:rsidTr="00A80F92">
        <w:trPr>
          <w:trHeight w:val="291"/>
          <w:jc w:val="center"/>
        </w:trPr>
        <w:tc>
          <w:tcPr>
            <w:tcW w:w="106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3</w:t>
            </w:r>
          </w:p>
        </w:tc>
        <w:tc>
          <w:tcPr>
            <w:tcW w:w="132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0.08</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0.331</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0.292</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0.371</w:t>
            </w:r>
          </w:p>
        </w:tc>
      </w:tr>
      <w:tr w:rsidR="009F6951" w:rsidRPr="00CC36E7" w:rsidTr="00A80F92">
        <w:trPr>
          <w:trHeight w:val="280"/>
          <w:jc w:val="center"/>
        </w:trPr>
        <w:tc>
          <w:tcPr>
            <w:tcW w:w="106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4</w:t>
            </w:r>
          </w:p>
        </w:tc>
        <w:tc>
          <w:tcPr>
            <w:tcW w:w="132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0.14</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0.652</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0.625</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0.678</w:t>
            </w:r>
          </w:p>
        </w:tc>
      </w:tr>
      <w:tr w:rsidR="009F6951" w:rsidRPr="00CC36E7" w:rsidTr="00A80F92">
        <w:trPr>
          <w:trHeight w:val="280"/>
          <w:jc w:val="center"/>
        </w:trPr>
        <w:tc>
          <w:tcPr>
            <w:tcW w:w="106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5</w:t>
            </w:r>
          </w:p>
        </w:tc>
        <w:tc>
          <w:tcPr>
            <w:tcW w:w="132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0.1</w:t>
            </w:r>
            <w:r w:rsidRPr="00CC36E7">
              <w:rPr>
                <w:rFonts w:ascii="Times New Roman" w:hAnsi="Times New Roman" w:cs="Times New Roman"/>
                <w:sz w:val="18"/>
                <w:szCs w:val="18"/>
              </w:rPr>
              <w:t>0</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0.944</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0.873</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1</w:t>
            </w:r>
          </w:p>
        </w:tc>
      </w:tr>
      <w:tr w:rsidR="009F6951" w:rsidRPr="00CC36E7" w:rsidTr="00A80F92">
        <w:trPr>
          <w:trHeight w:val="290"/>
          <w:jc w:val="center"/>
        </w:trPr>
        <w:tc>
          <w:tcPr>
            <w:tcW w:w="106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dead</w:t>
            </w:r>
          </w:p>
        </w:tc>
        <w:tc>
          <w:tcPr>
            <w:tcW w:w="132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0.07</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1</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1</w:t>
            </w:r>
          </w:p>
        </w:tc>
        <w:tc>
          <w:tcPr>
            <w:tcW w:w="1140" w:type="dxa"/>
            <w:noWrap/>
            <w:hideMark/>
          </w:tcPr>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1</w:t>
            </w:r>
          </w:p>
        </w:tc>
      </w:tr>
    </w:tbl>
    <w:p w:rsidR="00455F46" w:rsidRPr="00CC36E7" w:rsidRDefault="009F6951">
      <w:pPr>
        <w:rPr>
          <w:rFonts w:ascii="Times New Roman" w:hAnsi="Times New Roman" w:cs="Times New Roman"/>
          <w:sz w:val="18"/>
          <w:szCs w:val="18"/>
        </w:rPr>
      </w:pPr>
      <w:r w:rsidRPr="00CC36E7">
        <w:rPr>
          <w:rFonts w:ascii="Times New Roman" w:hAnsi="Times New Roman" w:cs="Times New Roman"/>
          <w:sz w:val="18"/>
          <w:szCs w:val="18"/>
        </w:rPr>
        <w:br/>
      </w:r>
      <w:r w:rsidRPr="00CC36E7">
        <w:rPr>
          <w:rFonts w:ascii="Times New Roman" w:hAnsi="Times New Roman" w:cs="Times New Roman" w:hint="eastAsia"/>
          <w:sz w:val="18"/>
          <w:szCs w:val="18"/>
        </w:rPr>
        <w:t xml:space="preserve">However, </w:t>
      </w:r>
      <w:r w:rsidRPr="00CC36E7">
        <w:rPr>
          <w:rFonts w:ascii="Times New Roman" w:hAnsi="Times New Roman" w:cs="Times New Roman"/>
          <w:sz w:val="18"/>
          <w:szCs w:val="18"/>
        </w:rPr>
        <w:t>no detailed data of age/gender-specific prevalence cases in different mRS score groups existed. We calculated the sum of products number, and used the number as the DW of stroke: 0.25306 (95%CI: 0.22207~0.28262)</w:t>
      </w:r>
    </w:p>
    <w:p w:rsidR="009F6951" w:rsidRPr="00CC36E7" w:rsidRDefault="009F6951">
      <w:pPr>
        <w:rPr>
          <w:rFonts w:ascii="Times New Roman" w:hAnsi="Times New Roman" w:cs="Times New Roman"/>
          <w:sz w:val="18"/>
          <w:szCs w:val="18"/>
        </w:rPr>
      </w:pPr>
    </w:p>
    <w:p w:rsidR="009F6951" w:rsidRPr="00CC36E7" w:rsidRDefault="009F6951" w:rsidP="00A80F92">
      <w:pPr>
        <w:jc w:val="center"/>
        <w:rPr>
          <w:rFonts w:ascii="Times New Roman" w:hAnsi="Times New Roman" w:cs="Times New Roman"/>
          <w:sz w:val="18"/>
          <w:szCs w:val="18"/>
        </w:rPr>
      </w:pPr>
      <w:r w:rsidRPr="00CC36E7">
        <w:rPr>
          <w:rFonts w:ascii="Times New Roman" w:hAnsi="Times New Roman" w:cs="Times New Roman" w:hint="eastAsia"/>
          <w:sz w:val="18"/>
          <w:szCs w:val="18"/>
        </w:rPr>
        <w:t>Table 1</w:t>
      </w:r>
      <w:r w:rsidR="00BA759E" w:rsidRPr="00CC36E7">
        <w:rPr>
          <w:rFonts w:ascii="Times New Roman" w:hAnsi="Times New Roman" w:cs="Times New Roman" w:hint="eastAsia"/>
          <w:sz w:val="18"/>
          <w:szCs w:val="18"/>
        </w:rPr>
        <w:t>4. Disability weight of coronary heart disease</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1235"/>
        <w:gridCol w:w="935"/>
        <w:gridCol w:w="766"/>
      </w:tblGrid>
      <w:tr w:rsidR="00BA759E" w:rsidRPr="00CC36E7" w:rsidTr="00A80F92">
        <w:trPr>
          <w:trHeight w:val="280"/>
          <w:jc w:val="center"/>
        </w:trPr>
        <w:tc>
          <w:tcPr>
            <w:tcW w:w="2784" w:type="dxa"/>
            <w:tcBorders>
              <w:top w:val="single" w:sz="4" w:space="0" w:color="auto"/>
              <w:bottom w:val="single" w:sz="4" w:space="0" w:color="auto"/>
            </w:tcBorders>
            <w:noWrap/>
            <w:hideMark/>
          </w:tcPr>
          <w:p w:rsidR="00BA759E" w:rsidRPr="00CC36E7" w:rsidRDefault="00BA759E" w:rsidP="009F6951">
            <w:pPr>
              <w:rPr>
                <w:rFonts w:ascii="Times New Roman" w:hAnsi="Times New Roman" w:cs="Times New Roman"/>
                <w:b/>
                <w:bCs/>
                <w:sz w:val="18"/>
                <w:szCs w:val="18"/>
              </w:rPr>
            </w:pPr>
            <w:r w:rsidRPr="00CC36E7">
              <w:rPr>
                <w:rFonts w:ascii="Times New Roman" w:hAnsi="Times New Roman" w:cs="Times New Roman" w:hint="eastAsia"/>
                <w:b/>
                <w:bCs/>
                <w:sz w:val="18"/>
                <w:szCs w:val="18"/>
              </w:rPr>
              <w:t>ischemic heart disease</w:t>
            </w:r>
            <w:r w:rsidRPr="00CC36E7">
              <w:rPr>
                <w:rFonts w:ascii="Times New Roman" w:hAnsi="Times New Roman" w:cs="Times New Roman"/>
                <w:b/>
                <w:bCs/>
                <w:sz w:val="18"/>
                <w:szCs w:val="18"/>
              </w:rPr>
              <w:t xml:space="preserve"> [3]</w:t>
            </w:r>
          </w:p>
        </w:tc>
        <w:tc>
          <w:tcPr>
            <w:tcW w:w="1235" w:type="dxa"/>
            <w:tcBorders>
              <w:top w:val="single" w:sz="4" w:space="0" w:color="auto"/>
              <w:bottom w:val="single" w:sz="4" w:space="0" w:color="auto"/>
            </w:tcBorders>
            <w:noWrap/>
            <w:hideMark/>
          </w:tcPr>
          <w:p w:rsidR="00BA759E" w:rsidRPr="00CC36E7" w:rsidRDefault="00BA759E">
            <w:pPr>
              <w:rPr>
                <w:rFonts w:ascii="Times New Roman" w:hAnsi="Times New Roman" w:cs="Times New Roman"/>
                <w:sz w:val="18"/>
                <w:szCs w:val="18"/>
              </w:rPr>
            </w:pPr>
            <w:r w:rsidRPr="00CC36E7">
              <w:rPr>
                <w:rFonts w:ascii="Times New Roman" w:hAnsi="Times New Roman" w:cs="Times New Roman" w:hint="eastAsia"/>
                <w:sz w:val="18"/>
                <w:szCs w:val="18"/>
              </w:rPr>
              <w:t>DW</w:t>
            </w:r>
          </w:p>
        </w:tc>
        <w:tc>
          <w:tcPr>
            <w:tcW w:w="935" w:type="dxa"/>
            <w:tcBorders>
              <w:top w:val="single" w:sz="4" w:space="0" w:color="auto"/>
              <w:bottom w:val="single" w:sz="4" w:space="0" w:color="auto"/>
            </w:tcBorders>
            <w:noWrap/>
            <w:hideMark/>
          </w:tcPr>
          <w:p w:rsidR="00BA759E" w:rsidRPr="00CC36E7" w:rsidRDefault="00BA759E">
            <w:pPr>
              <w:rPr>
                <w:rFonts w:ascii="Times New Roman" w:hAnsi="Times New Roman" w:cs="Times New Roman"/>
                <w:sz w:val="18"/>
                <w:szCs w:val="18"/>
              </w:rPr>
            </w:pPr>
            <w:r w:rsidRPr="00CC36E7">
              <w:rPr>
                <w:rFonts w:ascii="Times New Roman" w:hAnsi="Times New Roman" w:cs="Times New Roman" w:hint="eastAsia"/>
                <w:sz w:val="18"/>
                <w:szCs w:val="18"/>
              </w:rPr>
              <w:t>low</w:t>
            </w:r>
          </w:p>
        </w:tc>
        <w:tc>
          <w:tcPr>
            <w:tcW w:w="766" w:type="dxa"/>
            <w:tcBorders>
              <w:top w:val="single" w:sz="4" w:space="0" w:color="auto"/>
              <w:bottom w:val="single" w:sz="4" w:space="0" w:color="auto"/>
            </w:tcBorders>
            <w:noWrap/>
            <w:hideMark/>
          </w:tcPr>
          <w:p w:rsidR="00BA759E" w:rsidRPr="00CC36E7" w:rsidRDefault="00BA759E">
            <w:pPr>
              <w:rPr>
                <w:rFonts w:ascii="Times New Roman" w:hAnsi="Times New Roman" w:cs="Times New Roman"/>
                <w:sz w:val="18"/>
                <w:szCs w:val="18"/>
              </w:rPr>
            </w:pPr>
            <w:r w:rsidRPr="00CC36E7">
              <w:rPr>
                <w:rFonts w:ascii="Times New Roman" w:hAnsi="Times New Roman" w:cs="Times New Roman" w:hint="eastAsia"/>
                <w:sz w:val="18"/>
                <w:szCs w:val="18"/>
              </w:rPr>
              <w:t>high</w:t>
            </w:r>
          </w:p>
        </w:tc>
      </w:tr>
      <w:tr w:rsidR="00BA759E" w:rsidRPr="00CC36E7" w:rsidTr="00A80F92">
        <w:trPr>
          <w:trHeight w:val="280"/>
          <w:jc w:val="center"/>
        </w:trPr>
        <w:tc>
          <w:tcPr>
            <w:tcW w:w="2784" w:type="dxa"/>
            <w:tcBorders>
              <w:top w:val="single" w:sz="4" w:space="0" w:color="auto"/>
            </w:tcBorders>
            <w:noWrap/>
            <w:hideMark/>
          </w:tcPr>
          <w:p w:rsidR="00BA759E" w:rsidRPr="00CC36E7" w:rsidRDefault="00BA759E">
            <w:pPr>
              <w:rPr>
                <w:rFonts w:ascii="Times New Roman" w:hAnsi="Times New Roman" w:cs="Times New Roman"/>
                <w:sz w:val="18"/>
                <w:szCs w:val="18"/>
              </w:rPr>
            </w:pPr>
            <w:r w:rsidRPr="00CC36E7">
              <w:rPr>
                <w:rFonts w:ascii="Times New Roman" w:hAnsi="Times New Roman" w:cs="Times New Roman" w:hint="eastAsia"/>
                <w:sz w:val="18"/>
                <w:szCs w:val="18"/>
              </w:rPr>
              <w:t>acute myocardial infarction</w:t>
            </w:r>
          </w:p>
        </w:tc>
        <w:tc>
          <w:tcPr>
            <w:tcW w:w="1235" w:type="dxa"/>
            <w:tcBorders>
              <w:top w:val="single" w:sz="4" w:space="0" w:color="auto"/>
            </w:tcBorders>
            <w:noWrap/>
            <w:hideMark/>
          </w:tcPr>
          <w:p w:rsidR="00BA759E" w:rsidRPr="00CC36E7" w:rsidRDefault="00BA759E" w:rsidP="009F6951">
            <w:pPr>
              <w:rPr>
                <w:rFonts w:ascii="Times New Roman" w:hAnsi="Times New Roman" w:cs="Times New Roman"/>
                <w:sz w:val="18"/>
                <w:szCs w:val="18"/>
              </w:rPr>
            </w:pPr>
            <w:r w:rsidRPr="00CC36E7">
              <w:rPr>
                <w:rFonts w:ascii="Times New Roman" w:hAnsi="Times New Roman" w:cs="Times New Roman" w:hint="eastAsia"/>
                <w:sz w:val="18"/>
                <w:szCs w:val="18"/>
              </w:rPr>
              <w:t>0.439</w:t>
            </w:r>
          </w:p>
        </w:tc>
        <w:tc>
          <w:tcPr>
            <w:tcW w:w="935" w:type="dxa"/>
            <w:tcBorders>
              <w:top w:val="single" w:sz="4" w:space="0" w:color="auto"/>
            </w:tcBorders>
            <w:noWrap/>
            <w:hideMark/>
          </w:tcPr>
          <w:p w:rsidR="00BA759E" w:rsidRPr="00CC36E7" w:rsidRDefault="00BA759E" w:rsidP="009F6951">
            <w:pPr>
              <w:rPr>
                <w:rFonts w:ascii="Times New Roman" w:hAnsi="Times New Roman" w:cs="Times New Roman"/>
                <w:sz w:val="18"/>
                <w:szCs w:val="18"/>
              </w:rPr>
            </w:pPr>
            <w:r w:rsidRPr="00CC36E7">
              <w:rPr>
                <w:rFonts w:ascii="Times New Roman" w:hAnsi="Times New Roman" w:cs="Times New Roman" w:hint="eastAsia"/>
                <w:sz w:val="18"/>
                <w:szCs w:val="18"/>
              </w:rPr>
              <w:t>0.405</w:t>
            </w:r>
          </w:p>
        </w:tc>
        <w:tc>
          <w:tcPr>
            <w:tcW w:w="766" w:type="dxa"/>
            <w:tcBorders>
              <w:top w:val="single" w:sz="4" w:space="0" w:color="auto"/>
            </w:tcBorders>
            <w:noWrap/>
            <w:hideMark/>
          </w:tcPr>
          <w:p w:rsidR="00BA759E" w:rsidRPr="00CC36E7" w:rsidRDefault="00BA759E" w:rsidP="009F6951">
            <w:pPr>
              <w:rPr>
                <w:rFonts w:ascii="Times New Roman" w:hAnsi="Times New Roman" w:cs="Times New Roman"/>
                <w:sz w:val="18"/>
                <w:szCs w:val="18"/>
              </w:rPr>
            </w:pPr>
            <w:r w:rsidRPr="00CC36E7">
              <w:rPr>
                <w:rFonts w:ascii="Times New Roman" w:hAnsi="Times New Roman" w:cs="Times New Roman" w:hint="eastAsia"/>
                <w:sz w:val="18"/>
                <w:szCs w:val="18"/>
              </w:rPr>
              <w:t>0.477</w:t>
            </w:r>
          </w:p>
        </w:tc>
      </w:tr>
      <w:tr w:rsidR="00BA759E" w:rsidRPr="00CC36E7" w:rsidTr="00A80F92">
        <w:trPr>
          <w:trHeight w:val="280"/>
          <w:jc w:val="center"/>
        </w:trPr>
        <w:tc>
          <w:tcPr>
            <w:tcW w:w="2784" w:type="dxa"/>
            <w:noWrap/>
            <w:hideMark/>
          </w:tcPr>
          <w:p w:rsidR="00BA759E" w:rsidRPr="00CC36E7" w:rsidRDefault="00BA759E" w:rsidP="009F6951">
            <w:pPr>
              <w:rPr>
                <w:rFonts w:ascii="Times New Roman" w:hAnsi="Times New Roman" w:cs="Times New Roman"/>
                <w:sz w:val="18"/>
                <w:szCs w:val="18"/>
              </w:rPr>
            </w:pPr>
            <w:r w:rsidRPr="00CC36E7">
              <w:rPr>
                <w:rFonts w:ascii="Times New Roman" w:hAnsi="Times New Roman" w:cs="Times New Roman" w:hint="eastAsia"/>
                <w:sz w:val="18"/>
                <w:szCs w:val="18"/>
              </w:rPr>
              <w:t>angina pectoris</w:t>
            </w:r>
          </w:p>
        </w:tc>
        <w:tc>
          <w:tcPr>
            <w:tcW w:w="1235" w:type="dxa"/>
            <w:noWrap/>
            <w:hideMark/>
          </w:tcPr>
          <w:p w:rsidR="00BA759E" w:rsidRPr="00CC36E7" w:rsidRDefault="00910552" w:rsidP="009F6951">
            <w:pPr>
              <w:rPr>
                <w:rFonts w:ascii="Times New Roman" w:hAnsi="Times New Roman" w:cs="Times New Roman"/>
                <w:sz w:val="18"/>
                <w:szCs w:val="18"/>
              </w:rPr>
            </w:pPr>
            <w:r w:rsidRPr="00CC36E7">
              <w:rPr>
                <w:rFonts w:ascii="Times New Roman" w:hAnsi="Times New Roman" w:cs="Times New Roman" w:hint="eastAsia"/>
                <w:sz w:val="18"/>
                <w:szCs w:val="18"/>
              </w:rPr>
              <w:t>0.</w:t>
            </w:r>
            <w:r w:rsidR="00BA759E" w:rsidRPr="00CC36E7">
              <w:rPr>
                <w:rFonts w:ascii="Times New Roman" w:hAnsi="Times New Roman" w:cs="Times New Roman" w:hint="eastAsia"/>
                <w:sz w:val="18"/>
                <w:szCs w:val="18"/>
              </w:rPr>
              <w:t>1</w:t>
            </w:r>
            <w:r w:rsidRPr="00CC36E7">
              <w:rPr>
                <w:rFonts w:ascii="Times New Roman" w:hAnsi="Times New Roman" w:cs="Times New Roman"/>
                <w:sz w:val="18"/>
                <w:szCs w:val="18"/>
              </w:rPr>
              <w:t>2</w:t>
            </w:r>
            <w:r w:rsidR="00BA759E" w:rsidRPr="00CC36E7">
              <w:rPr>
                <w:rFonts w:ascii="Times New Roman" w:hAnsi="Times New Roman" w:cs="Times New Roman" w:hint="eastAsia"/>
                <w:sz w:val="18"/>
                <w:szCs w:val="18"/>
              </w:rPr>
              <w:t>4</w:t>
            </w:r>
          </w:p>
        </w:tc>
        <w:tc>
          <w:tcPr>
            <w:tcW w:w="935" w:type="dxa"/>
            <w:noWrap/>
            <w:hideMark/>
          </w:tcPr>
          <w:p w:rsidR="00BA759E" w:rsidRPr="00CC36E7" w:rsidRDefault="00BA759E" w:rsidP="009F6951">
            <w:pPr>
              <w:rPr>
                <w:rFonts w:ascii="Times New Roman" w:hAnsi="Times New Roman" w:cs="Times New Roman"/>
                <w:sz w:val="18"/>
                <w:szCs w:val="18"/>
              </w:rPr>
            </w:pPr>
            <w:r w:rsidRPr="00CC36E7">
              <w:rPr>
                <w:rFonts w:ascii="Times New Roman" w:hAnsi="Times New Roman" w:cs="Times New Roman" w:hint="eastAsia"/>
                <w:sz w:val="18"/>
                <w:szCs w:val="18"/>
              </w:rPr>
              <w:t>0.105</w:t>
            </w:r>
          </w:p>
        </w:tc>
        <w:tc>
          <w:tcPr>
            <w:tcW w:w="766" w:type="dxa"/>
            <w:noWrap/>
            <w:hideMark/>
          </w:tcPr>
          <w:p w:rsidR="00BA759E" w:rsidRPr="00CC36E7" w:rsidRDefault="00BA759E" w:rsidP="009F6951">
            <w:pPr>
              <w:rPr>
                <w:rFonts w:ascii="Times New Roman" w:hAnsi="Times New Roman" w:cs="Times New Roman"/>
                <w:sz w:val="18"/>
                <w:szCs w:val="18"/>
              </w:rPr>
            </w:pPr>
            <w:r w:rsidRPr="00CC36E7">
              <w:rPr>
                <w:rFonts w:ascii="Times New Roman" w:hAnsi="Times New Roman" w:cs="Times New Roman" w:hint="eastAsia"/>
                <w:sz w:val="18"/>
                <w:szCs w:val="18"/>
              </w:rPr>
              <w:t>0.141</w:t>
            </w:r>
          </w:p>
        </w:tc>
      </w:tr>
    </w:tbl>
    <w:p w:rsidR="009F6951" w:rsidRPr="00CC36E7" w:rsidRDefault="009F6951">
      <w:pPr>
        <w:rPr>
          <w:rFonts w:ascii="Times New Roman" w:hAnsi="Times New Roman" w:cs="Times New Roman"/>
          <w:sz w:val="18"/>
          <w:szCs w:val="18"/>
        </w:rPr>
      </w:pPr>
    </w:p>
    <w:p w:rsidR="009F6951" w:rsidRPr="00CC36E7" w:rsidRDefault="009F6951" w:rsidP="00704D6D">
      <w:pPr>
        <w:jc w:val="left"/>
        <w:rPr>
          <w:rFonts w:ascii="Times New Roman" w:hAnsi="Times New Roman" w:cs="Times New Roman"/>
          <w:sz w:val="18"/>
          <w:szCs w:val="18"/>
        </w:rPr>
      </w:pPr>
      <w:r w:rsidRPr="00CC36E7">
        <w:rPr>
          <w:rFonts w:ascii="Times New Roman" w:hAnsi="Times New Roman" w:cs="Times New Roman"/>
          <w:sz w:val="18"/>
          <w:szCs w:val="18"/>
        </w:rPr>
        <w:t xml:space="preserve">[1] </w:t>
      </w:r>
      <w:r w:rsidR="00704D6D" w:rsidRPr="00CC36E7">
        <w:rPr>
          <w:rFonts w:ascii="Times New Roman" w:hAnsi="Times New Roman" w:cs="Times New Roman"/>
          <w:color w:val="222222"/>
          <w:sz w:val="18"/>
          <w:szCs w:val="18"/>
          <w:shd w:val="clear" w:color="auto" w:fill="FFFFFF"/>
        </w:rPr>
        <w:t>Kimura K, Kazui S, Minematsu K, et al. Hospital-based prospective registration of acute ischemic stroke and transient ischemic attack in Japan[J]. Journal of Stroke and Cerebrovascular Diseases, 2004, 13(1): 1-11.</w:t>
      </w:r>
      <w:r w:rsidR="00704D6D" w:rsidRPr="00CC36E7">
        <w:rPr>
          <w:rFonts w:ascii="Times New Roman" w:hAnsi="Times New Roman" w:cs="Times New Roman"/>
          <w:sz w:val="18"/>
          <w:szCs w:val="18"/>
        </w:rPr>
        <w:t xml:space="preserve"> </w:t>
      </w:r>
      <w:hyperlink r:id="rId7" w:anchor="FIG3" w:history="1">
        <w:r w:rsidRPr="00CC36E7">
          <w:rPr>
            <w:rFonts w:ascii="Times New Roman" w:hAnsi="Times New Roman" w:cs="Times New Roman"/>
            <w:sz w:val="18"/>
            <w:szCs w:val="18"/>
          </w:rPr>
          <w:t>http://www.sciencedirect.com/science/article/pii/S1052305703001381#FIG3</w:t>
        </w:r>
      </w:hyperlink>
    </w:p>
    <w:p w:rsidR="009F6951" w:rsidRPr="00CC36E7" w:rsidRDefault="009F6951" w:rsidP="00704D6D">
      <w:pPr>
        <w:widowControl/>
        <w:jc w:val="left"/>
        <w:rPr>
          <w:rFonts w:ascii="Times New Roman" w:hAnsi="Times New Roman" w:cs="Times New Roman"/>
          <w:sz w:val="18"/>
          <w:szCs w:val="18"/>
        </w:rPr>
      </w:pPr>
      <w:r w:rsidRPr="00CC36E7">
        <w:rPr>
          <w:rFonts w:ascii="Times New Roman" w:hAnsi="Times New Roman" w:cs="Times New Roman"/>
          <w:sz w:val="18"/>
          <w:szCs w:val="18"/>
        </w:rPr>
        <w:t xml:space="preserve">[2] </w:t>
      </w:r>
      <w:r w:rsidR="00704D6D" w:rsidRPr="00CC36E7">
        <w:rPr>
          <w:rFonts w:ascii="Times New Roman" w:hAnsi="Times New Roman" w:cs="Times New Roman"/>
          <w:color w:val="222222"/>
          <w:sz w:val="18"/>
          <w:szCs w:val="18"/>
          <w:shd w:val="clear" w:color="auto" w:fill="FFFFFF"/>
        </w:rPr>
        <w:t xml:space="preserve">Hong K S, Saver J L. Quantifying the Value of Stroke Disability Outcomes[J]. Stroke, 2009, 40(12): 3828-3833. </w:t>
      </w:r>
      <w:hyperlink r:id="rId8" w:history="1">
        <w:r w:rsidRPr="00CC36E7">
          <w:rPr>
            <w:rFonts w:ascii="Times New Roman" w:hAnsi="Times New Roman" w:cs="Times New Roman"/>
            <w:sz w:val="18"/>
            <w:szCs w:val="18"/>
          </w:rPr>
          <w:t>https://www.ncbi.nlm.nih.gov/pmc/articles/PMC2788070/</w:t>
        </w:r>
      </w:hyperlink>
      <w:r w:rsidRPr="00CC36E7">
        <w:rPr>
          <w:rFonts w:ascii="Times New Roman" w:hAnsi="Times New Roman" w:cs="Times New Roman"/>
          <w:sz w:val="18"/>
          <w:szCs w:val="18"/>
        </w:rPr>
        <w:t xml:space="preserve"> </w:t>
      </w:r>
    </w:p>
    <w:p w:rsidR="00BA759E" w:rsidRPr="00CC36E7" w:rsidRDefault="00BA759E" w:rsidP="00704D6D">
      <w:pPr>
        <w:widowControl/>
        <w:jc w:val="left"/>
        <w:rPr>
          <w:rFonts w:ascii="Times New Roman" w:hAnsi="Times New Roman" w:cs="Times New Roman"/>
          <w:sz w:val="18"/>
          <w:szCs w:val="18"/>
        </w:rPr>
      </w:pPr>
      <w:r w:rsidRPr="00CC36E7">
        <w:rPr>
          <w:rFonts w:ascii="Times New Roman" w:hAnsi="Times New Roman" w:cs="Times New Roman"/>
          <w:sz w:val="18"/>
          <w:szCs w:val="18"/>
        </w:rPr>
        <w:t xml:space="preserve">[3] </w:t>
      </w:r>
      <w:r w:rsidR="00704D6D" w:rsidRPr="00CC36E7">
        <w:rPr>
          <w:rFonts w:ascii="Times New Roman" w:hAnsi="Times New Roman" w:cs="Times New Roman"/>
          <w:sz w:val="18"/>
          <w:szCs w:val="18"/>
        </w:rPr>
        <w:t xml:space="preserve">World Health Organization. Global burden of disease 2004 update: disability weights for diseases and conditions.  </w:t>
      </w:r>
      <w:hyperlink r:id="rId9" w:history="1">
        <w:r w:rsidRPr="00CC36E7">
          <w:rPr>
            <w:rFonts w:ascii="Times New Roman" w:hAnsi="Times New Roman" w:cs="Times New Roman"/>
            <w:sz w:val="18"/>
            <w:szCs w:val="18"/>
          </w:rPr>
          <w:t>http://www.who.int/healthinfo/global_burden_disease/GBD2004_DisabilityWeights.pdf</w:t>
        </w:r>
      </w:hyperlink>
      <w:r w:rsidRPr="00CC36E7">
        <w:rPr>
          <w:rFonts w:ascii="Times New Roman" w:hAnsi="Times New Roman" w:cs="Times New Roman"/>
          <w:sz w:val="18"/>
          <w:szCs w:val="18"/>
        </w:rPr>
        <w:t xml:space="preserve"> </w:t>
      </w:r>
    </w:p>
    <w:p w:rsidR="00AA235E" w:rsidRPr="00CC36E7" w:rsidRDefault="00AA235E">
      <w:pPr>
        <w:widowControl/>
        <w:jc w:val="left"/>
        <w:rPr>
          <w:rFonts w:ascii="Times New Roman" w:hAnsi="Times New Roman" w:cs="Times New Roman"/>
          <w:sz w:val="18"/>
          <w:szCs w:val="18"/>
        </w:rPr>
      </w:pPr>
      <w:r w:rsidRPr="00CC36E7">
        <w:rPr>
          <w:rFonts w:ascii="Times New Roman" w:hAnsi="Times New Roman" w:cs="Times New Roman"/>
          <w:sz w:val="18"/>
          <w:szCs w:val="18"/>
        </w:rPr>
        <w:br w:type="page"/>
      </w:r>
    </w:p>
    <w:p w:rsidR="00AA235E" w:rsidRPr="00CC36E7" w:rsidRDefault="00AA235E" w:rsidP="00AA235E">
      <w:pPr>
        <w:widowControl/>
        <w:jc w:val="left"/>
        <w:rPr>
          <w:rFonts w:ascii="宋体" w:eastAsia="宋体" w:hAnsi="宋体" w:cs="宋体"/>
          <w:color w:val="000000"/>
          <w:kern w:val="0"/>
          <w:sz w:val="18"/>
          <w:szCs w:val="18"/>
        </w:rPr>
        <w:sectPr w:rsidR="00AA235E" w:rsidRPr="00CC36E7">
          <w:pgSz w:w="11906" w:h="16838"/>
          <w:pgMar w:top="1440" w:right="1800" w:bottom="1440" w:left="1800" w:header="851" w:footer="992" w:gutter="0"/>
          <w:cols w:space="425"/>
          <w:docGrid w:type="lines" w:linePitch="312"/>
        </w:sectPr>
      </w:pPr>
    </w:p>
    <w:tbl>
      <w:tblPr>
        <w:tblW w:w="15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781"/>
        <w:gridCol w:w="656"/>
        <w:gridCol w:w="1096"/>
        <w:gridCol w:w="2001"/>
        <w:gridCol w:w="2557"/>
        <w:gridCol w:w="2801"/>
        <w:gridCol w:w="4983"/>
        <w:gridCol w:w="26"/>
      </w:tblGrid>
      <w:tr w:rsidR="00114C28" w:rsidRPr="00CC36E7" w:rsidTr="00883197">
        <w:trPr>
          <w:trHeight w:val="285"/>
          <w:jc w:val="center"/>
        </w:trPr>
        <w:tc>
          <w:tcPr>
            <w:tcW w:w="15901" w:type="dxa"/>
            <w:gridSpan w:val="8"/>
            <w:tcBorders>
              <w:top w:val="nil"/>
              <w:left w:val="nil"/>
              <w:bottom w:val="single" w:sz="4" w:space="0" w:color="auto"/>
              <w:right w:val="nil"/>
            </w:tcBorders>
            <w:noWrap/>
            <w:vAlign w:val="bottom"/>
          </w:tcPr>
          <w:p w:rsidR="00114C28" w:rsidRPr="00CC36E7" w:rsidRDefault="00114C28" w:rsidP="00114C28">
            <w:pPr>
              <w:widowControl/>
              <w:jc w:val="center"/>
              <w:rPr>
                <w:rFonts w:ascii="Times New Roman" w:eastAsia="Yu Mincho" w:hAnsi="Times New Roman" w:cs="Times New Roman"/>
                <w:color w:val="000000"/>
                <w:kern w:val="0"/>
                <w:sz w:val="18"/>
                <w:szCs w:val="18"/>
                <w:lang w:eastAsia="ja-JP"/>
              </w:rPr>
            </w:pPr>
            <w:r w:rsidRPr="00CC36E7">
              <w:rPr>
                <w:rFonts w:ascii="Times New Roman" w:eastAsia="Yu Mincho" w:hAnsi="Times New Roman" w:cs="Times New Roman"/>
                <w:color w:val="000000"/>
                <w:kern w:val="0"/>
                <w:sz w:val="18"/>
                <w:szCs w:val="18"/>
                <w:lang w:eastAsia="ja-JP"/>
              </w:rPr>
              <w:lastRenderedPageBreak/>
              <w:t xml:space="preserve">Table 15. </w:t>
            </w:r>
            <w:r w:rsidRPr="00CC36E7">
              <w:rPr>
                <w:rFonts w:ascii="Times New Roman" w:eastAsia="Yu Mincho" w:hAnsi="Times New Roman" w:cs="Times New Roman" w:hint="eastAsia"/>
                <w:color w:val="000000"/>
                <w:kern w:val="0"/>
                <w:sz w:val="18"/>
                <w:szCs w:val="18"/>
                <w:lang w:eastAsia="ja-JP"/>
              </w:rPr>
              <w:t>Effects of fruit/vegetable intake on CVD in Japan</w:t>
            </w:r>
          </w:p>
        </w:tc>
      </w:tr>
      <w:tr w:rsidR="00AA235E" w:rsidRPr="00CC36E7" w:rsidTr="00883197">
        <w:trPr>
          <w:gridAfter w:val="1"/>
          <w:wAfter w:w="26" w:type="dxa"/>
          <w:trHeight w:val="285"/>
          <w:jc w:val="center"/>
        </w:trPr>
        <w:tc>
          <w:tcPr>
            <w:tcW w:w="1781" w:type="dxa"/>
            <w:tcBorders>
              <w:top w:val="single" w:sz="4" w:space="0" w:color="auto"/>
            </w:tcBorders>
            <w:noWrap/>
            <w:hideMark/>
          </w:tcPr>
          <w:p w:rsidR="00AA235E" w:rsidRPr="00CC36E7" w:rsidRDefault="00AA235E" w:rsidP="008649EF">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Journal</w:t>
            </w:r>
          </w:p>
        </w:tc>
        <w:tc>
          <w:tcPr>
            <w:tcW w:w="656" w:type="dxa"/>
            <w:tcBorders>
              <w:top w:val="single" w:sz="4" w:space="0" w:color="auto"/>
            </w:tcBorders>
            <w:noWrap/>
            <w:hideMark/>
          </w:tcPr>
          <w:p w:rsidR="00AA235E" w:rsidRPr="00CC36E7" w:rsidRDefault="00883197" w:rsidP="008649EF">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Y</w:t>
            </w:r>
            <w:r w:rsidR="00AA235E" w:rsidRPr="00CC36E7">
              <w:rPr>
                <w:rFonts w:ascii="Times New Roman" w:eastAsia="宋体" w:hAnsi="Times New Roman" w:cs="Times New Roman"/>
                <w:color w:val="000000"/>
                <w:kern w:val="0"/>
                <w:sz w:val="18"/>
                <w:szCs w:val="18"/>
              </w:rPr>
              <w:t>ear</w:t>
            </w:r>
          </w:p>
        </w:tc>
        <w:tc>
          <w:tcPr>
            <w:tcW w:w="1096" w:type="dxa"/>
            <w:tcBorders>
              <w:top w:val="single" w:sz="4" w:space="0" w:color="auto"/>
            </w:tcBorders>
            <w:noWrap/>
            <w:hideMark/>
          </w:tcPr>
          <w:p w:rsidR="00AA235E" w:rsidRPr="00CC36E7" w:rsidRDefault="00883197" w:rsidP="008649EF">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A</w:t>
            </w:r>
            <w:r w:rsidR="00AA235E" w:rsidRPr="00CC36E7">
              <w:rPr>
                <w:rFonts w:ascii="Times New Roman" w:eastAsia="宋体" w:hAnsi="Times New Roman" w:cs="Times New Roman"/>
                <w:color w:val="000000"/>
                <w:kern w:val="0"/>
                <w:sz w:val="18"/>
                <w:szCs w:val="18"/>
              </w:rPr>
              <w:t>uthor</w:t>
            </w:r>
          </w:p>
        </w:tc>
        <w:tc>
          <w:tcPr>
            <w:tcW w:w="2001" w:type="dxa"/>
            <w:tcBorders>
              <w:top w:val="single" w:sz="4" w:space="0" w:color="auto"/>
            </w:tcBorders>
            <w:noWrap/>
            <w:hideMark/>
          </w:tcPr>
          <w:p w:rsidR="00AA235E" w:rsidRPr="00CC36E7" w:rsidRDefault="00883197" w:rsidP="008649EF">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P</w:t>
            </w:r>
            <w:r w:rsidR="00AA235E" w:rsidRPr="00CC36E7">
              <w:rPr>
                <w:rFonts w:ascii="Times New Roman" w:eastAsia="宋体" w:hAnsi="Times New Roman" w:cs="Times New Roman"/>
                <w:color w:val="000000"/>
                <w:kern w:val="0"/>
                <w:sz w:val="18"/>
                <w:szCs w:val="18"/>
              </w:rPr>
              <w:t>opulation</w:t>
            </w:r>
          </w:p>
        </w:tc>
        <w:tc>
          <w:tcPr>
            <w:tcW w:w="2557" w:type="dxa"/>
            <w:tcBorders>
              <w:top w:val="single" w:sz="4" w:space="0" w:color="auto"/>
            </w:tcBorders>
            <w:noWrap/>
            <w:hideMark/>
          </w:tcPr>
          <w:p w:rsidR="00AA235E" w:rsidRPr="00CC36E7" w:rsidRDefault="00883197" w:rsidP="008649EF">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C</w:t>
            </w:r>
            <w:r w:rsidR="00AA235E" w:rsidRPr="00CC36E7">
              <w:rPr>
                <w:rFonts w:ascii="Times New Roman" w:eastAsia="宋体" w:hAnsi="Times New Roman" w:cs="Times New Roman"/>
                <w:color w:val="000000"/>
                <w:kern w:val="0"/>
                <w:sz w:val="18"/>
                <w:szCs w:val="18"/>
              </w:rPr>
              <w:t>ategorize (the first is the reference category)</w:t>
            </w:r>
          </w:p>
        </w:tc>
        <w:tc>
          <w:tcPr>
            <w:tcW w:w="2801" w:type="dxa"/>
            <w:tcBorders>
              <w:top w:val="single" w:sz="4" w:space="0" w:color="auto"/>
            </w:tcBorders>
            <w:noWrap/>
            <w:hideMark/>
          </w:tcPr>
          <w:p w:rsidR="00AA235E" w:rsidRPr="00CC36E7" w:rsidRDefault="00883197" w:rsidP="008649EF">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M</w:t>
            </w:r>
            <w:r w:rsidR="00AA235E" w:rsidRPr="00CC36E7">
              <w:rPr>
                <w:rFonts w:ascii="Times New Roman" w:eastAsia="宋体" w:hAnsi="Times New Roman" w:cs="Times New Roman"/>
                <w:color w:val="000000"/>
                <w:kern w:val="0"/>
                <w:sz w:val="18"/>
                <w:szCs w:val="18"/>
              </w:rPr>
              <w:t>ultivariate-adjusted HR (95% confidence interval)</w:t>
            </w:r>
          </w:p>
        </w:tc>
        <w:tc>
          <w:tcPr>
            <w:tcW w:w="4983" w:type="dxa"/>
            <w:tcBorders>
              <w:top w:val="single" w:sz="4" w:space="0" w:color="auto"/>
            </w:tcBorders>
            <w:noWrap/>
            <w:hideMark/>
          </w:tcPr>
          <w:p w:rsidR="00AA235E" w:rsidRPr="00CC36E7" w:rsidRDefault="00883197" w:rsidP="008649EF">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Stratified </w:t>
            </w:r>
            <w:r w:rsidR="00AA235E" w:rsidRPr="00CC36E7">
              <w:rPr>
                <w:rFonts w:ascii="Times New Roman" w:eastAsia="宋体" w:hAnsi="Times New Roman" w:cs="Times New Roman"/>
                <w:color w:val="000000"/>
                <w:kern w:val="0"/>
                <w:sz w:val="18"/>
                <w:szCs w:val="18"/>
              </w:rPr>
              <w:t>variables</w:t>
            </w:r>
          </w:p>
        </w:tc>
      </w:tr>
      <w:tr w:rsidR="00883197" w:rsidRPr="00CC36E7" w:rsidTr="00883197">
        <w:trPr>
          <w:gridAfter w:val="1"/>
          <w:wAfter w:w="26" w:type="dxa"/>
          <w:trHeight w:val="285"/>
          <w:jc w:val="center"/>
        </w:trPr>
        <w:tc>
          <w:tcPr>
            <w:tcW w:w="178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European Journal of Clinical Nutrition</w:t>
            </w:r>
          </w:p>
        </w:tc>
        <w:tc>
          <w:tcPr>
            <w:tcW w:w="656" w:type="dxa"/>
            <w:tcBorders>
              <w:top w:val="single" w:sz="4" w:space="0" w:color="auto"/>
            </w:tcBorders>
            <w:noWrap/>
          </w:tcPr>
          <w:p w:rsidR="00883197" w:rsidRPr="00CC36E7" w:rsidRDefault="00883197" w:rsidP="00883197">
            <w:pPr>
              <w:widowControl/>
              <w:jc w:val="righ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2015</w:t>
            </w:r>
          </w:p>
        </w:tc>
        <w:tc>
          <w:tcPr>
            <w:tcW w:w="1096"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N Okuda et al</w:t>
            </w:r>
          </w:p>
        </w:tc>
        <w:tc>
          <w:tcPr>
            <w:tcW w:w="200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9112 participants aged 30–79 in 1980</w:t>
            </w:r>
          </w:p>
        </w:tc>
        <w:tc>
          <w:tcPr>
            <w:tcW w:w="2557"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quartiles of FV intake (g/1000 kcal):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men: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113 (0, 137),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154 (137, 170),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190 (170, 213),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249 (213, 576);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women: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148 (11, 178),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201 (178, 225),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251 (225, 282),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332 (282, 748)</w:t>
            </w:r>
          </w:p>
        </w:tc>
        <w:tc>
          <w:tcPr>
            <w:tcW w:w="280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adjusted CVD mortality: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0.85 (0.69, 1.05)</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0.72 (0.58, 0.89)</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w:t>
            </w:r>
            <w:r w:rsidR="00631496" w:rsidRPr="00CC36E7">
              <w:rPr>
                <w:rFonts w:ascii="Times New Roman" w:eastAsia="宋体" w:hAnsi="Times New Roman" w:cs="Times New Roman"/>
                <w:b/>
                <w:color w:val="000000"/>
                <w:kern w:val="0"/>
                <w:sz w:val="18"/>
                <w:szCs w:val="18"/>
              </w:rPr>
              <w:t>74 (0.61, 0.91)</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adjusted stroke mortality: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1.10 (0.81, 1.50)</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0.83 (0.60, 1.13)</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0.80 (0.59, 1.09)</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adjusted CHD mortality: </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0.39 (0.23, 0.66)</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0.65 (0.43, 1.00)</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0.57 (0.37, 0.87)</w:t>
            </w:r>
          </w:p>
        </w:tc>
        <w:tc>
          <w:tcPr>
            <w:tcW w:w="4983"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age, sex, body mass index (kg/m</w:t>
            </w:r>
            <w:r w:rsidRPr="00CC36E7">
              <w:rPr>
                <w:rFonts w:ascii="Times New Roman" w:eastAsia="宋体" w:hAnsi="Times New Roman" w:cs="Times New Roman"/>
                <w:color w:val="000000"/>
                <w:kern w:val="0"/>
                <w:sz w:val="18"/>
                <w:szCs w:val="18"/>
                <w:vertAlign w:val="superscript"/>
              </w:rPr>
              <w:t>2</w:t>
            </w:r>
            <w:r w:rsidRPr="00CC36E7">
              <w:rPr>
                <w:rFonts w:ascii="Times New Roman" w:eastAsia="宋体" w:hAnsi="Times New Roman" w:cs="Times New Roman"/>
                <w:color w:val="000000"/>
                <w:kern w:val="0"/>
                <w:sz w:val="18"/>
                <w:szCs w:val="18"/>
              </w:rPr>
              <w:t>), smoking habit (current-, ex-, never), drinking habit (daily drinkers and others), sodium intake (mg/1000 kcal) and intakes of meat (g/1000 kcal), fish and shellfish (g/1000 kcal), milk and dairy products (g/1000 kcal) and soy</w:t>
            </w:r>
            <w:r w:rsidR="00631496" w:rsidRPr="00CC36E7">
              <w:rPr>
                <w:rFonts w:ascii="Times New Roman" w:eastAsia="宋体" w:hAnsi="Times New Roman" w:cs="Times New Roman"/>
                <w:color w:val="000000"/>
                <w:kern w:val="0"/>
                <w:sz w:val="18"/>
                <w:szCs w:val="18"/>
              </w:rPr>
              <w:t>beans and legumes (g/1000 kcal)</w:t>
            </w:r>
          </w:p>
        </w:tc>
      </w:tr>
      <w:tr w:rsidR="00883197" w:rsidRPr="00CC36E7" w:rsidTr="00883197">
        <w:trPr>
          <w:gridAfter w:val="1"/>
          <w:wAfter w:w="26" w:type="dxa"/>
          <w:trHeight w:val="285"/>
          <w:jc w:val="center"/>
        </w:trPr>
        <w:tc>
          <w:tcPr>
            <w:tcW w:w="178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Diabetes Care</w:t>
            </w:r>
          </w:p>
        </w:tc>
        <w:tc>
          <w:tcPr>
            <w:tcW w:w="656" w:type="dxa"/>
            <w:tcBorders>
              <w:top w:val="single" w:sz="4" w:space="0" w:color="auto"/>
            </w:tcBorders>
            <w:noWrap/>
          </w:tcPr>
          <w:p w:rsidR="00883197" w:rsidRPr="00CC36E7" w:rsidRDefault="00883197" w:rsidP="00883197">
            <w:pPr>
              <w:widowControl/>
              <w:jc w:val="righ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2013</w:t>
            </w:r>
          </w:p>
        </w:tc>
        <w:tc>
          <w:tcPr>
            <w:tcW w:w="1096"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Shiro Tanaka et al</w:t>
            </w:r>
          </w:p>
        </w:tc>
        <w:tc>
          <w:tcPr>
            <w:tcW w:w="200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1,414 patients with type 2 diabetes aged 40–70 years in 1995-1996</w:t>
            </w:r>
          </w:p>
        </w:tc>
        <w:tc>
          <w:tcPr>
            <w:tcW w:w="2557" w:type="dxa"/>
            <w:tcBorders>
              <w:top w:val="single" w:sz="4" w:space="0" w:color="auto"/>
            </w:tcBorders>
            <w:noWrap/>
          </w:tcPr>
          <w:p w:rsidR="00CA2B55"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quartiles of intake (g/d): vegetable: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158.6 ± 64.7</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258.3 ± 71.2</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351.7 ± 86.1</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518.3 ± 159.6;</w:t>
            </w:r>
          </w:p>
          <w:p w:rsidR="00CA2B55"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Fruits:</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70.1 ± 57.0</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113.5 ± 74.0</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147.3 ± 86.8</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203.1 ± 139.3</w:t>
            </w:r>
          </w:p>
        </w:tc>
        <w:tc>
          <w:tcPr>
            <w:tcW w:w="280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stroke risk: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0.72 (0.36–1.44)</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0.45 (0.19–1.04)</w:t>
            </w:r>
          </w:p>
          <w:p w:rsidR="00883197" w:rsidRPr="00CC36E7" w:rsidRDefault="00631496"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0.35 (0.13–0.96)</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CHD risk: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1.25 (0.66–2.34)</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1.34 (0.68–2.63)</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0.81 (0.36–1.84)</w:t>
            </w:r>
          </w:p>
        </w:tc>
        <w:tc>
          <w:tcPr>
            <w:tcW w:w="4983"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age, sex, BMI, HbA1c, diabetes duration, diabetic retinopathy, treatment by insulin, treatment by oral hypoglycemic agents, SBP, LDL cholesterol, HDL cholesterol, triglycerides, current smoking, physical activity, alcohol intake, and proportions of total fat, saturated fatty acid, n-6 fatty acid and n-3 fatty acid, dietary cholesterol, and sodium intake; and further adjusted for total energy intake</w:t>
            </w:r>
          </w:p>
        </w:tc>
      </w:tr>
      <w:tr w:rsidR="00883197" w:rsidRPr="00CC36E7" w:rsidTr="00883197">
        <w:trPr>
          <w:gridAfter w:val="1"/>
          <w:wAfter w:w="26" w:type="dxa"/>
          <w:trHeight w:val="285"/>
          <w:jc w:val="center"/>
        </w:trPr>
        <w:tc>
          <w:tcPr>
            <w:tcW w:w="178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American Society for Nutrition</w:t>
            </w:r>
          </w:p>
        </w:tc>
        <w:tc>
          <w:tcPr>
            <w:tcW w:w="656" w:type="dxa"/>
            <w:tcBorders>
              <w:top w:val="single" w:sz="4" w:space="0" w:color="auto"/>
            </w:tcBorders>
            <w:noWrap/>
          </w:tcPr>
          <w:p w:rsidR="00883197" w:rsidRPr="00CC36E7" w:rsidRDefault="00883197" w:rsidP="00883197">
            <w:pPr>
              <w:widowControl/>
              <w:jc w:val="right"/>
              <w:rPr>
                <w:rFonts w:ascii="Times New Roman" w:eastAsia="宋体" w:hAnsi="Times New Roman" w:cs="Times New Roman"/>
                <w:color w:val="000000"/>
                <w:kern w:val="0"/>
                <w:sz w:val="18"/>
                <w:szCs w:val="18"/>
              </w:rPr>
            </w:pPr>
            <w:r w:rsidRPr="00CC36E7">
              <w:rPr>
                <w:rFonts w:ascii="Times New Roman" w:eastAsia="Yu Mincho" w:hAnsi="Times New Roman" w:cs="Times New Roman"/>
                <w:color w:val="000000"/>
                <w:sz w:val="18"/>
                <w:szCs w:val="18"/>
                <w:lang w:eastAsia="ja-JP"/>
              </w:rPr>
              <w:t>2013</w:t>
            </w:r>
          </w:p>
        </w:tc>
        <w:tc>
          <w:tcPr>
            <w:tcW w:w="1096"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Linda M Oude Griep et al</w:t>
            </w:r>
          </w:p>
        </w:tc>
        <w:tc>
          <w:tcPr>
            <w:tcW w:w="200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 xml:space="preserve">4680 men and women aged 40–59 y from </w:t>
            </w:r>
            <w:r w:rsidRPr="00CC36E7">
              <w:rPr>
                <w:rFonts w:ascii="Times New Roman" w:hAnsi="Times New Roman" w:cs="Times New Roman"/>
                <w:color w:val="000000"/>
                <w:sz w:val="18"/>
                <w:szCs w:val="18"/>
              </w:rPr>
              <w:lastRenderedPageBreak/>
              <w:t>Japan, China, the UK, and the US.</w:t>
            </w:r>
          </w:p>
        </w:tc>
        <w:tc>
          <w:tcPr>
            <w:tcW w:w="2557"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lastRenderedPageBreak/>
              <w:t xml:space="preserve">among East Asian participants raw fruit consumption intake: above median intake or not (50 </w:t>
            </w:r>
            <w:r w:rsidRPr="00CC36E7">
              <w:rPr>
                <w:rFonts w:ascii="Times New Roman" w:hAnsi="Times New Roman" w:cs="Times New Roman"/>
                <w:color w:val="000000"/>
                <w:sz w:val="18"/>
                <w:szCs w:val="18"/>
              </w:rPr>
              <w:lastRenderedPageBreak/>
              <w:t>g/1000 kcal: low: 16±15; high: 106±57.</w:t>
            </w:r>
          </w:p>
        </w:tc>
        <w:tc>
          <w:tcPr>
            <w:tcW w:w="2801" w:type="dxa"/>
            <w:tcBorders>
              <w:top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lastRenderedPageBreak/>
              <w:t xml:space="preserve">in participants from Japan and China, BP difference (mm Hg): </w:t>
            </w:r>
          </w:p>
          <w:p w:rsidR="00883197" w:rsidRPr="00CC36E7" w:rsidRDefault="00631496"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systolic: 0.15 (-0.37, 0.67)</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lastRenderedPageBreak/>
              <w:t>diastolic: 0.37, (0.02, 0.71)</w:t>
            </w:r>
          </w:p>
        </w:tc>
        <w:tc>
          <w:tcPr>
            <w:tcW w:w="4983"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lastRenderedPageBreak/>
              <w:t xml:space="preserve">adjusted for age, sex, and sample; plus intakes of energy (kcal) and alcohol (g/d), smoking status, years of education, physical activity during leisure time, use of dietary supplements, </w:t>
            </w:r>
            <w:r w:rsidRPr="00CC36E7">
              <w:rPr>
                <w:rFonts w:ascii="Times New Roman" w:hAnsi="Times New Roman" w:cs="Times New Roman"/>
                <w:color w:val="000000"/>
                <w:sz w:val="18"/>
                <w:szCs w:val="18"/>
              </w:rPr>
              <w:lastRenderedPageBreak/>
              <w:t>adherence to any special diet, history of cardiovascular disease or diabetes mellitus, family history of cardiovascular disease, urinary sodium, and use of antihypertensive, cardiovascular disease, or diabetes medication; plus intake of low-fat dairy products, raw and cooked vegetables, fiber-rich cereals and grains, red and processed meats, nuts and seeds, and fish and shellfish; BMI</w:t>
            </w:r>
          </w:p>
        </w:tc>
      </w:tr>
      <w:tr w:rsidR="00883197" w:rsidRPr="00CC36E7" w:rsidTr="00883197">
        <w:trPr>
          <w:gridAfter w:val="1"/>
          <w:wAfter w:w="26" w:type="dxa"/>
          <w:trHeight w:val="285"/>
          <w:jc w:val="center"/>
        </w:trPr>
        <w:tc>
          <w:tcPr>
            <w:tcW w:w="178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lastRenderedPageBreak/>
              <w:t>European Heart Journal</w:t>
            </w:r>
          </w:p>
        </w:tc>
        <w:tc>
          <w:tcPr>
            <w:tcW w:w="656" w:type="dxa"/>
            <w:tcBorders>
              <w:top w:val="single" w:sz="4" w:space="0" w:color="auto"/>
            </w:tcBorders>
            <w:noWrap/>
          </w:tcPr>
          <w:p w:rsidR="00883197" w:rsidRPr="00CC36E7" w:rsidRDefault="00883197" w:rsidP="00883197">
            <w:pPr>
              <w:widowControl/>
              <w:jc w:val="right"/>
              <w:rPr>
                <w:rFonts w:ascii="Times New Roman" w:eastAsia="Yu Mincho" w:hAnsi="Times New Roman" w:cs="Times New Roman"/>
                <w:color w:val="000000"/>
                <w:sz w:val="18"/>
                <w:szCs w:val="18"/>
                <w:lang w:eastAsia="ja-JP"/>
              </w:rPr>
            </w:pPr>
            <w:r w:rsidRPr="00CC36E7">
              <w:rPr>
                <w:rFonts w:ascii="Times New Roman" w:eastAsia="宋体" w:hAnsi="Times New Roman" w:cs="Times New Roman"/>
                <w:color w:val="000000"/>
                <w:kern w:val="0"/>
                <w:sz w:val="18"/>
                <w:szCs w:val="18"/>
              </w:rPr>
              <w:t>2012</w:t>
            </w:r>
          </w:p>
        </w:tc>
        <w:tc>
          <w:tcPr>
            <w:tcW w:w="1096" w:type="dxa"/>
            <w:tcBorders>
              <w:top w:val="single" w:sz="4" w:space="0" w:color="auto"/>
            </w:tcBorders>
            <w:noWrap/>
          </w:tcPr>
          <w:p w:rsidR="00883197" w:rsidRPr="00CC36E7" w:rsidRDefault="00883197" w:rsidP="00883197">
            <w:pPr>
              <w:widowControl/>
              <w:jc w:val="left"/>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Eri Eguchi et al</w:t>
            </w:r>
          </w:p>
        </w:tc>
        <w:tc>
          <w:tcPr>
            <w:tcW w:w="2001" w:type="dxa"/>
            <w:tcBorders>
              <w:top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18747 men and 24263 women aged 40–79 without a history of stroke or coronary heart disease (CHD)</w:t>
            </w:r>
            <w:r w:rsidRPr="00CC36E7">
              <w:rPr>
                <w:rFonts w:ascii="Times New Roman" w:eastAsia="宋体" w:hAnsi="Times New Roman" w:cs="Times New Roman"/>
                <w:color w:val="000000"/>
                <w:kern w:val="0"/>
                <w:sz w:val="18"/>
                <w:szCs w:val="18"/>
              </w:rPr>
              <w:br/>
              <w:t>at baseline in 1988–90 were followed up until 2006.</w:t>
            </w:r>
          </w:p>
        </w:tc>
        <w:tc>
          <w:tcPr>
            <w:tcW w:w="2557" w:type="dxa"/>
            <w:tcBorders>
              <w:top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eat fruits everyday vs others</w:t>
            </w:r>
          </w:p>
        </w:tc>
        <w:tc>
          <w:tcPr>
            <w:tcW w:w="2801" w:type="dxa"/>
            <w:tcBorders>
              <w:top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CVD mortality: 0.93 (0.82–1.06)</w:t>
            </w:r>
          </w:p>
        </w:tc>
        <w:tc>
          <w:tcPr>
            <w:tcW w:w="4983" w:type="dxa"/>
            <w:tcBorders>
              <w:top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age, history of hypertension, history of diabetes, education level, regular employment, perceived mental stress, and seven health behaviours other than specified variable</w:t>
            </w:r>
          </w:p>
        </w:tc>
      </w:tr>
      <w:tr w:rsidR="00883197" w:rsidRPr="00CC36E7" w:rsidTr="00883197">
        <w:trPr>
          <w:gridAfter w:val="1"/>
          <w:wAfter w:w="26" w:type="dxa"/>
          <w:trHeight w:val="285"/>
          <w:jc w:val="center"/>
        </w:trPr>
        <w:tc>
          <w:tcPr>
            <w:tcW w:w="178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J Epudemiol</w:t>
            </w:r>
          </w:p>
        </w:tc>
        <w:tc>
          <w:tcPr>
            <w:tcW w:w="656" w:type="dxa"/>
            <w:tcBorders>
              <w:top w:val="single" w:sz="4" w:space="0" w:color="auto"/>
            </w:tcBorders>
            <w:noWrap/>
          </w:tcPr>
          <w:p w:rsidR="00883197" w:rsidRPr="00CC36E7" w:rsidRDefault="00883197" w:rsidP="00883197">
            <w:pPr>
              <w:widowControl/>
              <w:jc w:val="right"/>
              <w:rPr>
                <w:rFonts w:ascii="Times New Roman" w:eastAsia="宋体" w:hAnsi="Times New Roman" w:cs="Times New Roman"/>
                <w:color w:val="000000"/>
                <w:kern w:val="0"/>
                <w:sz w:val="18"/>
                <w:szCs w:val="18"/>
              </w:rPr>
            </w:pPr>
            <w:r w:rsidRPr="00CC36E7">
              <w:rPr>
                <w:rFonts w:ascii="Times New Roman" w:eastAsia="Yu Mincho" w:hAnsi="Times New Roman" w:cs="Times New Roman" w:hint="eastAsia"/>
                <w:color w:val="000000"/>
                <w:kern w:val="0"/>
                <w:sz w:val="18"/>
                <w:szCs w:val="18"/>
                <w:lang w:eastAsia="ja-JP"/>
              </w:rPr>
              <w:t>2011</w:t>
            </w:r>
          </w:p>
        </w:tc>
        <w:tc>
          <w:tcPr>
            <w:tcW w:w="1096"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Yamada T et al</w:t>
            </w:r>
          </w:p>
        </w:tc>
        <w:tc>
          <w:tcPr>
            <w:tcW w:w="2001"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from April 1992 through July 1995, 10,623 participants (4147 men, 6476 women) who had no history of CVD or carcinoma were followed during an average period of 10.7 years</w:t>
            </w:r>
          </w:p>
        </w:tc>
        <w:tc>
          <w:tcPr>
            <w:tcW w:w="2557" w:type="dxa"/>
            <w:tcBorders>
              <w:top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frequency of citrus fruit intake: infrequent</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1-2/month</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1-2/week</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3-4/week</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almost daily</w:t>
            </w:r>
          </w:p>
        </w:tc>
        <w:tc>
          <w:tcPr>
            <w:tcW w:w="2801" w:type="dxa"/>
            <w:tcBorders>
              <w:top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CVD risk: </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men: </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0.70 (0.47–1.05) </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0.75 (0.52–1.09) </w:t>
            </w:r>
          </w:p>
          <w:p w:rsidR="00883197" w:rsidRPr="00CC36E7" w:rsidRDefault="00883197" w:rsidP="00883197">
            <w:pPr>
              <w:rPr>
                <w:rFonts w:ascii="Times New Roman" w:hAnsi="Times New Roman" w:cs="Times New Roman"/>
                <w:b/>
                <w:color w:val="000000"/>
                <w:sz w:val="18"/>
                <w:szCs w:val="18"/>
              </w:rPr>
            </w:pPr>
            <w:r w:rsidRPr="00CC36E7">
              <w:rPr>
                <w:rFonts w:ascii="Times New Roman" w:hAnsi="Times New Roman" w:cs="Times New Roman"/>
                <w:b/>
                <w:color w:val="000000"/>
                <w:sz w:val="18"/>
                <w:szCs w:val="18"/>
              </w:rPr>
              <w:t xml:space="preserve">0.63 (0.41–0.97) </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0.57 (0</w:t>
            </w:r>
            <w:r w:rsidR="00631496" w:rsidRPr="00CC36E7">
              <w:rPr>
                <w:rFonts w:ascii="Times New Roman" w:hAnsi="Times New Roman" w:cs="Times New Roman"/>
                <w:color w:val="000000"/>
                <w:sz w:val="18"/>
                <w:szCs w:val="18"/>
              </w:rPr>
              <w:t>.33–1.01)</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women: </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0.83 (0.49–1.41) </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0.68 (0.42–1.11) </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0.75 (0.46–1.22) </w:t>
            </w:r>
          </w:p>
          <w:p w:rsidR="00883197" w:rsidRPr="00CC36E7" w:rsidRDefault="00631496" w:rsidP="00883197">
            <w:pPr>
              <w:widowControl/>
              <w:jc w:val="left"/>
              <w:rPr>
                <w:rFonts w:ascii="Times New Roman" w:eastAsia="宋体" w:hAnsi="Times New Roman" w:cs="Times New Roman"/>
                <w:b/>
                <w:color w:val="000000"/>
                <w:kern w:val="0"/>
                <w:sz w:val="18"/>
                <w:szCs w:val="18"/>
              </w:rPr>
            </w:pPr>
            <w:r w:rsidRPr="00CC36E7">
              <w:rPr>
                <w:rFonts w:ascii="Times New Roman" w:hAnsi="Times New Roman" w:cs="Times New Roman"/>
                <w:b/>
                <w:color w:val="000000"/>
                <w:sz w:val="18"/>
                <w:szCs w:val="18"/>
              </w:rPr>
              <w:t>0.51 (0.29–0.88)</w:t>
            </w:r>
          </w:p>
        </w:tc>
        <w:tc>
          <w:tcPr>
            <w:tcW w:w="4983" w:type="dxa"/>
            <w:tcBorders>
              <w:top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adjusted for age, study area, body mass index, systolic blood pressure, total cholesterol concentration, physical activity index, smoking status, alcohol consumption, education level, and marital status</w:t>
            </w:r>
          </w:p>
        </w:tc>
      </w:tr>
      <w:tr w:rsidR="00883197" w:rsidRPr="00CC36E7" w:rsidTr="00883197">
        <w:trPr>
          <w:gridAfter w:val="1"/>
          <w:wAfter w:w="26" w:type="dxa"/>
          <w:trHeight w:val="285"/>
          <w:jc w:val="center"/>
        </w:trPr>
        <w:tc>
          <w:tcPr>
            <w:tcW w:w="1781"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British Journal of Nutrition</w:t>
            </w:r>
          </w:p>
        </w:tc>
        <w:tc>
          <w:tcPr>
            <w:tcW w:w="656" w:type="dxa"/>
            <w:noWrap/>
          </w:tcPr>
          <w:p w:rsidR="00883197" w:rsidRPr="00CC36E7" w:rsidRDefault="00883197" w:rsidP="00883197">
            <w:pPr>
              <w:widowControl/>
              <w:jc w:val="right"/>
              <w:rPr>
                <w:rFonts w:ascii="Times New Roman" w:eastAsia="Yu Mincho" w:hAnsi="Times New Roman" w:cs="Times New Roman"/>
                <w:color w:val="000000"/>
                <w:kern w:val="0"/>
                <w:sz w:val="18"/>
                <w:szCs w:val="18"/>
                <w:lang w:eastAsia="ja-JP"/>
              </w:rPr>
            </w:pPr>
            <w:r w:rsidRPr="00CC36E7">
              <w:rPr>
                <w:rFonts w:ascii="Times New Roman" w:eastAsia="宋体" w:hAnsi="Times New Roman" w:cs="Times New Roman"/>
                <w:color w:val="000000"/>
                <w:kern w:val="0"/>
                <w:sz w:val="18"/>
                <w:szCs w:val="18"/>
              </w:rPr>
              <w:t>2009</w:t>
            </w:r>
          </w:p>
        </w:tc>
        <w:tc>
          <w:tcPr>
            <w:tcW w:w="1096" w:type="dxa"/>
            <w:noWrap/>
          </w:tcPr>
          <w:p w:rsidR="00883197" w:rsidRPr="00CC36E7" w:rsidRDefault="00883197" w:rsidP="00883197">
            <w:pPr>
              <w:widowControl/>
              <w:jc w:val="left"/>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Junko Nagura et al</w:t>
            </w:r>
          </w:p>
        </w:tc>
        <w:tc>
          <w:tcPr>
            <w:tcW w:w="2001" w:type="dxa"/>
            <w:noWrap/>
          </w:tcPr>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25 206 men and 34 279 women aged 40–79 years in 1988–90</w:t>
            </w:r>
          </w:p>
        </w:tc>
        <w:tc>
          <w:tcPr>
            <w:tcW w:w="2557"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quartiles of intake (servings/week):</w:t>
            </w:r>
          </w:p>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t xml:space="preserve">fruit: 0.9, 2.3, 3.9, 5.9; </w:t>
            </w:r>
            <w:r w:rsidRPr="00CC36E7">
              <w:rPr>
                <w:rFonts w:ascii="Times New Roman" w:eastAsia="宋体" w:hAnsi="Times New Roman" w:cs="Times New Roman"/>
                <w:color w:val="000000"/>
                <w:kern w:val="0"/>
                <w:sz w:val="18"/>
                <w:szCs w:val="18"/>
              </w:rPr>
              <w:lastRenderedPageBreak/>
              <w:t>vegetables:1.2, 2.3, 3.4, 5.2</w:t>
            </w:r>
          </w:p>
        </w:tc>
        <w:tc>
          <w:tcPr>
            <w:tcW w:w="2801"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lastRenderedPageBreak/>
              <w:t>Stroke mortality</w:t>
            </w:r>
            <w:r w:rsidR="00631496" w:rsidRPr="00CC36E7">
              <w:rPr>
                <w:rFonts w:ascii="Times New Roman" w:eastAsia="宋体" w:hAnsi="Times New Roman" w:cs="Times New Roman"/>
                <w:color w:val="000000"/>
                <w:kern w:val="0"/>
                <w:sz w:val="18"/>
                <w:szCs w:val="18"/>
              </w:rPr>
              <w:t>:</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0.81 (0.69, 0,96)</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0.76 (0.64, 0.90)</w:t>
            </w:r>
          </w:p>
          <w:p w:rsidR="00883197" w:rsidRPr="00CC36E7" w:rsidRDefault="00631496"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lastRenderedPageBreak/>
              <w:t>0.65 (0.53, 0.80)</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CHD mortality: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0.97 (0.75, 1.24)</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0.84 (0.65, 1.10)</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0.79 (0.58, 1.08)</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Total CVD mortality:</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0.90 (0.80, 1.00)</w:t>
            </w:r>
          </w:p>
          <w:p w:rsidR="00883197" w:rsidRPr="00CC36E7" w:rsidRDefault="00631496"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0.89 (0.79, 0.99)</w:t>
            </w:r>
          </w:p>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b/>
                <w:color w:val="000000"/>
                <w:kern w:val="0"/>
                <w:sz w:val="18"/>
                <w:szCs w:val="18"/>
              </w:rPr>
              <w:t>0.77 (0.67, 0.88)</w:t>
            </w:r>
          </w:p>
        </w:tc>
        <w:tc>
          <w:tcPr>
            <w:tcW w:w="4983" w:type="dxa"/>
            <w:noWrap/>
          </w:tcPr>
          <w:p w:rsidR="00883197" w:rsidRPr="00CC36E7" w:rsidRDefault="00883197" w:rsidP="00883197">
            <w:pPr>
              <w:rPr>
                <w:rFonts w:ascii="Times New Roman" w:hAnsi="Times New Roman" w:cs="Times New Roman"/>
                <w:color w:val="000000"/>
                <w:sz w:val="18"/>
                <w:szCs w:val="18"/>
              </w:rPr>
            </w:pPr>
            <w:r w:rsidRPr="00CC36E7">
              <w:rPr>
                <w:rFonts w:ascii="Times New Roman" w:eastAsia="宋体" w:hAnsi="Times New Roman" w:cs="Times New Roman"/>
                <w:color w:val="000000"/>
                <w:kern w:val="0"/>
                <w:sz w:val="18"/>
                <w:szCs w:val="18"/>
              </w:rPr>
              <w:lastRenderedPageBreak/>
              <w:t xml:space="preserve">sex, age, BMI, smoking status, alcohol intake, hours of walking, hours of sleep, education years, perceived mental stress, cholesterol intake, SFA intake, n-3 fatty acids intake, sodium </w:t>
            </w:r>
            <w:r w:rsidRPr="00CC36E7">
              <w:rPr>
                <w:rFonts w:ascii="Times New Roman" w:eastAsia="宋体" w:hAnsi="Times New Roman" w:cs="Times New Roman"/>
                <w:color w:val="000000"/>
                <w:kern w:val="0"/>
                <w:sz w:val="18"/>
                <w:szCs w:val="18"/>
              </w:rPr>
              <w:lastRenderedPageBreak/>
              <w:t>intake and histories of hypertension and diabetes; and further for fruit/vegetable and bean intakes</w:t>
            </w:r>
          </w:p>
        </w:tc>
      </w:tr>
      <w:tr w:rsidR="00883197" w:rsidRPr="00CC36E7" w:rsidTr="00883197">
        <w:trPr>
          <w:gridAfter w:val="1"/>
          <w:wAfter w:w="26" w:type="dxa"/>
          <w:trHeight w:val="285"/>
          <w:jc w:val="center"/>
        </w:trPr>
        <w:tc>
          <w:tcPr>
            <w:tcW w:w="1781"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lastRenderedPageBreak/>
              <w:t>The Journal of Nutrition Nutritional Epidemiology</w:t>
            </w:r>
          </w:p>
        </w:tc>
        <w:tc>
          <w:tcPr>
            <w:tcW w:w="656"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2008</w:t>
            </w:r>
          </w:p>
        </w:tc>
        <w:tc>
          <w:tcPr>
            <w:tcW w:w="1096"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Kozue Nakamura et al</w:t>
            </w:r>
          </w:p>
        </w:tc>
        <w:tc>
          <w:tcPr>
            <w:tcW w:w="2001" w:type="dxa"/>
            <w:noWrap/>
          </w:tcPr>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i</w:t>
            </w:r>
            <w:r w:rsidR="00883197" w:rsidRPr="00CC36E7">
              <w:rPr>
                <w:rFonts w:ascii="Times New Roman" w:eastAsia="宋体" w:hAnsi="Times New Roman" w:cs="Times New Roman"/>
                <w:color w:val="000000"/>
                <w:kern w:val="0"/>
                <w:sz w:val="18"/>
                <w:szCs w:val="18"/>
              </w:rPr>
              <w:t xml:space="preserve">n 1992, 13,355 men and 15,724 women in Takayama, Gifu, Japan </w:t>
            </w:r>
          </w:p>
        </w:tc>
        <w:tc>
          <w:tcPr>
            <w:tcW w:w="2557"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quartiles of intake (servings/d) or (g/d):</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men: </w:t>
            </w:r>
          </w:p>
          <w:p w:rsidR="009E34D4" w:rsidRPr="00CC36E7" w:rsidRDefault="009E34D4"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fruit:</w:t>
            </w:r>
          </w:p>
          <w:p w:rsidR="009E34D4" w:rsidRPr="00CC36E7" w:rsidRDefault="009E34D4"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0.3, 0.7, 1.3, 2.6;</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24.1, 62.2, 110.6, 211.7</w:t>
            </w:r>
          </w:p>
          <w:p w:rsidR="009E34D4"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vegetable: </w:t>
            </w:r>
          </w:p>
          <w:p w:rsidR="009E34D4" w:rsidRPr="00CC36E7" w:rsidRDefault="009E34D4"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2.2, 3.4, 4.6, 7.1;</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176.4, 263.7, 360.1, 553.6 women: </w:t>
            </w:r>
          </w:p>
          <w:p w:rsidR="009E34D4"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fruit: </w:t>
            </w:r>
          </w:p>
          <w:p w:rsidR="009E34D4"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0.4, 0.9, 1.5, 2.7;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35.7, 77.0, 122.5, 213.6</w:t>
            </w:r>
          </w:p>
          <w:p w:rsidR="009E34D4"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vegetable:</w:t>
            </w:r>
          </w:p>
          <w:p w:rsidR="009E34D4"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2.5, 3.6, 4.8, 7.4;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195.5, 281.1, 375.6, 573.9</w:t>
            </w:r>
          </w:p>
        </w:tc>
        <w:tc>
          <w:tcPr>
            <w:tcW w:w="2801"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CVD mortality:</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men: fruit: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1.10 (0.70–1.74)</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0.93 (0.57–1.52) </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1.27 (0.81–2.01)</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vegetable: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0.81 (0.46–1.43)</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1.08 (0.63–1.85)</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1.02 (0.57–1.82)</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Women: fruit: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0.95 (0.59–1.52)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0.71 (0.42–1.18) </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0.83 (0.51–1.34)</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vegetable: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0.84 (0.49–1.45)</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0.83 (0.47–1.47)</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0.77 (0.41–1.46)</w:t>
            </w:r>
          </w:p>
        </w:tc>
        <w:tc>
          <w:tcPr>
            <w:tcW w:w="4983"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nondietary confounders (age, total energy, marital status, years of education, BMI, smoking status (never, former, current), alcohol intake, exercise, history of hypertension or diabetes mellitus (nondietary factors), and menopausal status) and dietary confounders (total protein, saturate</w:t>
            </w:r>
            <w:r w:rsidR="00631496" w:rsidRPr="00CC36E7">
              <w:rPr>
                <w:rFonts w:ascii="Times New Roman" w:eastAsia="宋体" w:hAnsi="Times New Roman" w:cs="Times New Roman"/>
                <w:color w:val="000000"/>
                <w:kern w:val="0"/>
                <w:sz w:val="18"/>
                <w:szCs w:val="18"/>
              </w:rPr>
              <w:t>d fat, and sodium intake)</w:t>
            </w:r>
          </w:p>
        </w:tc>
      </w:tr>
      <w:tr w:rsidR="00883197" w:rsidRPr="00CC36E7" w:rsidTr="00883197">
        <w:trPr>
          <w:gridAfter w:val="1"/>
          <w:wAfter w:w="26" w:type="dxa"/>
          <w:trHeight w:val="285"/>
          <w:jc w:val="center"/>
        </w:trPr>
        <w:tc>
          <w:tcPr>
            <w:tcW w:w="1781"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American Journal of Epidemiology</w:t>
            </w:r>
          </w:p>
        </w:tc>
        <w:tc>
          <w:tcPr>
            <w:tcW w:w="656"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2008</w:t>
            </w:r>
          </w:p>
        </w:tc>
        <w:tc>
          <w:tcPr>
            <w:tcW w:w="1096"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Ribeka Takachi et al</w:t>
            </w:r>
          </w:p>
        </w:tc>
        <w:tc>
          <w:tcPr>
            <w:tcW w:w="2001" w:type="dxa"/>
            <w:noWrap/>
          </w:tcPr>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d</w:t>
            </w:r>
            <w:r w:rsidR="00883197" w:rsidRPr="00CC36E7">
              <w:rPr>
                <w:rFonts w:ascii="Times New Roman" w:eastAsia="宋体" w:hAnsi="Times New Roman" w:cs="Times New Roman"/>
                <w:color w:val="000000"/>
                <w:kern w:val="0"/>
                <w:sz w:val="18"/>
                <w:szCs w:val="18"/>
              </w:rPr>
              <w:t>uring 1995–1998 in nine areas, 77,891</w:t>
            </w:r>
            <w:r w:rsidRPr="00CC36E7">
              <w:rPr>
                <w:rFonts w:ascii="Times New Roman" w:eastAsia="宋体" w:hAnsi="Times New Roman" w:cs="Times New Roman"/>
                <w:color w:val="000000"/>
                <w:kern w:val="0"/>
                <w:sz w:val="18"/>
                <w:szCs w:val="18"/>
              </w:rPr>
              <w:t xml:space="preserve"> men </w:t>
            </w:r>
            <w:r w:rsidRPr="00CC36E7">
              <w:rPr>
                <w:rFonts w:ascii="Times New Roman" w:eastAsia="宋体" w:hAnsi="Times New Roman" w:cs="Times New Roman"/>
                <w:color w:val="000000"/>
                <w:kern w:val="0"/>
                <w:sz w:val="18"/>
                <w:szCs w:val="18"/>
              </w:rPr>
              <w:lastRenderedPageBreak/>
              <w:t>and women aged 45–74 years</w:t>
            </w:r>
          </w:p>
        </w:tc>
        <w:tc>
          <w:tcPr>
            <w:tcW w:w="2557"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lastRenderedPageBreak/>
              <w:t>Quartiles of FV intake (g/d): 186, 335, 482, 733</w:t>
            </w:r>
          </w:p>
        </w:tc>
        <w:tc>
          <w:tcPr>
            <w:tcW w:w="2801"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CVD risk: total FV: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0.90 (0.78, 1.03)</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0.80 (0.69, 0.93)</w:t>
            </w:r>
          </w:p>
          <w:p w:rsidR="00883197" w:rsidRPr="00CC36E7" w:rsidRDefault="00631496"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lastRenderedPageBreak/>
              <w:t>0.76 (0.65, 0.90)</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Fruit: </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0.87 (0.75, 0.99)</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0.70 (0.60, 0.81)</w:t>
            </w:r>
          </w:p>
          <w:p w:rsidR="00883197" w:rsidRPr="00CC36E7" w:rsidRDefault="00631496"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0.70 (0.59, 0.82)</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Vegetables: </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 xml:space="preserve">0.93 (0.80, 1.07) </w:t>
            </w:r>
          </w:p>
          <w:p w:rsidR="00883197" w:rsidRPr="00CC36E7" w:rsidRDefault="00883197" w:rsidP="00883197">
            <w:pPr>
              <w:widowControl/>
              <w:jc w:val="left"/>
              <w:rPr>
                <w:rFonts w:ascii="Times New Roman" w:eastAsia="宋体" w:hAnsi="Times New Roman" w:cs="Times New Roman"/>
                <w:b/>
                <w:color w:val="000000"/>
                <w:kern w:val="0"/>
                <w:sz w:val="18"/>
                <w:szCs w:val="18"/>
              </w:rPr>
            </w:pPr>
            <w:r w:rsidRPr="00CC36E7">
              <w:rPr>
                <w:rFonts w:ascii="Times New Roman" w:eastAsia="宋体" w:hAnsi="Times New Roman" w:cs="Times New Roman"/>
                <w:b/>
                <w:color w:val="000000"/>
                <w:kern w:val="0"/>
                <w:sz w:val="18"/>
                <w:szCs w:val="18"/>
              </w:rPr>
              <w:t>0.81 (0.69, 0.94)</w:t>
            </w:r>
          </w:p>
          <w:p w:rsidR="00883197" w:rsidRPr="00CC36E7" w:rsidRDefault="00631496"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t>0.89 (0.77, 1.04)</w:t>
            </w:r>
          </w:p>
        </w:tc>
        <w:tc>
          <w:tcPr>
            <w:tcW w:w="4983"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宋体" w:hAnsi="Times New Roman" w:cs="Times New Roman"/>
                <w:color w:val="000000"/>
                <w:kern w:val="0"/>
                <w:sz w:val="18"/>
                <w:szCs w:val="18"/>
              </w:rPr>
              <w:lastRenderedPageBreak/>
              <w:t>age (5-year groups), and public health center area; Further adjusted for body mass index in kg/m2 (&lt;19, 19–22.9, 23–26.9, and  27), physical activity in metabolic equivalent task-</w:t>
            </w:r>
            <w:r w:rsidRPr="00CC36E7">
              <w:rPr>
                <w:rFonts w:ascii="Times New Roman" w:eastAsia="宋体" w:hAnsi="Times New Roman" w:cs="Times New Roman"/>
                <w:color w:val="000000"/>
                <w:kern w:val="0"/>
                <w:sz w:val="18"/>
                <w:szCs w:val="18"/>
              </w:rPr>
              <w:lastRenderedPageBreak/>
              <w:t>hours/day (&lt;30, 30–34.9, 35–39.9, and  40), smoking status (never, past, and current), alcohol consumption (none, occasional, 1–149, 150–299, 300–449, and  450 g ethanol/week), quartile of energy intake, screening examination (blood pressure, chest radiograph, gastric photofluorography, gastrointestinal endoscopy, fecal occult blood test, barium enema, colonoscopy, mammography, Papanicolaou smear), medication (hypertension, hyperlipidemia, diabetes mellitus), a</w:t>
            </w:r>
            <w:r w:rsidR="00631496" w:rsidRPr="00CC36E7">
              <w:rPr>
                <w:rFonts w:ascii="Times New Roman" w:eastAsia="宋体" w:hAnsi="Times New Roman" w:cs="Times New Roman"/>
                <w:color w:val="000000"/>
                <w:kern w:val="0"/>
                <w:sz w:val="18"/>
                <w:szCs w:val="18"/>
              </w:rPr>
              <w:t>nd daily vitamin supplement use</w:t>
            </w:r>
          </w:p>
        </w:tc>
      </w:tr>
      <w:tr w:rsidR="00883197" w:rsidRPr="00CC36E7" w:rsidTr="00883197">
        <w:trPr>
          <w:gridAfter w:val="1"/>
          <w:wAfter w:w="26" w:type="dxa"/>
          <w:trHeight w:val="285"/>
          <w:jc w:val="center"/>
        </w:trPr>
        <w:tc>
          <w:tcPr>
            <w:tcW w:w="1781" w:type="dxa"/>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eastAsia="Yu Mincho" w:hAnsi="Times New Roman" w:cs="Times New Roman" w:hint="eastAsia"/>
                <w:color w:val="000000"/>
                <w:kern w:val="0"/>
                <w:sz w:val="18"/>
                <w:szCs w:val="18"/>
                <w:lang w:eastAsia="ja-JP"/>
              </w:rPr>
              <w:lastRenderedPageBreak/>
              <w:t>Stroke</w:t>
            </w:r>
          </w:p>
        </w:tc>
        <w:tc>
          <w:tcPr>
            <w:tcW w:w="656" w:type="dxa"/>
            <w:tcBorders>
              <w:top w:val="single" w:sz="4" w:space="0" w:color="auto"/>
              <w:bottom w:val="single" w:sz="4" w:space="0" w:color="auto"/>
            </w:tcBorders>
            <w:noWrap/>
          </w:tcPr>
          <w:p w:rsidR="00883197" w:rsidRPr="00CC36E7" w:rsidRDefault="00883197" w:rsidP="00883197">
            <w:pPr>
              <w:widowControl/>
              <w:jc w:val="right"/>
              <w:rPr>
                <w:rFonts w:ascii="Times New Roman" w:eastAsia="宋体" w:hAnsi="Times New Roman" w:cs="Times New Roman"/>
                <w:color w:val="000000"/>
                <w:kern w:val="0"/>
                <w:sz w:val="18"/>
                <w:szCs w:val="18"/>
              </w:rPr>
            </w:pPr>
            <w:r w:rsidRPr="00CC36E7">
              <w:rPr>
                <w:rFonts w:ascii="Times New Roman" w:eastAsia="Yu Mincho" w:hAnsi="Times New Roman" w:cs="Times New Roman" w:hint="eastAsia"/>
                <w:color w:val="000000"/>
                <w:kern w:val="0"/>
                <w:sz w:val="18"/>
                <w:szCs w:val="18"/>
                <w:lang w:eastAsia="ja-JP"/>
              </w:rPr>
              <w:t>2003</w:t>
            </w:r>
          </w:p>
        </w:tc>
        <w:tc>
          <w:tcPr>
            <w:tcW w:w="1096" w:type="dxa"/>
            <w:tcBorders>
              <w:top w:val="single" w:sz="4" w:space="0" w:color="auto"/>
              <w:left w:val="nil"/>
              <w:bottom w:val="single" w:sz="4" w:space="0" w:color="auto"/>
              <w:right w:val="single" w:sz="4" w:space="0" w:color="auto"/>
            </w:tcBorders>
            <w:noWrap/>
          </w:tcPr>
          <w:p w:rsidR="00883197" w:rsidRPr="00CC36E7" w:rsidRDefault="006E477F"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Sauvaget, C.</w:t>
            </w:r>
          </w:p>
        </w:tc>
        <w:tc>
          <w:tcPr>
            <w:tcW w:w="2001" w:type="dxa"/>
            <w:tcBorders>
              <w:top w:val="single" w:sz="4" w:space="0" w:color="auto"/>
              <w:left w:val="single" w:sz="4" w:space="0" w:color="auto"/>
              <w:bottom w:val="single" w:sz="4" w:space="0" w:color="auto"/>
              <w:right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A prospective cohort study of 40 349 Japanese men and women was initiated in 1980–1981 and followed until 1998</w:t>
            </w:r>
          </w:p>
        </w:tc>
        <w:tc>
          <w:tcPr>
            <w:tcW w:w="2557" w:type="dxa"/>
            <w:tcBorders>
              <w:top w:val="single" w:sz="4" w:space="0" w:color="auto"/>
              <w:left w:val="single" w:sz="4" w:space="0" w:color="auto"/>
              <w:bottom w:val="single" w:sz="4" w:space="0" w:color="auto"/>
              <w:right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Frequency of green-yellow vegetables and fruits intake: 0-1/week, 2-4/week, daily</w:t>
            </w:r>
          </w:p>
        </w:tc>
        <w:tc>
          <w:tcPr>
            <w:tcW w:w="2801" w:type="dxa"/>
            <w:tcBorders>
              <w:top w:val="single" w:sz="4" w:space="0" w:color="auto"/>
              <w:left w:val="single" w:sz="4" w:space="0" w:color="auto"/>
              <w:bottom w:val="single" w:sz="4" w:space="0" w:color="auto"/>
              <w:right w:val="single" w:sz="4" w:space="0" w:color="auto"/>
            </w:tcBorders>
            <w:noWrap/>
          </w:tcPr>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Stoke </w:t>
            </w:r>
            <w:r w:rsidR="00631496" w:rsidRPr="00CC36E7">
              <w:rPr>
                <w:rFonts w:ascii="Times New Roman" w:hAnsi="Times New Roman" w:cs="Times New Roman"/>
                <w:color w:val="000000"/>
                <w:sz w:val="18"/>
                <w:szCs w:val="18"/>
              </w:rPr>
              <w:t>risk:</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men: </w:t>
            </w:r>
          </w:p>
          <w:p w:rsidR="00883197" w:rsidRPr="00CC36E7" w:rsidRDefault="00631496"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0.87 (0.71–1.07)</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0.81 (0.63–1.03)</w:t>
            </w:r>
          </w:p>
          <w:p w:rsidR="00883197" w:rsidRPr="00CC36E7" w:rsidRDefault="00883197"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 xml:space="preserve">women: </w:t>
            </w:r>
          </w:p>
          <w:p w:rsidR="00883197" w:rsidRPr="00CC36E7" w:rsidRDefault="00631496" w:rsidP="00883197">
            <w:pPr>
              <w:rPr>
                <w:rFonts w:ascii="Times New Roman" w:hAnsi="Times New Roman" w:cs="Times New Roman"/>
                <w:color w:val="000000"/>
                <w:sz w:val="18"/>
                <w:szCs w:val="18"/>
              </w:rPr>
            </w:pPr>
            <w:r w:rsidRPr="00CC36E7">
              <w:rPr>
                <w:rFonts w:ascii="Times New Roman" w:hAnsi="Times New Roman" w:cs="Times New Roman"/>
                <w:color w:val="000000"/>
                <w:sz w:val="18"/>
                <w:szCs w:val="18"/>
              </w:rPr>
              <w:t>1.00 (0.85–1.18)</w:t>
            </w:r>
          </w:p>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0.85 (0.70–1.02)</w:t>
            </w:r>
          </w:p>
        </w:tc>
        <w:tc>
          <w:tcPr>
            <w:tcW w:w="4983" w:type="dxa"/>
            <w:tcBorders>
              <w:top w:val="single" w:sz="4" w:space="0" w:color="auto"/>
              <w:left w:val="single" w:sz="4" w:space="0" w:color="auto"/>
              <w:bottom w:val="single" w:sz="4" w:space="0" w:color="auto"/>
              <w:right w:val="single" w:sz="4" w:space="0" w:color="auto"/>
            </w:tcBorders>
            <w:noWrap/>
          </w:tcPr>
          <w:p w:rsidR="00883197" w:rsidRPr="00CC36E7" w:rsidRDefault="00883197" w:rsidP="00883197">
            <w:pPr>
              <w:widowControl/>
              <w:jc w:val="left"/>
              <w:rPr>
                <w:rFonts w:ascii="Times New Roman" w:eastAsia="宋体" w:hAnsi="Times New Roman" w:cs="Times New Roman"/>
                <w:color w:val="000000"/>
                <w:kern w:val="0"/>
                <w:sz w:val="18"/>
                <w:szCs w:val="18"/>
              </w:rPr>
            </w:pPr>
            <w:r w:rsidRPr="00CC36E7">
              <w:rPr>
                <w:rFonts w:ascii="Times New Roman" w:hAnsi="Times New Roman" w:cs="Times New Roman"/>
                <w:color w:val="000000"/>
                <w:sz w:val="18"/>
                <w:szCs w:val="18"/>
              </w:rPr>
              <w:t>age-stratified, and adjusted for radiation dose, city, BMI, smoking status, alcohol habits, education level, medical history of hypertension, myocardial infarction, diabetes, and consumption of ani</w:t>
            </w:r>
            <w:r w:rsidR="00631496" w:rsidRPr="00CC36E7">
              <w:rPr>
                <w:rFonts w:ascii="Times New Roman" w:hAnsi="Times New Roman" w:cs="Times New Roman"/>
                <w:color w:val="000000"/>
                <w:sz w:val="18"/>
                <w:szCs w:val="18"/>
              </w:rPr>
              <w:t>mal products (egg, dairy, fish)</w:t>
            </w:r>
          </w:p>
        </w:tc>
      </w:tr>
    </w:tbl>
    <w:p w:rsidR="00AA235E" w:rsidRPr="00CC36E7" w:rsidRDefault="00AA235E">
      <w:pPr>
        <w:rPr>
          <w:rFonts w:ascii="Times New Roman" w:hAnsi="Times New Roman" w:cs="Times New Roman"/>
          <w:sz w:val="18"/>
          <w:szCs w:val="18"/>
        </w:rPr>
        <w:sectPr w:rsidR="00AA235E" w:rsidRPr="00CC36E7" w:rsidSect="008649EF">
          <w:pgSz w:w="16838" w:h="11906" w:orient="landscape"/>
          <w:pgMar w:top="851" w:right="1440" w:bottom="1797" w:left="1440" w:header="851" w:footer="992" w:gutter="0"/>
          <w:cols w:space="425"/>
          <w:docGrid w:type="lines" w:linePitch="312"/>
        </w:sectPr>
      </w:pPr>
    </w:p>
    <w:p w:rsidR="00802A2D" w:rsidRPr="00CC36E7" w:rsidRDefault="00802A2D" w:rsidP="002D76D2">
      <w:pPr>
        <w:ind w:leftChars="-857" w:left="-1800" w:firstLineChars="181" w:firstLine="326"/>
        <w:rPr>
          <w:rFonts w:ascii="Times New Roman" w:hAnsi="Times New Roman" w:cs="Times New Roman"/>
          <w:noProof/>
          <w:sz w:val="18"/>
          <w:szCs w:val="18"/>
        </w:rPr>
      </w:pPr>
      <w:r w:rsidRPr="00CC36E7">
        <w:rPr>
          <w:rFonts w:ascii="Times New Roman" w:hAnsi="Times New Roman" w:cs="Times New Roman"/>
          <w:noProof/>
          <w:sz w:val="18"/>
          <w:szCs w:val="18"/>
        </w:rPr>
        <w:lastRenderedPageBreak/>
        <w:t>(</w:t>
      </w:r>
      <w:r w:rsidRPr="00CC36E7">
        <w:rPr>
          <w:rFonts w:ascii="Times New Roman" w:hAnsi="Times New Roman" w:cs="Times New Roman" w:hint="eastAsia"/>
          <w:noProof/>
          <w:sz w:val="18"/>
          <w:szCs w:val="18"/>
        </w:rPr>
        <w:t>Fig</w:t>
      </w:r>
      <w:r w:rsidRPr="00CC36E7">
        <w:rPr>
          <w:rFonts w:ascii="Times New Roman" w:hAnsi="Times New Roman" w:cs="Times New Roman"/>
          <w:noProof/>
          <w:sz w:val="18"/>
          <w:szCs w:val="18"/>
        </w:rPr>
        <w:t>ure 1.1-1.4 were done by JMP 13.0)</w:t>
      </w:r>
    </w:p>
    <w:p w:rsidR="009F6951" w:rsidRPr="00CC36E7" w:rsidRDefault="00DB0F73" w:rsidP="002D76D2">
      <w:pPr>
        <w:ind w:leftChars="-857" w:left="-1800" w:firstLineChars="181" w:firstLine="326"/>
        <w:rPr>
          <w:rFonts w:ascii="Times New Roman" w:hAnsi="Times New Roman" w:cs="Times New Roman"/>
          <w:sz w:val="18"/>
          <w:szCs w:val="18"/>
        </w:rPr>
      </w:pPr>
      <w:r w:rsidRPr="00CC36E7">
        <w:rPr>
          <w:rFonts w:ascii="Times New Roman" w:hAnsi="Times New Roman" w:cs="Times New Roman"/>
          <w:noProof/>
          <w:sz w:val="18"/>
          <w:szCs w:val="18"/>
        </w:rPr>
        <w:drawing>
          <wp:inline distT="0" distB="0" distL="0" distR="0" wp14:anchorId="1FE809AB" wp14:editId="1BB3BE21">
            <wp:extent cx="6604781" cy="4582350"/>
            <wp:effectExtent l="0" t="0" r="571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18859" cy="4592117"/>
                    </a:xfrm>
                    <a:prstGeom prst="rect">
                      <a:avLst/>
                    </a:prstGeom>
                  </pic:spPr>
                </pic:pic>
              </a:graphicData>
            </a:graphic>
          </wp:inline>
        </w:drawing>
      </w:r>
    </w:p>
    <w:p w:rsidR="00D86CC9" w:rsidRPr="00CC36E7" w:rsidRDefault="00D86CC9" w:rsidP="00D86CC9">
      <w:pPr>
        <w:ind w:leftChars="-857" w:left="-1800" w:firstLineChars="181" w:firstLine="326"/>
        <w:jc w:val="center"/>
        <w:rPr>
          <w:rFonts w:ascii="Times New Roman" w:hAnsi="Times New Roman" w:cs="Times New Roman"/>
          <w:b/>
          <w:noProof/>
          <w:sz w:val="18"/>
          <w:szCs w:val="18"/>
        </w:rPr>
      </w:pPr>
      <w:r w:rsidRPr="00CC36E7">
        <w:rPr>
          <w:rFonts w:ascii="Times New Roman" w:hAnsi="Times New Roman" w:cs="Times New Roman" w:hint="eastAsia"/>
          <w:b/>
          <w:noProof/>
          <w:sz w:val="18"/>
          <w:szCs w:val="18"/>
        </w:rPr>
        <w:t>Figure</w:t>
      </w:r>
      <w:r w:rsidRPr="00CC36E7">
        <w:rPr>
          <w:rFonts w:ascii="Times New Roman" w:hAnsi="Times New Roman" w:cs="Times New Roman"/>
          <w:b/>
          <w:noProof/>
          <w:sz w:val="18"/>
          <w:szCs w:val="18"/>
        </w:rPr>
        <w:t xml:space="preserve"> 1.1</w:t>
      </w:r>
    </w:p>
    <w:p w:rsidR="00D86CC9" w:rsidRPr="00CC36E7" w:rsidRDefault="00D86CC9" w:rsidP="00D86CC9">
      <w:pPr>
        <w:ind w:leftChars="-857" w:left="-1800" w:firstLineChars="181" w:firstLine="326"/>
        <w:jc w:val="center"/>
        <w:rPr>
          <w:noProof/>
          <w:sz w:val="18"/>
          <w:szCs w:val="18"/>
        </w:rPr>
      </w:pPr>
    </w:p>
    <w:p w:rsidR="006817FA" w:rsidRPr="00CC36E7" w:rsidRDefault="00182F26" w:rsidP="00502D73">
      <w:pPr>
        <w:ind w:leftChars="-857" w:left="-1192" w:hangingChars="338" w:hanging="608"/>
        <w:rPr>
          <w:rFonts w:ascii="Times New Roman" w:hAnsi="Times New Roman" w:cs="Times New Roman"/>
          <w:sz w:val="18"/>
          <w:szCs w:val="18"/>
        </w:rPr>
      </w:pPr>
      <w:r w:rsidRPr="00CC36E7">
        <w:rPr>
          <w:rFonts w:ascii="Times New Roman" w:hAnsi="Times New Roman" w:cs="Times New Roman"/>
          <w:noProof/>
          <w:sz w:val="18"/>
          <w:szCs w:val="18"/>
        </w:rPr>
        <w:drawing>
          <wp:inline distT="0" distB="0" distL="0" distR="0" wp14:anchorId="213EE352" wp14:editId="3EA2228D">
            <wp:extent cx="7322234" cy="332171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338844" cy="3329252"/>
                    </a:xfrm>
                    <a:prstGeom prst="rect">
                      <a:avLst/>
                    </a:prstGeom>
                  </pic:spPr>
                </pic:pic>
              </a:graphicData>
            </a:graphic>
          </wp:inline>
        </w:drawing>
      </w:r>
    </w:p>
    <w:p w:rsidR="00D86CC9" w:rsidRPr="00CC36E7" w:rsidRDefault="00D86CC9" w:rsidP="00D86CC9">
      <w:pPr>
        <w:ind w:leftChars="-857" w:left="-1800" w:firstLineChars="181" w:firstLine="326"/>
        <w:jc w:val="center"/>
        <w:rPr>
          <w:rFonts w:ascii="Times New Roman" w:hAnsi="Times New Roman" w:cs="Times New Roman"/>
          <w:b/>
          <w:noProof/>
          <w:sz w:val="18"/>
          <w:szCs w:val="18"/>
        </w:rPr>
      </w:pPr>
      <w:r w:rsidRPr="00CC36E7">
        <w:rPr>
          <w:rFonts w:ascii="Times New Roman" w:hAnsi="Times New Roman" w:cs="Times New Roman" w:hint="eastAsia"/>
          <w:b/>
          <w:noProof/>
          <w:sz w:val="18"/>
          <w:szCs w:val="18"/>
        </w:rPr>
        <w:lastRenderedPageBreak/>
        <w:t>Figure</w:t>
      </w:r>
      <w:r w:rsidRPr="00CC36E7">
        <w:rPr>
          <w:rFonts w:ascii="Times New Roman" w:hAnsi="Times New Roman" w:cs="Times New Roman"/>
          <w:b/>
          <w:noProof/>
          <w:sz w:val="18"/>
          <w:szCs w:val="18"/>
        </w:rPr>
        <w:t xml:space="preserve"> 1.2</w:t>
      </w:r>
    </w:p>
    <w:p w:rsidR="00D86CC9" w:rsidRPr="00CC36E7" w:rsidRDefault="00D86CC9" w:rsidP="00D86CC9">
      <w:pPr>
        <w:ind w:leftChars="-519" w:left="-1090" w:firstLineChars="654" w:firstLine="1177"/>
        <w:rPr>
          <w:rFonts w:ascii="Times New Roman" w:hAnsi="Times New Roman" w:cs="Times New Roman"/>
          <w:sz w:val="18"/>
          <w:szCs w:val="18"/>
        </w:rPr>
      </w:pPr>
      <w:r w:rsidRPr="00CC36E7">
        <w:rPr>
          <w:rFonts w:ascii="Times New Roman" w:hAnsi="Times New Roman" w:cs="Times New Roman"/>
          <w:noProof/>
          <w:sz w:val="18"/>
          <w:szCs w:val="18"/>
        </w:rPr>
        <w:drawing>
          <wp:inline distT="0" distB="0" distL="0" distR="0" wp14:anchorId="41763C0D" wp14:editId="6FEA8FA5">
            <wp:extent cx="5274310" cy="3652757"/>
            <wp:effectExtent l="0" t="0" r="254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3652757"/>
                    </a:xfrm>
                    <a:prstGeom prst="rect">
                      <a:avLst/>
                    </a:prstGeom>
                  </pic:spPr>
                </pic:pic>
              </a:graphicData>
            </a:graphic>
          </wp:inline>
        </w:drawing>
      </w:r>
    </w:p>
    <w:p w:rsidR="00D86CC9" w:rsidRPr="00CC36E7" w:rsidRDefault="00D86CC9" w:rsidP="00D86CC9">
      <w:pPr>
        <w:ind w:leftChars="-857" w:left="-1800" w:firstLineChars="181" w:firstLine="326"/>
        <w:jc w:val="center"/>
        <w:rPr>
          <w:rFonts w:ascii="Times New Roman" w:hAnsi="Times New Roman" w:cs="Times New Roman"/>
          <w:b/>
          <w:noProof/>
          <w:sz w:val="18"/>
          <w:szCs w:val="18"/>
        </w:rPr>
      </w:pPr>
      <w:r w:rsidRPr="00CC36E7">
        <w:rPr>
          <w:rFonts w:ascii="Times New Roman" w:hAnsi="Times New Roman" w:cs="Times New Roman" w:hint="eastAsia"/>
          <w:b/>
          <w:noProof/>
          <w:sz w:val="18"/>
          <w:szCs w:val="18"/>
        </w:rPr>
        <w:t>Figure</w:t>
      </w:r>
      <w:r w:rsidRPr="00CC36E7">
        <w:rPr>
          <w:rFonts w:ascii="Times New Roman" w:hAnsi="Times New Roman" w:cs="Times New Roman"/>
          <w:b/>
          <w:noProof/>
          <w:sz w:val="18"/>
          <w:szCs w:val="18"/>
        </w:rPr>
        <w:t xml:space="preserve"> 1.3</w:t>
      </w:r>
    </w:p>
    <w:p w:rsidR="00D86CC9" w:rsidRPr="00CC36E7" w:rsidRDefault="00D86CC9" w:rsidP="00DB0F73">
      <w:pPr>
        <w:ind w:leftChars="-608" w:left="-186" w:hangingChars="606" w:hanging="1091"/>
        <w:rPr>
          <w:rFonts w:ascii="Times New Roman" w:hAnsi="Times New Roman" w:cs="Times New Roman"/>
          <w:sz w:val="18"/>
          <w:szCs w:val="18"/>
        </w:rPr>
      </w:pPr>
    </w:p>
    <w:p w:rsidR="006817FA" w:rsidRPr="00CC36E7" w:rsidRDefault="00390ABC" w:rsidP="00D86CC9">
      <w:pPr>
        <w:ind w:leftChars="-540" w:left="-162" w:hangingChars="540" w:hanging="972"/>
        <w:rPr>
          <w:rFonts w:ascii="Times New Roman" w:hAnsi="Times New Roman" w:cs="Times New Roman"/>
          <w:sz w:val="18"/>
          <w:szCs w:val="18"/>
        </w:rPr>
      </w:pPr>
      <w:r w:rsidRPr="00CC36E7">
        <w:rPr>
          <w:rFonts w:ascii="Times New Roman" w:hAnsi="Times New Roman" w:cs="Times New Roman"/>
          <w:noProof/>
          <w:sz w:val="18"/>
          <w:szCs w:val="18"/>
        </w:rPr>
        <w:drawing>
          <wp:inline distT="0" distB="0" distL="0" distR="0" wp14:anchorId="7C787D9A" wp14:editId="536E0E44">
            <wp:extent cx="6499273" cy="3554021"/>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16535" cy="3563460"/>
                    </a:xfrm>
                    <a:prstGeom prst="rect">
                      <a:avLst/>
                    </a:prstGeom>
                  </pic:spPr>
                </pic:pic>
              </a:graphicData>
            </a:graphic>
          </wp:inline>
        </w:drawing>
      </w:r>
    </w:p>
    <w:p w:rsidR="00D86CC9" w:rsidRPr="00CC36E7" w:rsidRDefault="00D86CC9" w:rsidP="00D86CC9">
      <w:pPr>
        <w:ind w:leftChars="-857" w:left="-1800" w:firstLineChars="181" w:firstLine="326"/>
        <w:jc w:val="center"/>
        <w:rPr>
          <w:rFonts w:ascii="Times New Roman" w:hAnsi="Times New Roman" w:cs="Times New Roman"/>
          <w:b/>
          <w:noProof/>
          <w:sz w:val="18"/>
          <w:szCs w:val="18"/>
        </w:rPr>
      </w:pPr>
      <w:r w:rsidRPr="00CC36E7">
        <w:rPr>
          <w:rFonts w:ascii="Times New Roman" w:hAnsi="Times New Roman" w:cs="Times New Roman" w:hint="eastAsia"/>
          <w:b/>
          <w:noProof/>
          <w:sz w:val="18"/>
          <w:szCs w:val="18"/>
        </w:rPr>
        <w:t>Figure</w:t>
      </w:r>
      <w:r w:rsidRPr="00CC36E7">
        <w:rPr>
          <w:rFonts w:ascii="Times New Roman" w:hAnsi="Times New Roman" w:cs="Times New Roman"/>
          <w:b/>
          <w:noProof/>
          <w:sz w:val="18"/>
          <w:szCs w:val="18"/>
        </w:rPr>
        <w:t xml:space="preserve"> 1.4</w:t>
      </w:r>
    </w:p>
    <w:p w:rsidR="00D86CC9" w:rsidRPr="00CC36E7" w:rsidRDefault="00D86CC9" w:rsidP="00D86CC9">
      <w:pPr>
        <w:ind w:leftChars="-540" w:left="-162" w:hangingChars="540" w:hanging="972"/>
        <w:rPr>
          <w:rFonts w:ascii="Times New Roman" w:hAnsi="Times New Roman" w:cs="Times New Roman"/>
          <w:sz w:val="18"/>
          <w:szCs w:val="18"/>
        </w:rPr>
      </w:pPr>
    </w:p>
    <w:p w:rsidR="0044209F" w:rsidRPr="00CC36E7" w:rsidRDefault="00455F46" w:rsidP="00AA5929">
      <w:pPr>
        <w:widowControl/>
        <w:jc w:val="left"/>
        <w:rPr>
          <w:rFonts w:ascii="Times New Roman" w:hAnsi="Times New Roman" w:cs="Times New Roman"/>
          <w:sz w:val="18"/>
          <w:szCs w:val="18"/>
        </w:rPr>
      </w:pPr>
      <w:r w:rsidRPr="00CC36E7">
        <w:rPr>
          <w:rFonts w:ascii="Times New Roman" w:hAnsi="Times New Roman" w:cs="Times New Roman"/>
          <w:sz w:val="18"/>
          <w:szCs w:val="18"/>
        </w:rPr>
        <w:br w:type="page"/>
      </w:r>
      <w:r w:rsidR="0044209F" w:rsidRPr="00CC36E7">
        <w:rPr>
          <w:rFonts w:ascii="Times New Roman" w:hAnsi="Times New Roman" w:cs="Times New Roman"/>
          <w:noProof/>
          <w:sz w:val="18"/>
          <w:szCs w:val="18"/>
        </w:rPr>
        <w:lastRenderedPageBreak/>
        <w:drawing>
          <wp:inline distT="0" distB="0" distL="0" distR="0" wp14:anchorId="62D3F4AF" wp14:editId="70862619">
            <wp:extent cx="5274310" cy="2672080"/>
            <wp:effectExtent l="0" t="0" r="2540" b="13970"/>
            <wp:docPr id="2" name="图表 2">
              <a:extLst xmlns:a="http://schemas.openxmlformats.org/drawingml/2006/main">
                <a:ext uri="{FF2B5EF4-FFF2-40B4-BE49-F238E27FC236}">
                  <a16:creationId xmlns:a16="http://schemas.microsoft.com/office/drawing/2014/main" id="{103A681E-EA41-41FE-BAB7-FEAA9454A8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0" w:name="_GoBack"/>
      <w:bookmarkEnd w:id="0"/>
    </w:p>
    <w:sectPr w:rsidR="0044209F" w:rsidRPr="00CC36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677" w:rsidRDefault="009D0677" w:rsidP="009F2203">
      <w:r>
        <w:separator/>
      </w:r>
    </w:p>
  </w:endnote>
  <w:endnote w:type="continuationSeparator" w:id="0">
    <w:p w:rsidR="009D0677" w:rsidRDefault="009D0677" w:rsidP="009F2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Uni">
    <w:panose1 w:val="02020603050405020304"/>
    <w:charset w:val="86"/>
    <w:family w:val="roman"/>
    <w:pitch w:val="variable"/>
    <w:sig w:usb0="B334AAFF" w:usb1="F9DFFFFF" w:usb2="0000003E" w:usb3="00000000" w:csb0="001F01FF" w:csb1="00000000"/>
  </w:font>
  <w:font w:name="Yu Mincho">
    <w:panose1 w:val="02020400000000000000"/>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677" w:rsidRDefault="009D0677" w:rsidP="009F2203">
      <w:r>
        <w:separator/>
      </w:r>
    </w:p>
  </w:footnote>
  <w:footnote w:type="continuationSeparator" w:id="0">
    <w:p w:rsidR="009D0677" w:rsidRDefault="009D0677" w:rsidP="009F2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393"/>
    <w:rsid w:val="0000081B"/>
    <w:rsid w:val="00013A11"/>
    <w:rsid w:val="00095E88"/>
    <w:rsid w:val="000968EA"/>
    <w:rsid w:val="00114C28"/>
    <w:rsid w:val="00122C6B"/>
    <w:rsid w:val="00182F26"/>
    <w:rsid w:val="00183C35"/>
    <w:rsid w:val="00260779"/>
    <w:rsid w:val="00263090"/>
    <w:rsid w:val="002D76D2"/>
    <w:rsid w:val="00311C78"/>
    <w:rsid w:val="003156AE"/>
    <w:rsid w:val="00317130"/>
    <w:rsid w:val="0033194D"/>
    <w:rsid w:val="00390ABC"/>
    <w:rsid w:val="003E4FEE"/>
    <w:rsid w:val="0044209F"/>
    <w:rsid w:val="00455F46"/>
    <w:rsid w:val="0050089E"/>
    <w:rsid w:val="00502D73"/>
    <w:rsid w:val="005D0266"/>
    <w:rsid w:val="006103E4"/>
    <w:rsid w:val="00631496"/>
    <w:rsid w:val="0065025C"/>
    <w:rsid w:val="006817FA"/>
    <w:rsid w:val="006A2B13"/>
    <w:rsid w:val="006E477F"/>
    <w:rsid w:val="00704D6D"/>
    <w:rsid w:val="007F3AC3"/>
    <w:rsid w:val="007F4C7A"/>
    <w:rsid w:val="00802A2D"/>
    <w:rsid w:val="00861F19"/>
    <w:rsid w:val="008649EF"/>
    <w:rsid w:val="00883197"/>
    <w:rsid w:val="00910552"/>
    <w:rsid w:val="00952A97"/>
    <w:rsid w:val="00981237"/>
    <w:rsid w:val="009D0677"/>
    <w:rsid w:val="009E34D4"/>
    <w:rsid w:val="009F2203"/>
    <w:rsid w:val="009F6951"/>
    <w:rsid w:val="00A72D91"/>
    <w:rsid w:val="00A80F92"/>
    <w:rsid w:val="00AA235E"/>
    <w:rsid w:val="00AA5929"/>
    <w:rsid w:val="00AC182A"/>
    <w:rsid w:val="00B15F83"/>
    <w:rsid w:val="00B83393"/>
    <w:rsid w:val="00BA759E"/>
    <w:rsid w:val="00C13DE6"/>
    <w:rsid w:val="00C94355"/>
    <w:rsid w:val="00CA2B55"/>
    <w:rsid w:val="00CC36E7"/>
    <w:rsid w:val="00D73C26"/>
    <w:rsid w:val="00D86CC9"/>
    <w:rsid w:val="00DA4E32"/>
    <w:rsid w:val="00DB0F73"/>
    <w:rsid w:val="00E87724"/>
    <w:rsid w:val="00F268A0"/>
    <w:rsid w:val="00FC0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9B23F"/>
  <w15:chartTrackingRefBased/>
  <w15:docId w15:val="{7ABFDCE7-142E-4B9E-8D2F-5F5950DD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22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2203"/>
    <w:rPr>
      <w:sz w:val="18"/>
      <w:szCs w:val="18"/>
    </w:rPr>
  </w:style>
  <w:style w:type="paragraph" w:styleId="a5">
    <w:name w:val="footer"/>
    <w:basedOn w:val="a"/>
    <w:link w:val="a6"/>
    <w:uiPriority w:val="99"/>
    <w:unhideWhenUsed/>
    <w:rsid w:val="009F2203"/>
    <w:pPr>
      <w:tabs>
        <w:tab w:val="center" w:pos="4153"/>
        <w:tab w:val="right" w:pos="8306"/>
      </w:tabs>
      <w:snapToGrid w:val="0"/>
      <w:jc w:val="left"/>
    </w:pPr>
    <w:rPr>
      <w:sz w:val="18"/>
      <w:szCs w:val="18"/>
    </w:rPr>
  </w:style>
  <w:style w:type="character" w:customStyle="1" w:styleId="a6">
    <w:name w:val="页脚 字符"/>
    <w:basedOn w:val="a0"/>
    <w:link w:val="a5"/>
    <w:uiPriority w:val="99"/>
    <w:rsid w:val="009F2203"/>
    <w:rPr>
      <w:sz w:val="18"/>
      <w:szCs w:val="18"/>
    </w:rPr>
  </w:style>
  <w:style w:type="table" w:styleId="a7">
    <w:name w:val="Table Grid"/>
    <w:basedOn w:val="a1"/>
    <w:uiPriority w:val="39"/>
    <w:rsid w:val="009F2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F6951"/>
    <w:rPr>
      <w:color w:val="0563C1" w:themeColor="hyperlink"/>
      <w:u w:val="single"/>
    </w:rPr>
  </w:style>
  <w:style w:type="character" w:styleId="a9">
    <w:name w:val="Unresolved Mention"/>
    <w:basedOn w:val="a0"/>
    <w:uiPriority w:val="99"/>
    <w:semiHidden/>
    <w:unhideWhenUsed/>
    <w:rsid w:val="009F6951"/>
    <w:rPr>
      <w:color w:val="808080"/>
      <w:shd w:val="clear" w:color="auto" w:fill="E6E6E6"/>
    </w:rPr>
  </w:style>
  <w:style w:type="character" w:customStyle="1" w:styleId="font61">
    <w:name w:val="font61"/>
    <w:basedOn w:val="a0"/>
    <w:rsid w:val="00AA235E"/>
    <w:rPr>
      <w:rFonts w:ascii="宋体" w:eastAsia="宋体" w:hAnsi="宋体" w:hint="eastAsia"/>
      <w:b w:val="0"/>
      <w:bCs w:val="0"/>
      <w:i w:val="0"/>
      <w:iCs w:val="0"/>
      <w:color w:val="0000FF"/>
      <w:sz w:val="22"/>
      <w:szCs w:val="22"/>
      <w:u w:val="single"/>
    </w:rPr>
  </w:style>
  <w:style w:type="character" w:customStyle="1" w:styleId="font71">
    <w:name w:val="font71"/>
    <w:basedOn w:val="a0"/>
    <w:rsid w:val="00AA235E"/>
    <w:rPr>
      <w:rFonts w:ascii="宋体" w:eastAsia="宋体" w:hAnsi="宋体" w:hint="eastAsia"/>
      <w:b w:val="0"/>
      <w:bCs w:val="0"/>
      <w:i w:val="0"/>
      <w:iCs w:val="0"/>
      <w:color w:val="0000FF"/>
      <w:sz w:val="22"/>
      <w:szCs w:val="22"/>
      <w:u w:val="single"/>
    </w:rPr>
  </w:style>
  <w:style w:type="table" w:customStyle="1" w:styleId="1">
    <w:name w:val="样式1"/>
    <w:basedOn w:val="a1"/>
    <w:uiPriority w:val="99"/>
    <w:rsid w:val="00CC36E7"/>
    <w:rPr>
      <w:rFonts w:ascii="Times New Roman Uni" w:eastAsia="Times New Roman Uni" w:hAnsi="Times New Roman Uni"/>
      <w:sz w:val="18"/>
    </w:rPr>
    <w:tblPr>
      <w:tblBorders>
        <w:top w:val="single" w:sz="4" w:space="0" w:color="auto"/>
        <w:bottom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888">
      <w:bodyDiv w:val="1"/>
      <w:marLeft w:val="0"/>
      <w:marRight w:val="0"/>
      <w:marTop w:val="0"/>
      <w:marBottom w:val="0"/>
      <w:divBdr>
        <w:top w:val="none" w:sz="0" w:space="0" w:color="auto"/>
        <w:left w:val="none" w:sz="0" w:space="0" w:color="auto"/>
        <w:bottom w:val="none" w:sz="0" w:space="0" w:color="auto"/>
        <w:right w:val="none" w:sz="0" w:space="0" w:color="auto"/>
      </w:divBdr>
    </w:div>
    <w:div w:id="63643536">
      <w:bodyDiv w:val="1"/>
      <w:marLeft w:val="0"/>
      <w:marRight w:val="0"/>
      <w:marTop w:val="0"/>
      <w:marBottom w:val="0"/>
      <w:divBdr>
        <w:top w:val="none" w:sz="0" w:space="0" w:color="auto"/>
        <w:left w:val="none" w:sz="0" w:space="0" w:color="auto"/>
        <w:bottom w:val="none" w:sz="0" w:space="0" w:color="auto"/>
        <w:right w:val="none" w:sz="0" w:space="0" w:color="auto"/>
      </w:divBdr>
    </w:div>
    <w:div w:id="76681718">
      <w:bodyDiv w:val="1"/>
      <w:marLeft w:val="0"/>
      <w:marRight w:val="0"/>
      <w:marTop w:val="0"/>
      <w:marBottom w:val="0"/>
      <w:divBdr>
        <w:top w:val="none" w:sz="0" w:space="0" w:color="auto"/>
        <w:left w:val="none" w:sz="0" w:space="0" w:color="auto"/>
        <w:bottom w:val="none" w:sz="0" w:space="0" w:color="auto"/>
        <w:right w:val="none" w:sz="0" w:space="0" w:color="auto"/>
      </w:divBdr>
    </w:div>
    <w:div w:id="97532455">
      <w:bodyDiv w:val="1"/>
      <w:marLeft w:val="0"/>
      <w:marRight w:val="0"/>
      <w:marTop w:val="0"/>
      <w:marBottom w:val="0"/>
      <w:divBdr>
        <w:top w:val="none" w:sz="0" w:space="0" w:color="auto"/>
        <w:left w:val="none" w:sz="0" w:space="0" w:color="auto"/>
        <w:bottom w:val="none" w:sz="0" w:space="0" w:color="auto"/>
        <w:right w:val="none" w:sz="0" w:space="0" w:color="auto"/>
      </w:divBdr>
    </w:div>
    <w:div w:id="185412131">
      <w:bodyDiv w:val="1"/>
      <w:marLeft w:val="0"/>
      <w:marRight w:val="0"/>
      <w:marTop w:val="0"/>
      <w:marBottom w:val="0"/>
      <w:divBdr>
        <w:top w:val="none" w:sz="0" w:space="0" w:color="auto"/>
        <w:left w:val="none" w:sz="0" w:space="0" w:color="auto"/>
        <w:bottom w:val="none" w:sz="0" w:space="0" w:color="auto"/>
        <w:right w:val="none" w:sz="0" w:space="0" w:color="auto"/>
      </w:divBdr>
    </w:div>
    <w:div w:id="194857246">
      <w:bodyDiv w:val="1"/>
      <w:marLeft w:val="0"/>
      <w:marRight w:val="0"/>
      <w:marTop w:val="0"/>
      <w:marBottom w:val="0"/>
      <w:divBdr>
        <w:top w:val="none" w:sz="0" w:space="0" w:color="auto"/>
        <w:left w:val="none" w:sz="0" w:space="0" w:color="auto"/>
        <w:bottom w:val="none" w:sz="0" w:space="0" w:color="auto"/>
        <w:right w:val="none" w:sz="0" w:space="0" w:color="auto"/>
      </w:divBdr>
    </w:div>
    <w:div w:id="213854746">
      <w:bodyDiv w:val="1"/>
      <w:marLeft w:val="0"/>
      <w:marRight w:val="0"/>
      <w:marTop w:val="0"/>
      <w:marBottom w:val="0"/>
      <w:divBdr>
        <w:top w:val="none" w:sz="0" w:space="0" w:color="auto"/>
        <w:left w:val="none" w:sz="0" w:space="0" w:color="auto"/>
        <w:bottom w:val="none" w:sz="0" w:space="0" w:color="auto"/>
        <w:right w:val="none" w:sz="0" w:space="0" w:color="auto"/>
      </w:divBdr>
    </w:div>
    <w:div w:id="225267982">
      <w:bodyDiv w:val="1"/>
      <w:marLeft w:val="0"/>
      <w:marRight w:val="0"/>
      <w:marTop w:val="0"/>
      <w:marBottom w:val="0"/>
      <w:divBdr>
        <w:top w:val="none" w:sz="0" w:space="0" w:color="auto"/>
        <w:left w:val="none" w:sz="0" w:space="0" w:color="auto"/>
        <w:bottom w:val="none" w:sz="0" w:space="0" w:color="auto"/>
        <w:right w:val="none" w:sz="0" w:space="0" w:color="auto"/>
      </w:divBdr>
    </w:div>
    <w:div w:id="245067911">
      <w:bodyDiv w:val="1"/>
      <w:marLeft w:val="0"/>
      <w:marRight w:val="0"/>
      <w:marTop w:val="0"/>
      <w:marBottom w:val="0"/>
      <w:divBdr>
        <w:top w:val="none" w:sz="0" w:space="0" w:color="auto"/>
        <w:left w:val="none" w:sz="0" w:space="0" w:color="auto"/>
        <w:bottom w:val="none" w:sz="0" w:space="0" w:color="auto"/>
        <w:right w:val="none" w:sz="0" w:space="0" w:color="auto"/>
      </w:divBdr>
    </w:div>
    <w:div w:id="393435528">
      <w:bodyDiv w:val="1"/>
      <w:marLeft w:val="0"/>
      <w:marRight w:val="0"/>
      <w:marTop w:val="0"/>
      <w:marBottom w:val="0"/>
      <w:divBdr>
        <w:top w:val="none" w:sz="0" w:space="0" w:color="auto"/>
        <w:left w:val="none" w:sz="0" w:space="0" w:color="auto"/>
        <w:bottom w:val="none" w:sz="0" w:space="0" w:color="auto"/>
        <w:right w:val="none" w:sz="0" w:space="0" w:color="auto"/>
      </w:divBdr>
    </w:div>
    <w:div w:id="531572105">
      <w:bodyDiv w:val="1"/>
      <w:marLeft w:val="0"/>
      <w:marRight w:val="0"/>
      <w:marTop w:val="0"/>
      <w:marBottom w:val="0"/>
      <w:divBdr>
        <w:top w:val="none" w:sz="0" w:space="0" w:color="auto"/>
        <w:left w:val="none" w:sz="0" w:space="0" w:color="auto"/>
        <w:bottom w:val="none" w:sz="0" w:space="0" w:color="auto"/>
        <w:right w:val="none" w:sz="0" w:space="0" w:color="auto"/>
      </w:divBdr>
    </w:div>
    <w:div w:id="534779378">
      <w:bodyDiv w:val="1"/>
      <w:marLeft w:val="0"/>
      <w:marRight w:val="0"/>
      <w:marTop w:val="0"/>
      <w:marBottom w:val="0"/>
      <w:divBdr>
        <w:top w:val="none" w:sz="0" w:space="0" w:color="auto"/>
        <w:left w:val="none" w:sz="0" w:space="0" w:color="auto"/>
        <w:bottom w:val="none" w:sz="0" w:space="0" w:color="auto"/>
        <w:right w:val="none" w:sz="0" w:space="0" w:color="auto"/>
      </w:divBdr>
    </w:div>
    <w:div w:id="556817325">
      <w:bodyDiv w:val="1"/>
      <w:marLeft w:val="0"/>
      <w:marRight w:val="0"/>
      <w:marTop w:val="0"/>
      <w:marBottom w:val="0"/>
      <w:divBdr>
        <w:top w:val="none" w:sz="0" w:space="0" w:color="auto"/>
        <w:left w:val="none" w:sz="0" w:space="0" w:color="auto"/>
        <w:bottom w:val="none" w:sz="0" w:space="0" w:color="auto"/>
        <w:right w:val="none" w:sz="0" w:space="0" w:color="auto"/>
      </w:divBdr>
    </w:div>
    <w:div w:id="642924733">
      <w:bodyDiv w:val="1"/>
      <w:marLeft w:val="0"/>
      <w:marRight w:val="0"/>
      <w:marTop w:val="0"/>
      <w:marBottom w:val="0"/>
      <w:divBdr>
        <w:top w:val="none" w:sz="0" w:space="0" w:color="auto"/>
        <w:left w:val="none" w:sz="0" w:space="0" w:color="auto"/>
        <w:bottom w:val="none" w:sz="0" w:space="0" w:color="auto"/>
        <w:right w:val="none" w:sz="0" w:space="0" w:color="auto"/>
      </w:divBdr>
    </w:div>
    <w:div w:id="661859334">
      <w:bodyDiv w:val="1"/>
      <w:marLeft w:val="0"/>
      <w:marRight w:val="0"/>
      <w:marTop w:val="0"/>
      <w:marBottom w:val="0"/>
      <w:divBdr>
        <w:top w:val="none" w:sz="0" w:space="0" w:color="auto"/>
        <w:left w:val="none" w:sz="0" w:space="0" w:color="auto"/>
        <w:bottom w:val="none" w:sz="0" w:space="0" w:color="auto"/>
        <w:right w:val="none" w:sz="0" w:space="0" w:color="auto"/>
      </w:divBdr>
    </w:div>
    <w:div w:id="756025833">
      <w:bodyDiv w:val="1"/>
      <w:marLeft w:val="0"/>
      <w:marRight w:val="0"/>
      <w:marTop w:val="0"/>
      <w:marBottom w:val="0"/>
      <w:divBdr>
        <w:top w:val="none" w:sz="0" w:space="0" w:color="auto"/>
        <w:left w:val="none" w:sz="0" w:space="0" w:color="auto"/>
        <w:bottom w:val="none" w:sz="0" w:space="0" w:color="auto"/>
        <w:right w:val="none" w:sz="0" w:space="0" w:color="auto"/>
      </w:divBdr>
    </w:div>
    <w:div w:id="896622510">
      <w:bodyDiv w:val="1"/>
      <w:marLeft w:val="0"/>
      <w:marRight w:val="0"/>
      <w:marTop w:val="0"/>
      <w:marBottom w:val="0"/>
      <w:divBdr>
        <w:top w:val="none" w:sz="0" w:space="0" w:color="auto"/>
        <w:left w:val="none" w:sz="0" w:space="0" w:color="auto"/>
        <w:bottom w:val="none" w:sz="0" w:space="0" w:color="auto"/>
        <w:right w:val="none" w:sz="0" w:space="0" w:color="auto"/>
      </w:divBdr>
    </w:div>
    <w:div w:id="950018776">
      <w:bodyDiv w:val="1"/>
      <w:marLeft w:val="0"/>
      <w:marRight w:val="0"/>
      <w:marTop w:val="0"/>
      <w:marBottom w:val="0"/>
      <w:divBdr>
        <w:top w:val="none" w:sz="0" w:space="0" w:color="auto"/>
        <w:left w:val="none" w:sz="0" w:space="0" w:color="auto"/>
        <w:bottom w:val="none" w:sz="0" w:space="0" w:color="auto"/>
        <w:right w:val="none" w:sz="0" w:space="0" w:color="auto"/>
      </w:divBdr>
    </w:div>
    <w:div w:id="963192486">
      <w:bodyDiv w:val="1"/>
      <w:marLeft w:val="0"/>
      <w:marRight w:val="0"/>
      <w:marTop w:val="0"/>
      <w:marBottom w:val="0"/>
      <w:divBdr>
        <w:top w:val="none" w:sz="0" w:space="0" w:color="auto"/>
        <w:left w:val="none" w:sz="0" w:space="0" w:color="auto"/>
        <w:bottom w:val="none" w:sz="0" w:space="0" w:color="auto"/>
        <w:right w:val="none" w:sz="0" w:space="0" w:color="auto"/>
      </w:divBdr>
    </w:div>
    <w:div w:id="964236827">
      <w:bodyDiv w:val="1"/>
      <w:marLeft w:val="0"/>
      <w:marRight w:val="0"/>
      <w:marTop w:val="0"/>
      <w:marBottom w:val="0"/>
      <w:divBdr>
        <w:top w:val="none" w:sz="0" w:space="0" w:color="auto"/>
        <w:left w:val="none" w:sz="0" w:space="0" w:color="auto"/>
        <w:bottom w:val="none" w:sz="0" w:space="0" w:color="auto"/>
        <w:right w:val="none" w:sz="0" w:space="0" w:color="auto"/>
      </w:divBdr>
    </w:div>
    <w:div w:id="974220990">
      <w:bodyDiv w:val="1"/>
      <w:marLeft w:val="0"/>
      <w:marRight w:val="0"/>
      <w:marTop w:val="0"/>
      <w:marBottom w:val="0"/>
      <w:divBdr>
        <w:top w:val="none" w:sz="0" w:space="0" w:color="auto"/>
        <w:left w:val="none" w:sz="0" w:space="0" w:color="auto"/>
        <w:bottom w:val="none" w:sz="0" w:space="0" w:color="auto"/>
        <w:right w:val="none" w:sz="0" w:space="0" w:color="auto"/>
      </w:divBdr>
    </w:div>
    <w:div w:id="1041594439">
      <w:bodyDiv w:val="1"/>
      <w:marLeft w:val="0"/>
      <w:marRight w:val="0"/>
      <w:marTop w:val="0"/>
      <w:marBottom w:val="0"/>
      <w:divBdr>
        <w:top w:val="none" w:sz="0" w:space="0" w:color="auto"/>
        <w:left w:val="none" w:sz="0" w:space="0" w:color="auto"/>
        <w:bottom w:val="none" w:sz="0" w:space="0" w:color="auto"/>
        <w:right w:val="none" w:sz="0" w:space="0" w:color="auto"/>
      </w:divBdr>
    </w:div>
    <w:div w:id="1108937553">
      <w:bodyDiv w:val="1"/>
      <w:marLeft w:val="0"/>
      <w:marRight w:val="0"/>
      <w:marTop w:val="0"/>
      <w:marBottom w:val="0"/>
      <w:divBdr>
        <w:top w:val="none" w:sz="0" w:space="0" w:color="auto"/>
        <w:left w:val="none" w:sz="0" w:space="0" w:color="auto"/>
        <w:bottom w:val="none" w:sz="0" w:space="0" w:color="auto"/>
        <w:right w:val="none" w:sz="0" w:space="0" w:color="auto"/>
      </w:divBdr>
    </w:div>
    <w:div w:id="1204099087">
      <w:bodyDiv w:val="1"/>
      <w:marLeft w:val="0"/>
      <w:marRight w:val="0"/>
      <w:marTop w:val="0"/>
      <w:marBottom w:val="0"/>
      <w:divBdr>
        <w:top w:val="none" w:sz="0" w:space="0" w:color="auto"/>
        <w:left w:val="none" w:sz="0" w:space="0" w:color="auto"/>
        <w:bottom w:val="none" w:sz="0" w:space="0" w:color="auto"/>
        <w:right w:val="none" w:sz="0" w:space="0" w:color="auto"/>
      </w:divBdr>
    </w:div>
    <w:div w:id="1250046662">
      <w:bodyDiv w:val="1"/>
      <w:marLeft w:val="0"/>
      <w:marRight w:val="0"/>
      <w:marTop w:val="0"/>
      <w:marBottom w:val="0"/>
      <w:divBdr>
        <w:top w:val="none" w:sz="0" w:space="0" w:color="auto"/>
        <w:left w:val="none" w:sz="0" w:space="0" w:color="auto"/>
        <w:bottom w:val="none" w:sz="0" w:space="0" w:color="auto"/>
        <w:right w:val="none" w:sz="0" w:space="0" w:color="auto"/>
      </w:divBdr>
    </w:div>
    <w:div w:id="1335644397">
      <w:bodyDiv w:val="1"/>
      <w:marLeft w:val="0"/>
      <w:marRight w:val="0"/>
      <w:marTop w:val="0"/>
      <w:marBottom w:val="0"/>
      <w:divBdr>
        <w:top w:val="none" w:sz="0" w:space="0" w:color="auto"/>
        <w:left w:val="none" w:sz="0" w:space="0" w:color="auto"/>
        <w:bottom w:val="none" w:sz="0" w:space="0" w:color="auto"/>
        <w:right w:val="none" w:sz="0" w:space="0" w:color="auto"/>
      </w:divBdr>
    </w:div>
    <w:div w:id="1415204922">
      <w:bodyDiv w:val="1"/>
      <w:marLeft w:val="0"/>
      <w:marRight w:val="0"/>
      <w:marTop w:val="0"/>
      <w:marBottom w:val="0"/>
      <w:divBdr>
        <w:top w:val="none" w:sz="0" w:space="0" w:color="auto"/>
        <w:left w:val="none" w:sz="0" w:space="0" w:color="auto"/>
        <w:bottom w:val="none" w:sz="0" w:space="0" w:color="auto"/>
        <w:right w:val="none" w:sz="0" w:space="0" w:color="auto"/>
      </w:divBdr>
    </w:div>
    <w:div w:id="1459690212">
      <w:bodyDiv w:val="1"/>
      <w:marLeft w:val="0"/>
      <w:marRight w:val="0"/>
      <w:marTop w:val="0"/>
      <w:marBottom w:val="0"/>
      <w:divBdr>
        <w:top w:val="none" w:sz="0" w:space="0" w:color="auto"/>
        <w:left w:val="none" w:sz="0" w:space="0" w:color="auto"/>
        <w:bottom w:val="none" w:sz="0" w:space="0" w:color="auto"/>
        <w:right w:val="none" w:sz="0" w:space="0" w:color="auto"/>
      </w:divBdr>
    </w:div>
    <w:div w:id="1603565231">
      <w:bodyDiv w:val="1"/>
      <w:marLeft w:val="0"/>
      <w:marRight w:val="0"/>
      <w:marTop w:val="0"/>
      <w:marBottom w:val="0"/>
      <w:divBdr>
        <w:top w:val="none" w:sz="0" w:space="0" w:color="auto"/>
        <w:left w:val="none" w:sz="0" w:space="0" w:color="auto"/>
        <w:bottom w:val="none" w:sz="0" w:space="0" w:color="auto"/>
        <w:right w:val="none" w:sz="0" w:space="0" w:color="auto"/>
      </w:divBdr>
    </w:div>
    <w:div w:id="1778215388">
      <w:bodyDiv w:val="1"/>
      <w:marLeft w:val="0"/>
      <w:marRight w:val="0"/>
      <w:marTop w:val="0"/>
      <w:marBottom w:val="0"/>
      <w:divBdr>
        <w:top w:val="none" w:sz="0" w:space="0" w:color="auto"/>
        <w:left w:val="none" w:sz="0" w:space="0" w:color="auto"/>
        <w:bottom w:val="none" w:sz="0" w:space="0" w:color="auto"/>
        <w:right w:val="none" w:sz="0" w:space="0" w:color="auto"/>
      </w:divBdr>
    </w:div>
    <w:div w:id="1778987172">
      <w:bodyDiv w:val="1"/>
      <w:marLeft w:val="0"/>
      <w:marRight w:val="0"/>
      <w:marTop w:val="0"/>
      <w:marBottom w:val="0"/>
      <w:divBdr>
        <w:top w:val="none" w:sz="0" w:space="0" w:color="auto"/>
        <w:left w:val="none" w:sz="0" w:space="0" w:color="auto"/>
        <w:bottom w:val="none" w:sz="0" w:space="0" w:color="auto"/>
        <w:right w:val="none" w:sz="0" w:space="0" w:color="auto"/>
      </w:divBdr>
    </w:div>
    <w:div w:id="1827086627">
      <w:bodyDiv w:val="1"/>
      <w:marLeft w:val="0"/>
      <w:marRight w:val="0"/>
      <w:marTop w:val="0"/>
      <w:marBottom w:val="0"/>
      <w:divBdr>
        <w:top w:val="none" w:sz="0" w:space="0" w:color="auto"/>
        <w:left w:val="none" w:sz="0" w:space="0" w:color="auto"/>
        <w:bottom w:val="none" w:sz="0" w:space="0" w:color="auto"/>
        <w:right w:val="none" w:sz="0" w:space="0" w:color="auto"/>
      </w:divBdr>
    </w:div>
    <w:div w:id="1961952959">
      <w:bodyDiv w:val="1"/>
      <w:marLeft w:val="0"/>
      <w:marRight w:val="0"/>
      <w:marTop w:val="0"/>
      <w:marBottom w:val="0"/>
      <w:divBdr>
        <w:top w:val="none" w:sz="0" w:space="0" w:color="auto"/>
        <w:left w:val="none" w:sz="0" w:space="0" w:color="auto"/>
        <w:bottom w:val="none" w:sz="0" w:space="0" w:color="auto"/>
        <w:right w:val="none" w:sz="0" w:space="0" w:color="auto"/>
      </w:divBdr>
    </w:div>
    <w:div w:id="1977833980">
      <w:bodyDiv w:val="1"/>
      <w:marLeft w:val="0"/>
      <w:marRight w:val="0"/>
      <w:marTop w:val="0"/>
      <w:marBottom w:val="0"/>
      <w:divBdr>
        <w:top w:val="none" w:sz="0" w:space="0" w:color="auto"/>
        <w:left w:val="none" w:sz="0" w:space="0" w:color="auto"/>
        <w:bottom w:val="none" w:sz="0" w:space="0" w:color="auto"/>
        <w:right w:val="none" w:sz="0" w:space="0" w:color="auto"/>
      </w:divBdr>
    </w:div>
    <w:div w:id="2031494073">
      <w:bodyDiv w:val="1"/>
      <w:marLeft w:val="0"/>
      <w:marRight w:val="0"/>
      <w:marTop w:val="0"/>
      <w:marBottom w:val="0"/>
      <w:divBdr>
        <w:top w:val="none" w:sz="0" w:space="0" w:color="auto"/>
        <w:left w:val="none" w:sz="0" w:space="0" w:color="auto"/>
        <w:bottom w:val="none" w:sz="0" w:space="0" w:color="auto"/>
        <w:right w:val="none" w:sz="0" w:space="0" w:color="auto"/>
      </w:divBdr>
    </w:div>
    <w:div w:id="2054041487">
      <w:bodyDiv w:val="1"/>
      <w:marLeft w:val="0"/>
      <w:marRight w:val="0"/>
      <w:marTop w:val="0"/>
      <w:marBottom w:val="0"/>
      <w:divBdr>
        <w:top w:val="none" w:sz="0" w:space="0" w:color="auto"/>
        <w:left w:val="none" w:sz="0" w:space="0" w:color="auto"/>
        <w:bottom w:val="none" w:sz="0" w:space="0" w:color="auto"/>
        <w:right w:val="none" w:sz="0" w:space="0" w:color="auto"/>
      </w:divBdr>
    </w:div>
    <w:div w:id="209731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2788070/"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sciencedirect.com/science/article/pii/S1052305703001381"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who.int/healthinfo/global_burden_disease/GBD2004_DisabilityWeights.pdf"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20Xiuting\Desktop\&#34092;&#33756;&#20896;&#24515;&#30149;\&#30142;&#30149;&#36127;&#25285;\&#26085;&#26412;&#24739;&#30149;&#20154;&#2596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87729658792651"/>
          <c:y val="0.12962962962962962"/>
          <c:w val="0.78316207349081368"/>
          <c:h val="0.7190879265091864"/>
        </c:manualLayout>
      </c:layout>
      <c:barChart>
        <c:barDir val="col"/>
        <c:grouping val="clustered"/>
        <c:varyColors val="0"/>
        <c:ser>
          <c:idx val="2"/>
          <c:order val="2"/>
          <c:tx>
            <c:strRef>
              <c:f>汇总!$N$22</c:f>
              <c:strCache>
                <c:ptCount val="1"/>
                <c:pt idx="0">
                  <c:v>coronary heart disease</c:v>
                </c:pt>
              </c:strCache>
            </c:strRef>
          </c:tx>
          <c:spPr>
            <a:solidFill>
              <a:schemeClr val="accent3">
                <a:lumMod val="40000"/>
                <a:lumOff val="60000"/>
              </a:schemeClr>
            </a:solidFill>
            <a:ln>
              <a:solidFill>
                <a:schemeClr val="accent3"/>
              </a:solidFill>
            </a:ln>
            <a:effectLst/>
          </c:spPr>
          <c:invertIfNegative val="0"/>
          <c:dPt>
            <c:idx val="6"/>
            <c:invertIfNegative val="0"/>
            <c:bubble3D val="0"/>
            <c:spPr>
              <a:solidFill>
                <a:schemeClr val="accent3">
                  <a:lumMod val="40000"/>
                  <a:lumOff val="60000"/>
                </a:schemeClr>
              </a:solidFill>
              <a:ln>
                <a:solidFill>
                  <a:schemeClr val="accent3"/>
                </a:solidFill>
                <a:prstDash val="dashDot"/>
              </a:ln>
              <a:effectLst/>
            </c:spPr>
            <c:extLst>
              <c:ext xmlns:c16="http://schemas.microsoft.com/office/drawing/2014/chart" uri="{C3380CC4-5D6E-409C-BE32-E72D297353CC}">
                <c16:uniqueId val="{00000001-EB4A-47D7-82FC-94CB70FEE7D5}"/>
              </c:ext>
            </c:extLst>
          </c:dPt>
          <c:dPt>
            <c:idx val="7"/>
            <c:invertIfNegative val="0"/>
            <c:bubble3D val="0"/>
            <c:spPr>
              <a:solidFill>
                <a:schemeClr val="accent3">
                  <a:lumMod val="40000"/>
                  <a:lumOff val="60000"/>
                </a:schemeClr>
              </a:solidFill>
              <a:ln>
                <a:solidFill>
                  <a:schemeClr val="accent3"/>
                </a:solidFill>
                <a:prstDash val="dash"/>
              </a:ln>
              <a:effectLst/>
            </c:spPr>
            <c:extLst>
              <c:ext xmlns:c16="http://schemas.microsoft.com/office/drawing/2014/chart" uri="{C3380CC4-5D6E-409C-BE32-E72D297353CC}">
                <c16:uniqueId val="{00000003-EB4A-47D7-82FC-94CB70FEE7D5}"/>
              </c:ext>
            </c:extLst>
          </c:dPt>
          <c:dPt>
            <c:idx val="8"/>
            <c:invertIfNegative val="0"/>
            <c:bubble3D val="0"/>
            <c:spPr>
              <a:solidFill>
                <a:schemeClr val="accent3">
                  <a:lumMod val="40000"/>
                  <a:lumOff val="60000"/>
                </a:schemeClr>
              </a:solidFill>
              <a:ln>
                <a:solidFill>
                  <a:schemeClr val="accent3"/>
                </a:solidFill>
                <a:prstDash val="dash"/>
              </a:ln>
              <a:effectLst/>
            </c:spPr>
            <c:extLst>
              <c:ext xmlns:c16="http://schemas.microsoft.com/office/drawing/2014/chart" uri="{C3380CC4-5D6E-409C-BE32-E72D297353CC}">
                <c16:uniqueId val="{00000005-EB4A-47D7-82FC-94CB70FEE7D5}"/>
              </c:ext>
            </c:extLst>
          </c:dPt>
          <c:dPt>
            <c:idx val="11"/>
            <c:invertIfNegative val="0"/>
            <c:bubble3D val="0"/>
            <c:spPr>
              <a:solidFill>
                <a:schemeClr val="accent3">
                  <a:lumMod val="40000"/>
                  <a:lumOff val="60000"/>
                </a:schemeClr>
              </a:solidFill>
              <a:ln>
                <a:solidFill>
                  <a:schemeClr val="accent3"/>
                </a:solidFill>
                <a:prstDash val="dash"/>
              </a:ln>
              <a:effectLst/>
            </c:spPr>
            <c:extLst>
              <c:ext xmlns:c16="http://schemas.microsoft.com/office/drawing/2014/chart" uri="{C3380CC4-5D6E-409C-BE32-E72D297353CC}">
                <c16:uniqueId val="{00000007-EB4A-47D7-82FC-94CB70FEE7D5}"/>
              </c:ext>
            </c:extLst>
          </c:dPt>
          <c:dPt>
            <c:idx val="14"/>
            <c:invertIfNegative val="0"/>
            <c:bubble3D val="0"/>
            <c:spPr>
              <a:solidFill>
                <a:schemeClr val="accent3">
                  <a:lumMod val="40000"/>
                  <a:lumOff val="60000"/>
                </a:schemeClr>
              </a:solidFill>
              <a:ln>
                <a:solidFill>
                  <a:schemeClr val="accent3"/>
                </a:solidFill>
                <a:prstDash val="dash"/>
              </a:ln>
              <a:effectLst/>
            </c:spPr>
            <c:extLst>
              <c:ext xmlns:c16="http://schemas.microsoft.com/office/drawing/2014/chart" uri="{C3380CC4-5D6E-409C-BE32-E72D297353CC}">
                <c16:uniqueId val="{00000009-EB4A-47D7-82FC-94CB70FEE7D5}"/>
              </c:ext>
            </c:extLst>
          </c:dPt>
          <c:cat>
            <c:numRef>
              <c:f>汇总!$O$19:$AC$19</c:f>
              <c:numCache>
                <c:formatCode>General</c:formatCode>
                <c:ptCount val="15"/>
                <c:pt idx="0">
                  <c:v>1999</c:v>
                </c:pt>
                <c:pt idx="1">
                  <c:v>2002</c:v>
                </c:pt>
                <c:pt idx="2">
                  <c:v>2005</c:v>
                </c:pt>
                <c:pt idx="3">
                  <c:v>2008</c:v>
                </c:pt>
                <c:pt idx="4">
                  <c:v>2011</c:v>
                </c:pt>
                <c:pt idx="5">
                  <c:v>2014</c:v>
                </c:pt>
                <c:pt idx="8">
                  <c:v>2030</c:v>
                </c:pt>
                <c:pt idx="11">
                  <c:v>2045</c:v>
                </c:pt>
                <c:pt idx="14">
                  <c:v>2060</c:v>
                </c:pt>
              </c:numCache>
            </c:numRef>
          </c:cat>
          <c:val>
            <c:numRef>
              <c:f>汇总!$O$22:$AC$22</c:f>
              <c:numCache>
                <c:formatCode>General</c:formatCode>
                <c:ptCount val="15"/>
                <c:pt idx="0">
                  <c:v>1073</c:v>
                </c:pt>
                <c:pt idx="1">
                  <c:v>914</c:v>
                </c:pt>
                <c:pt idx="2">
                  <c:v>866</c:v>
                </c:pt>
                <c:pt idx="3">
                  <c:v>812</c:v>
                </c:pt>
                <c:pt idx="4">
                  <c:v>758</c:v>
                </c:pt>
                <c:pt idx="5">
                  <c:v>781</c:v>
                </c:pt>
                <c:pt idx="8">
                  <c:v>869</c:v>
                </c:pt>
                <c:pt idx="11">
                  <c:v>888</c:v>
                </c:pt>
                <c:pt idx="14">
                  <c:v>856</c:v>
                </c:pt>
              </c:numCache>
            </c:numRef>
          </c:val>
          <c:extLst>
            <c:ext xmlns:c16="http://schemas.microsoft.com/office/drawing/2014/chart" uri="{C3380CC4-5D6E-409C-BE32-E72D297353CC}">
              <c16:uniqueId val="{0000000A-EB4A-47D7-82FC-94CB70FEE7D5}"/>
            </c:ext>
          </c:extLst>
        </c:ser>
        <c:ser>
          <c:idx val="3"/>
          <c:order val="3"/>
          <c:tx>
            <c:strRef>
              <c:f>汇总!$N$23</c:f>
              <c:strCache>
                <c:ptCount val="1"/>
                <c:pt idx="0">
                  <c:v>stroke</c:v>
                </c:pt>
              </c:strCache>
            </c:strRef>
          </c:tx>
          <c:spPr>
            <a:solidFill>
              <a:schemeClr val="accent6">
                <a:lumMod val="20000"/>
                <a:lumOff val="80000"/>
              </a:schemeClr>
            </a:solidFill>
            <a:ln>
              <a:solidFill>
                <a:schemeClr val="accent6">
                  <a:lumMod val="75000"/>
                </a:schemeClr>
              </a:solidFill>
            </a:ln>
            <a:effectLst/>
          </c:spPr>
          <c:invertIfNegative val="0"/>
          <c:dPt>
            <c:idx val="6"/>
            <c:invertIfNegative val="0"/>
            <c:bubble3D val="0"/>
            <c:spPr>
              <a:solidFill>
                <a:schemeClr val="accent6">
                  <a:lumMod val="20000"/>
                  <a:lumOff val="80000"/>
                </a:schemeClr>
              </a:solidFill>
              <a:ln>
                <a:solidFill>
                  <a:schemeClr val="accent6">
                    <a:lumMod val="75000"/>
                  </a:schemeClr>
                </a:solidFill>
                <a:prstDash val="dash"/>
              </a:ln>
              <a:effectLst/>
            </c:spPr>
            <c:extLst>
              <c:ext xmlns:c16="http://schemas.microsoft.com/office/drawing/2014/chart" uri="{C3380CC4-5D6E-409C-BE32-E72D297353CC}">
                <c16:uniqueId val="{0000000C-EB4A-47D7-82FC-94CB70FEE7D5}"/>
              </c:ext>
            </c:extLst>
          </c:dPt>
          <c:dPt>
            <c:idx val="7"/>
            <c:invertIfNegative val="0"/>
            <c:bubble3D val="0"/>
            <c:spPr>
              <a:solidFill>
                <a:schemeClr val="accent6">
                  <a:lumMod val="20000"/>
                  <a:lumOff val="80000"/>
                </a:schemeClr>
              </a:solidFill>
              <a:ln>
                <a:solidFill>
                  <a:schemeClr val="accent6">
                    <a:lumMod val="75000"/>
                  </a:schemeClr>
                </a:solidFill>
                <a:prstDash val="dash"/>
              </a:ln>
              <a:effectLst/>
            </c:spPr>
            <c:extLst>
              <c:ext xmlns:c16="http://schemas.microsoft.com/office/drawing/2014/chart" uri="{C3380CC4-5D6E-409C-BE32-E72D297353CC}">
                <c16:uniqueId val="{0000000E-EB4A-47D7-82FC-94CB70FEE7D5}"/>
              </c:ext>
            </c:extLst>
          </c:dPt>
          <c:dPt>
            <c:idx val="8"/>
            <c:invertIfNegative val="0"/>
            <c:bubble3D val="0"/>
            <c:spPr>
              <a:solidFill>
                <a:schemeClr val="accent6">
                  <a:lumMod val="20000"/>
                  <a:lumOff val="80000"/>
                </a:schemeClr>
              </a:solidFill>
              <a:ln>
                <a:solidFill>
                  <a:schemeClr val="accent6">
                    <a:lumMod val="75000"/>
                  </a:schemeClr>
                </a:solidFill>
                <a:prstDash val="dash"/>
              </a:ln>
              <a:effectLst/>
            </c:spPr>
            <c:extLst>
              <c:ext xmlns:c16="http://schemas.microsoft.com/office/drawing/2014/chart" uri="{C3380CC4-5D6E-409C-BE32-E72D297353CC}">
                <c16:uniqueId val="{00000010-EB4A-47D7-82FC-94CB70FEE7D5}"/>
              </c:ext>
            </c:extLst>
          </c:dPt>
          <c:dPt>
            <c:idx val="11"/>
            <c:invertIfNegative val="0"/>
            <c:bubble3D val="0"/>
            <c:spPr>
              <a:solidFill>
                <a:schemeClr val="accent6">
                  <a:lumMod val="20000"/>
                  <a:lumOff val="80000"/>
                </a:schemeClr>
              </a:solidFill>
              <a:ln>
                <a:solidFill>
                  <a:schemeClr val="accent6">
                    <a:lumMod val="75000"/>
                  </a:schemeClr>
                </a:solidFill>
                <a:prstDash val="dash"/>
              </a:ln>
              <a:effectLst/>
            </c:spPr>
            <c:extLst>
              <c:ext xmlns:c16="http://schemas.microsoft.com/office/drawing/2014/chart" uri="{C3380CC4-5D6E-409C-BE32-E72D297353CC}">
                <c16:uniqueId val="{00000012-EB4A-47D7-82FC-94CB70FEE7D5}"/>
              </c:ext>
            </c:extLst>
          </c:dPt>
          <c:dPt>
            <c:idx val="14"/>
            <c:invertIfNegative val="0"/>
            <c:bubble3D val="0"/>
            <c:spPr>
              <a:solidFill>
                <a:schemeClr val="accent6">
                  <a:lumMod val="20000"/>
                  <a:lumOff val="80000"/>
                </a:schemeClr>
              </a:solidFill>
              <a:ln>
                <a:solidFill>
                  <a:schemeClr val="accent6">
                    <a:lumMod val="75000"/>
                  </a:schemeClr>
                </a:solidFill>
                <a:prstDash val="dash"/>
              </a:ln>
              <a:effectLst/>
            </c:spPr>
            <c:extLst>
              <c:ext xmlns:c16="http://schemas.microsoft.com/office/drawing/2014/chart" uri="{C3380CC4-5D6E-409C-BE32-E72D297353CC}">
                <c16:uniqueId val="{00000014-EB4A-47D7-82FC-94CB70FEE7D5}"/>
              </c:ext>
            </c:extLst>
          </c:dPt>
          <c:cat>
            <c:numRef>
              <c:f>汇总!$O$19:$AC$19</c:f>
              <c:numCache>
                <c:formatCode>General</c:formatCode>
                <c:ptCount val="15"/>
                <c:pt idx="0">
                  <c:v>1999</c:v>
                </c:pt>
                <c:pt idx="1">
                  <c:v>2002</c:v>
                </c:pt>
                <c:pt idx="2">
                  <c:v>2005</c:v>
                </c:pt>
                <c:pt idx="3">
                  <c:v>2008</c:v>
                </c:pt>
                <c:pt idx="4">
                  <c:v>2011</c:v>
                </c:pt>
                <c:pt idx="5">
                  <c:v>2014</c:v>
                </c:pt>
                <c:pt idx="8">
                  <c:v>2030</c:v>
                </c:pt>
                <c:pt idx="11">
                  <c:v>2045</c:v>
                </c:pt>
                <c:pt idx="14">
                  <c:v>2060</c:v>
                </c:pt>
              </c:numCache>
            </c:numRef>
          </c:cat>
          <c:val>
            <c:numRef>
              <c:f>汇总!$O$23:$AC$23</c:f>
              <c:numCache>
                <c:formatCode>General</c:formatCode>
                <c:ptCount val="15"/>
                <c:pt idx="0">
                  <c:v>1478</c:v>
                </c:pt>
                <c:pt idx="1">
                  <c:v>1373</c:v>
                </c:pt>
                <c:pt idx="2">
                  <c:v>1364</c:v>
                </c:pt>
                <c:pt idx="3">
                  <c:v>1341</c:v>
                </c:pt>
                <c:pt idx="4">
                  <c:v>1228</c:v>
                </c:pt>
                <c:pt idx="5">
                  <c:v>1043</c:v>
                </c:pt>
                <c:pt idx="8">
                  <c:v>1266</c:v>
                </c:pt>
                <c:pt idx="11">
                  <c:v>1459</c:v>
                </c:pt>
                <c:pt idx="14">
                  <c:v>1515</c:v>
                </c:pt>
              </c:numCache>
            </c:numRef>
          </c:val>
          <c:extLst>
            <c:ext xmlns:c16="http://schemas.microsoft.com/office/drawing/2014/chart" uri="{C3380CC4-5D6E-409C-BE32-E72D297353CC}">
              <c16:uniqueId val="{00000015-EB4A-47D7-82FC-94CB70FEE7D5}"/>
            </c:ext>
          </c:extLst>
        </c:ser>
        <c:dLbls>
          <c:showLegendKey val="0"/>
          <c:showVal val="0"/>
          <c:showCatName val="0"/>
          <c:showSerName val="0"/>
          <c:showPercent val="0"/>
          <c:showBubbleSize val="0"/>
        </c:dLbls>
        <c:gapWidth val="150"/>
        <c:axId val="116030368"/>
        <c:axId val="866703600"/>
      </c:barChart>
      <c:lineChart>
        <c:grouping val="standard"/>
        <c:varyColors val="0"/>
        <c:ser>
          <c:idx val="0"/>
          <c:order val="0"/>
          <c:tx>
            <c:strRef>
              <c:f>汇总!$N$20</c:f>
              <c:strCache>
                <c:ptCount val="1"/>
                <c:pt idx="0">
                  <c:v>coronary heart disease(&gt;60y%)</c:v>
                </c:pt>
              </c:strCache>
            </c:strRef>
          </c:tx>
          <c:spPr>
            <a:ln w="28575" cap="rnd">
              <a:solidFill>
                <a:schemeClr val="accent3">
                  <a:lumMod val="75000"/>
                </a:schemeClr>
              </a:solidFill>
              <a:round/>
            </a:ln>
            <a:effectLst/>
          </c:spPr>
          <c:marker>
            <c:symbol val="none"/>
          </c:marker>
          <c:dPt>
            <c:idx val="6"/>
            <c:marker>
              <c:symbol val="none"/>
            </c:marker>
            <c:bubble3D val="0"/>
            <c:spPr>
              <a:ln w="28575" cap="rnd">
                <a:solidFill>
                  <a:schemeClr val="accent3">
                    <a:lumMod val="75000"/>
                  </a:schemeClr>
                </a:solidFill>
                <a:prstDash val="sysDash"/>
                <a:round/>
              </a:ln>
              <a:effectLst/>
            </c:spPr>
            <c:extLst>
              <c:ext xmlns:c16="http://schemas.microsoft.com/office/drawing/2014/chart" uri="{C3380CC4-5D6E-409C-BE32-E72D297353CC}">
                <c16:uniqueId val="{00000017-EB4A-47D7-82FC-94CB70FEE7D5}"/>
              </c:ext>
            </c:extLst>
          </c:dPt>
          <c:dPt>
            <c:idx val="7"/>
            <c:marker>
              <c:symbol val="none"/>
            </c:marker>
            <c:bubble3D val="0"/>
            <c:spPr>
              <a:ln w="28575" cap="rnd">
                <a:solidFill>
                  <a:schemeClr val="accent3">
                    <a:lumMod val="75000"/>
                  </a:schemeClr>
                </a:solidFill>
                <a:prstDash val="sysDash"/>
                <a:round/>
              </a:ln>
              <a:effectLst/>
            </c:spPr>
            <c:extLst>
              <c:ext xmlns:c16="http://schemas.microsoft.com/office/drawing/2014/chart" uri="{C3380CC4-5D6E-409C-BE32-E72D297353CC}">
                <c16:uniqueId val="{00000019-EB4A-47D7-82FC-94CB70FEE7D5}"/>
              </c:ext>
            </c:extLst>
          </c:dPt>
          <c:dPt>
            <c:idx val="8"/>
            <c:marker>
              <c:symbol val="none"/>
            </c:marker>
            <c:bubble3D val="0"/>
            <c:spPr>
              <a:ln w="28575" cap="rnd">
                <a:solidFill>
                  <a:schemeClr val="accent3">
                    <a:lumMod val="75000"/>
                  </a:schemeClr>
                </a:solidFill>
                <a:prstDash val="sysDash"/>
                <a:round/>
              </a:ln>
              <a:effectLst/>
            </c:spPr>
            <c:extLst>
              <c:ext xmlns:c16="http://schemas.microsoft.com/office/drawing/2014/chart" uri="{C3380CC4-5D6E-409C-BE32-E72D297353CC}">
                <c16:uniqueId val="{0000001B-EB4A-47D7-82FC-94CB70FEE7D5}"/>
              </c:ext>
            </c:extLst>
          </c:dPt>
          <c:dPt>
            <c:idx val="11"/>
            <c:marker>
              <c:symbol val="none"/>
            </c:marker>
            <c:bubble3D val="0"/>
            <c:spPr>
              <a:ln w="28575" cap="rnd">
                <a:solidFill>
                  <a:schemeClr val="accent3">
                    <a:lumMod val="75000"/>
                  </a:schemeClr>
                </a:solidFill>
                <a:prstDash val="sysDash"/>
                <a:round/>
              </a:ln>
              <a:effectLst/>
            </c:spPr>
            <c:extLst>
              <c:ext xmlns:c16="http://schemas.microsoft.com/office/drawing/2014/chart" uri="{C3380CC4-5D6E-409C-BE32-E72D297353CC}">
                <c16:uniqueId val="{0000001D-EB4A-47D7-82FC-94CB70FEE7D5}"/>
              </c:ext>
            </c:extLst>
          </c:dPt>
          <c:dPt>
            <c:idx val="14"/>
            <c:marker>
              <c:symbol val="none"/>
            </c:marker>
            <c:bubble3D val="0"/>
            <c:spPr>
              <a:ln w="28575" cap="rnd">
                <a:solidFill>
                  <a:schemeClr val="accent3">
                    <a:lumMod val="75000"/>
                  </a:schemeClr>
                </a:solidFill>
                <a:prstDash val="sysDash"/>
                <a:round/>
              </a:ln>
              <a:effectLst/>
            </c:spPr>
            <c:extLst>
              <c:ext xmlns:c16="http://schemas.microsoft.com/office/drawing/2014/chart" uri="{C3380CC4-5D6E-409C-BE32-E72D297353CC}">
                <c16:uniqueId val="{0000001F-EB4A-47D7-82FC-94CB70FEE7D5}"/>
              </c:ext>
            </c:extLst>
          </c:dPt>
          <c:cat>
            <c:numRef>
              <c:f>汇总!$O$19:$AC$19</c:f>
              <c:numCache>
                <c:formatCode>General</c:formatCode>
                <c:ptCount val="15"/>
                <c:pt idx="0">
                  <c:v>1999</c:v>
                </c:pt>
                <c:pt idx="1">
                  <c:v>2002</c:v>
                </c:pt>
                <c:pt idx="2">
                  <c:v>2005</c:v>
                </c:pt>
                <c:pt idx="3">
                  <c:v>2008</c:v>
                </c:pt>
                <c:pt idx="4">
                  <c:v>2011</c:v>
                </c:pt>
                <c:pt idx="5">
                  <c:v>2014</c:v>
                </c:pt>
                <c:pt idx="8">
                  <c:v>2030</c:v>
                </c:pt>
                <c:pt idx="11">
                  <c:v>2045</c:v>
                </c:pt>
                <c:pt idx="14">
                  <c:v>2060</c:v>
                </c:pt>
              </c:numCache>
            </c:numRef>
          </c:cat>
          <c:val>
            <c:numRef>
              <c:f>汇总!$O$20:$AC$20</c:f>
              <c:numCache>
                <c:formatCode>General</c:formatCode>
                <c:ptCount val="15"/>
                <c:pt idx="0">
                  <c:v>0.82013047530288907</c:v>
                </c:pt>
                <c:pt idx="1">
                  <c:v>0.84792122538293213</c:v>
                </c:pt>
                <c:pt idx="2">
                  <c:v>0.86836027713625863</c:v>
                </c:pt>
                <c:pt idx="3">
                  <c:v>0.88423645320197042</c:v>
                </c:pt>
                <c:pt idx="4">
                  <c:v>0.89182058047493407</c:v>
                </c:pt>
                <c:pt idx="5">
                  <c:v>0.90140845070422537</c:v>
                </c:pt>
                <c:pt idx="8">
                  <c:v>0.90544794933692252</c:v>
                </c:pt>
                <c:pt idx="11">
                  <c:v>0.93319504957514054</c:v>
                </c:pt>
                <c:pt idx="14">
                  <c:v>0.93980872984014119</c:v>
                </c:pt>
              </c:numCache>
            </c:numRef>
          </c:val>
          <c:smooth val="0"/>
          <c:extLst>
            <c:ext xmlns:c16="http://schemas.microsoft.com/office/drawing/2014/chart" uri="{C3380CC4-5D6E-409C-BE32-E72D297353CC}">
              <c16:uniqueId val="{00000020-EB4A-47D7-82FC-94CB70FEE7D5}"/>
            </c:ext>
          </c:extLst>
        </c:ser>
        <c:ser>
          <c:idx val="1"/>
          <c:order val="1"/>
          <c:tx>
            <c:strRef>
              <c:f>汇总!$N$21</c:f>
              <c:strCache>
                <c:ptCount val="1"/>
                <c:pt idx="0">
                  <c:v>stroke(&gt;60y%)</c:v>
                </c:pt>
              </c:strCache>
            </c:strRef>
          </c:tx>
          <c:spPr>
            <a:ln w="28575" cap="rnd">
              <a:solidFill>
                <a:schemeClr val="accent2"/>
              </a:solidFill>
              <a:round/>
            </a:ln>
            <a:effectLst/>
          </c:spPr>
          <c:marker>
            <c:symbol val="none"/>
          </c:marker>
          <c:dPt>
            <c:idx val="6"/>
            <c:marker>
              <c:symbol val="none"/>
            </c:marker>
            <c:bubble3D val="0"/>
            <c:spPr>
              <a:ln w="28575" cap="rnd">
                <a:solidFill>
                  <a:schemeClr val="accent2"/>
                </a:solidFill>
                <a:prstDash val="sysDash"/>
                <a:round/>
              </a:ln>
              <a:effectLst/>
            </c:spPr>
            <c:extLst>
              <c:ext xmlns:c16="http://schemas.microsoft.com/office/drawing/2014/chart" uri="{C3380CC4-5D6E-409C-BE32-E72D297353CC}">
                <c16:uniqueId val="{00000022-EB4A-47D7-82FC-94CB70FEE7D5}"/>
              </c:ext>
            </c:extLst>
          </c:dPt>
          <c:dPt>
            <c:idx val="7"/>
            <c:marker>
              <c:symbol val="none"/>
            </c:marker>
            <c:bubble3D val="0"/>
            <c:spPr>
              <a:ln w="28575" cap="rnd">
                <a:solidFill>
                  <a:schemeClr val="accent2"/>
                </a:solidFill>
                <a:prstDash val="sysDash"/>
                <a:round/>
              </a:ln>
              <a:effectLst/>
            </c:spPr>
            <c:extLst>
              <c:ext xmlns:c16="http://schemas.microsoft.com/office/drawing/2014/chart" uri="{C3380CC4-5D6E-409C-BE32-E72D297353CC}">
                <c16:uniqueId val="{00000024-EB4A-47D7-82FC-94CB70FEE7D5}"/>
              </c:ext>
            </c:extLst>
          </c:dPt>
          <c:dPt>
            <c:idx val="8"/>
            <c:marker>
              <c:symbol val="none"/>
            </c:marker>
            <c:bubble3D val="0"/>
            <c:spPr>
              <a:ln w="28575" cap="rnd">
                <a:solidFill>
                  <a:schemeClr val="accent2"/>
                </a:solidFill>
                <a:prstDash val="sysDash"/>
                <a:round/>
              </a:ln>
              <a:effectLst/>
            </c:spPr>
            <c:extLst>
              <c:ext xmlns:c16="http://schemas.microsoft.com/office/drawing/2014/chart" uri="{C3380CC4-5D6E-409C-BE32-E72D297353CC}">
                <c16:uniqueId val="{00000026-EB4A-47D7-82FC-94CB70FEE7D5}"/>
              </c:ext>
            </c:extLst>
          </c:dPt>
          <c:dPt>
            <c:idx val="11"/>
            <c:marker>
              <c:symbol val="none"/>
            </c:marker>
            <c:bubble3D val="0"/>
            <c:spPr>
              <a:ln w="28575" cap="rnd">
                <a:solidFill>
                  <a:schemeClr val="accent2"/>
                </a:solidFill>
                <a:prstDash val="sysDash"/>
                <a:round/>
              </a:ln>
              <a:effectLst/>
            </c:spPr>
            <c:extLst>
              <c:ext xmlns:c16="http://schemas.microsoft.com/office/drawing/2014/chart" uri="{C3380CC4-5D6E-409C-BE32-E72D297353CC}">
                <c16:uniqueId val="{00000028-EB4A-47D7-82FC-94CB70FEE7D5}"/>
              </c:ext>
            </c:extLst>
          </c:dPt>
          <c:dPt>
            <c:idx val="14"/>
            <c:marker>
              <c:symbol val="none"/>
            </c:marker>
            <c:bubble3D val="0"/>
            <c:spPr>
              <a:ln w="28575" cap="rnd">
                <a:solidFill>
                  <a:schemeClr val="accent2"/>
                </a:solidFill>
                <a:prstDash val="sysDash"/>
                <a:round/>
              </a:ln>
              <a:effectLst/>
            </c:spPr>
            <c:extLst>
              <c:ext xmlns:c16="http://schemas.microsoft.com/office/drawing/2014/chart" uri="{C3380CC4-5D6E-409C-BE32-E72D297353CC}">
                <c16:uniqueId val="{0000002A-EB4A-47D7-82FC-94CB70FEE7D5}"/>
              </c:ext>
            </c:extLst>
          </c:dPt>
          <c:cat>
            <c:numRef>
              <c:f>汇总!$O$19:$AC$19</c:f>
              <c:numCache>
                <c:formatCode>General</c:formatCode>
                <c:ptCount val="15"/>
                <c:pt idx="0">
                  <c:v>1999</c:v>
                </c:pt>
                <c:pt idx="1">
                  <c:v>2002</c:v>
                </c:pt>
                <c:pt idx="2">
                  <c:v>2005</c:v>
                </c:pt>
                <c:pt idx="3">
                  <c:v>2008</c:v>
                </c:pt>
                <c:pt idx="4">
                  <c:v>2011</c:v>
                </c:pt>
                <c:pt idx="5">
                  <c:v>2014</c:v>
                </c:pt>
                <c:pt idx="8">
                  <c:v>2030</c:v>
                </c:pt>
                <c:pt idx="11">
                  <c:v>2045</c:v>
                </c:pt>
                <c:pt idx="14">
                  <c:v>2060</c:v>
                </c:pt>
              </c:numCache>
            </c:numRef>
          </c:cat>
          <c:val>
            <c:numRef>
              <c:f>汇总!$O$21:$AC$21</c:f>
              <c:numCache>
                <c:formatCode>General</c:formatCode>
                <c:ptCount val="15"/>
                <c:pt idx="0">
                  <c:v>0.86806495263870098</c:v>
                </c:pt>
                <c:pt idx="1">
                  <c:v>0.87982520029133282</c:v>
                </c:pt>
                <c:pt idx="2">
                  <c:v>0.88489736070381231</c:v>
                </c:pt>
                <c:pt idx="3">
                  <c:v>0.90156599552572703</c:v>
                </c:pt>
                <c:pt idx="4">
                  <c:v>0.91205211726384361</c:v>
                </c:pt>
                <c:pt idx="5">
                  <c:v>0.9261744966442953</c:v>
                </c:pt>
                <c:pt idx="8">
                  <c:v>0.93963419401723536</c:v>
                </c:pt>
                <c:pt idx="11">
                  <c:v>0.96136096568029861</c:v>
                </c:pt>
                <c:pt idx="14">
                  <c:v>0.96753230680265045</c:v>
                </c:pt>
              </c:numCache>
            </c:numRef>
          </c:val>
          <c:smooth val="0"/>
          <c:extLst>
            <c:ext xmlns:c16="http://schemas.microsoft.com/office/drawing/2014/chart" uri="{C3380CC4-5D6E-409C-BE32-E72D297353CC}">
              <c16:uniqueId val="{0000002B-EB4A-47D7-82FC-94CB70FEE7D5}"/>
            </c:ext>
          </c:extLst>
        </c:ser>
        <c:dLbls>
          <c:showLegendKey val="0"/>
          <c:showVal val="0"/>
          <c:showCatName val="0"/>
          <c:showSerName val="0"/>
          <c:showPercent val="0"/>
          <c:showBubbleSize val="0"/>
        </c:dLbls>
        <c:marker val="1"/>
        <c:smooth val="0"/>
        <c:axId val="723920800"/>
        <c:axId val="1063727808"/>
      </c:lineChart>
      <c:catAx>
        <c:axId val="11603036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Figure 2. CVD disease burden and predictions by years</a:t>
                </a:r>
                <a:endParaRPr lang="zh-CN"/>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866703600"/>
        <c:crosses val="autoZero"/>
        <c:auto val="1"/>
        <c:lblAlgn val="ctr"/>
        <c:lblOffset val="100"/>
        <c:noMultiLvlLbl val="0"/>
      </c:catAx>
      <c:valAx>
        <c:axId val="866703600"/>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patient numbers (1000)</a:t>
                </a:r>
                <a:endParaRPr lang="zh-CN"/>
              </a:p>
            </c:rich>
          </c:tx>
          <c:layout>
            <c:manualLayout>
              <c:xMode val="edge"/>
              <c:yMode val="edge"/>
              <c:x val="1.4758518175837218E-2"/>
              <c:y val="0.2626526900392203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116030368"/>
        <c:crosses val="autoZero"/>
        <c:crossBetween val="between"/>
      </c:valAx>
      <c:valAx>
        <c:axId val="1063727808"/>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percentage of DB elderly people &gt; 60 age</a:t>
                </a:r>
                <a:endParaRPr lang="zh-CN"/>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723920800"/>
        <c:crosses val="max"/>
        <c:crossBetween val="between"/>
      </c:valAx>
      <c:catAx>
        <c:axId val="723920800"/>
        <c:scaling>
          <c:orientation val="minMax"/>
        </c:scaling>
        <c:delete val="1"/>
        <c:axPos val="b"/>
        <c:numFmt formatCode="General" sourceLinked="1"/>
        <c:majorTickMark val="out"/>
        <c:minorTickMark val="none"/>
        <c:tickLblPos val="nextTo"/>
        <c:crossAx val="1063727808"/>
        <c:crosses val="autoZero"/>
        <c:auto val="1"/>
        <c:lblAlgn val="ctr"/>
        <c:lblOffset val="100"/>
        <c:noMultiLvlLbl val="0"/>
      </c:catAx>
      <c:spPr>
        <a:noFill/>
        <a:ln>
          <a:noFill/>
        </a:ln>
        <a:effectLst/>
      </c:spPr>
    </c:plotArea>
    <c:legend>
      <c:legendPos val="b"/>
      <c:layout>
        <c:manualLayout>
          <c:xMode val="edge"/>
          <c:yMode val="edge"/>
          <c:x val="0.21111111111111111"/>
          <c:y val="4.6919655876348783E-2"/>
          <c:w val="0.66666666666666663"/>
          <c:h val="0.1151173811606882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legend>
    <c:plotVisOnly val="1"/>
    <c:dispBlanksAs val="span"/>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E4474-B41C-42EC-A62F-3F94AF60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12</Pages>
  <Words>2603</Words>
  <Characters>14841</Characters>
  <Application>Microsoft Office Word</Application>
  <DocSecurity>0</DocSecurity>
  <Lines>123</Lines>
  <Paragraphs>34</Paragraphs>
  <ScaleCrop>false</ScaleCrop>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Xiuting Mo</dc:creator>
  <cp:keywords/>
  <dc:description/>
  <cp:lastModifiedBy>Xiuting Mo</cp:lastModifiedBy>
  <cp:revision>23</cp:revision>
  <dcterms:created xsi:type="dcterms:W3CDTF">2017-07-20T16:17:00Z</dcterms:created>
  <dcterms:modified xsi:type="dcterms:W3CDTF">2018-03-07T11:32:00Z</dcterms:modified>
</cp:coreProperties>
</file>