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1DEE" w:rsidRDefault="00C21DEE" w:rsidP="00C21DEE">
      <w:pPr>
        <w:spacing w:line="360" w:lineRule="auto"/>
        <w:jc w:val="both"/>
        <w:rPr>
          <w:rFonts w:ascii="Times New Roman" w:hAnsi="Times New Roman"/>
          <w:lang w:val="en-US"/>
        </w:rPr>
      </w:pPr>
      <w:r>
        <w:rPr>
          <w:rFonts w:ascii="Times New Roman" w:hAnsi="Times New Roman"/>
          <w:lang w:val="en-US"/>
        </w:rPr>
        <w:t>Supplementary material</w:t>
      </w:r>
    </w:p>
    <w:p w:rsidR="00C21DEE" w:rsidRDefault="00C21DEE" w:rsidP="00C21DEE">
      <w:pPr>
        <w:spacing w:line="360" w:lineRule="auto"/>
        <w:jc w:val="both"/>
        <w:rPr>
          <w:rFonts w:ascii="Times New Roman" w:hAnsi="Times New Roman"/>
          <w:lang w:val="en-US"/>
        </w:rPr>
      </w:pPr>
    </w:p>
    <w:p w:rsidR="00C21DEE" w:rsidRDefault="00C21DEE" w:rsidP="00C21DEE">
      <w:pPr>
        <w:spacing w:line="360" w:lineRule="auto"/>
        <w:jc w:val="both"/>
        <w:rPr>
          <w:rFonts w:ascii="Times New Roman" w:hAnsi="Times New Roman"/>
          <w:lang w:val="en-US"/>
        </w:rPr>
      </w:pPr>
      <w:r>
        <w:rPr>
          <w:rFonts w:ascii="Times New Roman" w:hAnsi="Times New Roman"/>
          <w:lang w:val="en-US"/>
        </w:rPr>
        <w:t>Mediation analysis</w:t>
      </w:r>
    </w:p>
    <w:p w:rsidR="00C21DEE" w:rsidRDefault="00C21DEE" w:rsidP="00C21DEE">
      <w:pPr>
        <w:spacing w:line="360" w:lineRule="auto"/>
        <w:jc w:val="both"/>
        <w:rPr>
          <w:rFonts w:ascii="Times New Roman" w:hAnsi="Times New Roman"/>
          <w:lang w:val="en-US"/>
        </w:rPr>
      </w:pPr>
    </w:p>
    <w:p w:rsidR="00C21DEE" w:rsidRPr="00886150" w:rsidRDefault="00C21DEE" w:rsidP="00C21DEE">
      <w:pPr>
        <w:spacing w:line="360" w:lineRule="auto"/>
        <w:jc w:val="both"/>
        <w:rPr>
          <w:rFonts w:ascii="Times New Roman" w:eastAsia="Calibri" w:hAnsi="Times New Roman"/>
          <w:highlight w:val="yellow"/>
          <w:lang w:val="en-US" w:eastAsia="it-IT"/>
        </w:rPr>
      </w:pPr>
      <w:r>
        <w:rPr>
          <w:rFonts w:ascii="Times New Roman" w:hAnsi="Times New Roman"/>
          <w:lang w:val="en-US"/>
        </w:rPr>
        <w:t>L</w:t>
      </w:r>
      <w:bookmarkStart w:id="0" w:name="_GoBack"/>
      <w:bookmarkEnd w:id="0"/>
      <w:r>
        <w:rPr>
          <w:rFonts w:ascii="Times New Roman" w:hAnsi="Times New Roman"/>
          <w:lang w:val="en-US"/>
        </w:rPr>
        <w:t xml:space="preserve">et’s suppose to have an exposure X that acts on an outcome Y, possibly through a </w:t>
      </w:r>
      <w:r w:rsidRPr="00667DCF">
        <w:rPr>
          <w:rFonts w:ascii="Times New Roman" w:hAnsi="Times New Roman"/>
          <w:lang w:val="en-US"/>
        </w:rPr>
        <w:t>mediator M</w:t>
      </w:r>
      <w:r>
        <w:rPr>
          <w:rFonts w:ascii="Times New Roman" w:hAnsi="Times New Roman"/>
          <w:lang w:val="en-US"/>
        </w:rPr>
        <w:t xml:space="preserve"> and let’s suppose for simplicity that X, M, and Y are binary variables. E</w:t>
      </w:r>
      <w:r w:rsidRPr="00667DCF">
        <w:rPr>
          <w:rFonts w:ascii="Times New Roman" w:hAnsi="Times New Roman"/>
          <w:lang w:val="en-US"/>
        </w:rPr>
        <w:t>ach subject has t</w:t>
      </w:r>
      <w:r>
        <w:rPr>
          <w:rFonts w:ascii="Times New Roman" w:hAnsi="Times New Roman"/>
          <w:lang w:val="en-US"/>
        </w:rPr>
        <w:t>wo counterfactual events: Y1, when</w:t>
      </w:r>
      <w:r w:rsidRPr="00667DCF">
        <w:rPr>
          <w:rFonts w:ascii="Times New Roman" w:hAnsi="Times New Roman"/>
          <w:lang w:val="en-US"/>
        </w:rPr>
        <w:t xml:space="preserve"> the subject has</w:t>
      </w:r>
      <w:r>
        <w:rPr>
          <w:rFonts w:ascii="Times New Roman" w:hAnsi="Times New Roman"/>
          <w:lang w:val="en-US"/>
        </w:rPr>
        <w:t xml:space="preserve"> been exposed to X and </w:t>
      </w:r>
      <w:r w:rsidRPr="00667DCF">
        <w:rPr>
          <w:rFonts w:ascii="Times New Roman" w:hAnsi="Times New Roman"/>
          <w:lang w:val="en-US"/>
        </w:rPr>
        <w:t>Y0</w:t>
      </w:r>
      <w:r>
        <w:rPr>
          <w:rFonts w:ascii="Times New Roman" w:hAnsi="Times New Roman"/>
          <w:lang w:val="en-US"/>
        </w:rPr>
        <w:t xml:space="preserve">, when the subject has not been exposed to X and likewise two counterfactual mediators: </w:t>
      </w:r>
      <w:r w:rsidRPr="00667DCF">
        <w:rPr>
          <w:rFonts w:ascii="Times New Roman" w:hAnsi="Times New Roman"/>
          <w:lang w:val="en-US"/>
        </w:rPr>
        <w:t>M1 and M0</w:t>
      </w:r>
      <w:r>
        <w:rPr>
          <w:rFonts w:ascii="Times New Roman" w:hAnsi="Times New Roman"/>
          <w:lang w:val="en-US"/>
        </w:rPr>
        <w:t xml:space="preserve">. Then, </w:t>
      </w:r>
      <w:proofErr w:type="spellStart"/>
      <w:r w:rsidRPr="00667DCF">
        <w:rPr>
          <w:rFonts w:ascii="Times New Roman" w:hAnsi="Times New Roman"/>
          <w:lang w:val="en-US"/>
        </w:rPr>
        <w:t>Y</w:t>
      </w:r>
      <w:r>
        <w:rPr>
          <w:rFonts w:ascii="Times New Roman" w:hAnsi="Times New Roman"/>
          <w:lang w:val="en-US"/>
        </w:rPr>
        <w:t>x</w:t>
      </w:r>
      <w:r w:rsidRPr="00667DCF">
        <w:rPr>
          <w:rFonts w:ascii="Times New Roman" w:hAnsi="Times New Roman"/>
          <w:lang w:val="en-US"/>
        </w:rPr>
        <w:t>m</w:t>
      </w:r>
      <w:proofErr w:type="spellEnd"/>
      <w:r w:rsidRPr="00667DCF">
        <w:rPr>
          <w:rFonts w:ascii="Times New Roman" w:hAnsi="Times New Roman"/>
          <w:lang w:val="en-US"/>
        </w:rPr>
        <w:t xml:space="preserve"> is the counter</w:t>
      </w:r>
      <w:r>
        <w:rPr>
          <w:rFonts w:ascii="Times New Roman" w:hAnsi="Times New Roman"/>
          <w:lang w:val="en-US"/>
        </w:rPr>
        <w:t>factual event for the scenario X=x</w:t>
      </w:r>
      <w:r w:rsidRPr="00667DCF">
        <w:rPr>
          <w:rFonts w:ascii="Times New Roman" w:hAnsi="Times New Roman"/>
          <w:lang w:val="en-US"/>
        </w:rPr>
        <w:t xml:space="preserve"> and M=m. The </w:t>
      </w:r>
      <w:r>
        <w:rPr>
          <w:rFonts w:ascii="Times New Roman" w:hAnsi="Times New Roman"/>
          <w:lang w:val="en-US"/>
        </w:rPr>
        <w:t>T</w:t>
      </w:r>
      <w:r w:rsidRPr="00667DCF">
        <w:rPr>
          <w:rFonts w:ascii="Times New Roman" w:hAnsi="Times New Roman"/>
          <w:lang w:val="en-US"/>
        </w:rPr>
        <w:t xml:space="preserve">otal </w:t>
      </w:r>
      <w:r>
        <w:rPr>
          <w:rFonts w:ascii="Times New Roman" w:hAnsi="Times New Roman"/>
          <w:lang w:val="en-US"/>
        </w:rPr>
        <w:t>C</w:t>
      </w:r>
      <w:r w:rsidRPr="00667DCF">
        <w:rPr>
          <w:rFonts w:ascii="Times New Roman" w:hAnsi="Times New Roman"/>
          <w:lang w:val="en-US"/>
        </w:rPr>
        <w:t xml:space="preserve">ausal </w:t>
      </w:r>
      <w:r>
        <w:rPr>
          <w:rFonts w:ascii="Times New Roman" w:hAnsi="Times New Roman"/>
          <w:lang w:val="en-US"/>
        </w:rPr>
        <w:t>E</w:t>
      </w:r>
      <w:r w:rsidRPr="00667DCF">
        <w:rPr>
          <w:rFonts w:ascii="Times New Roman" w:hAnsi="Times New Roman"/>
          <w:lang w:val="en-US"/>
        </w:rPr>
        <w:t>ffect (TCE) is the difference E(Y1M1-Y0M0)</w:t>
      </w:r>
      <w:r>
        <w:rPr>
          <w:rFonts w:ascii="Times New Roman" w:hAnsi="Times New Roman"/>
          <w:lang w:val="en-US"/>
        </w:rPr>
        <w:t xml:space="preserve"> and expresses how much the outcome would change in mean if the exposure were changed from level 0 to level 1 uniformly in the population</w:t>
      </w:r>
      <w:r w:rsidRPr="00667DCF">
        <w:rPr>
          <w:rFonts w:ascii="Times New Roman" w:hAnsi="Times New Roman"/>
          <w:lang w:val="en-US"/>
        </w:rPr>
        <w:t xml:space="preserve">.  The </w:t>
      </w:r>
      <w:r>
        <w:rPr>
          <w:rFonts w:ascii="Times New Roman" w:hAnsi="Times New Roman"/>
          <w:lang w:val="en-US"/>
        </w:rPr>
        <w:t>Pure Direct Effect (P</w:t>
      </w:r>
      <w:r w:rsidRPr="00667DCF">
        <w:rPr>
          <w:rFonts w:ascii="Times New Roman" w:hAnsi="Times New Roman"/>
          <w:lang w:val="en-US"/>
        </w:rPr>
        <w:t>DE) is the contrast between the counterfactual outcome if the individual were</w:t>
      </w:r>
      <w:r>
        <w:rPr>
          <w:rFonts w:ascii="Times New Roman" w:hAnsi="Times New Roman"/>
          <w:lang w:val="en-US"/>
        </w:rPr>
        <w:t xml:space="preserve"> exposed at X</w:t>
      </w:r>
      <w:r w:rsidRPr="00667DCF">
        <w:rPr>
          <w:rFonts w:ascii="Times New Roman" w:hAnsi="Times New Roman"/>
          <w:lang w:val="en-US"/>
        </w:rPr>
        <w:t xml:space="preserve"> and the counterfactual outcome if the same </w:t>
      </w:r>
      <w:r>
        <w:rPr>
          <w:rFonts w:ascii="Times New Roman" w:hAnsi="Times New Roman"/>
          <w:lang w:val="en-US"/>
        </w:rPr>
        <w:t>individual were not exposed at X</w:t>
      </w:r>
      <w:r w:rsidRPr="00667DCF">
        <w:rPr>
          <w:rFonts w:ascii="Times New Roman" w:hAnsi="Times New Roman"/>
          <w:lang w:val="en-US"/>
        </w:rPr>
        <w:t xml:space="preserve">, with the mediator assuming whatever value it would have taken at the reference value of the not exposure. The </w:t>
      </w:r>
      <w:r>
        <w:rPr>
          <w:rFonts w:ascii="Times New Roman" w:hAnsi="Times New Roman"/>
          <w:lang w:val="en-US"/>
        </w:rPr>
        <w:t>Total I</w:t>
      </w:r>
      <w:r w:rsidRPr="00667DCF">
        <w:rPr>
          <w:rFonts w:ascii="Times New Roman" w:hAnsi="Times New Roman"/>
          <w:lang w:val="en-US"/>
        </w:rPr>
        <w:t xml:space="preserve">ndirect </w:t>
      </w:r>
      <w:r>
        <w:rPr>
          <w:rFonts w:ascii="Times New Roman" w:hAnsi="Times New Roman"/>
          <w:lang w:val="en-US"/>
        </w:rPr>
        <w:t>E</w:t>
      </w:r>
      <w:r w:rsidRPr="00667DCF">
        <w:rPr>
          <w:rFonts w:ascii="Times New Roman" w:hAnsi="Times New Roman"/>
          <w:lang w:val="en-US"/>
        </w:rPr>
        <w:t>ffect (</w:t>
      </w:r>
      <w:r>
        <w:rPr>
          <w:rFonts w:ascii="Times New Roman" w:hAnsi="Times New Roman"/>
          <w:lang w:val="en-US"/>
        </w:rPr>
        <w:t>T</w:t>
      </w:r>
      <w:r w:rsidRPr="00667DCF">
        <w:rPr>
          <w:rFonts w:ascii="Times New Roman" w:hAnsi="Times New Roman"/>
          <w:lang w:val="en-US"/>
        </w:rPr>
        <w:t xml:space="preserve">IE) is the contrast, having set the exposure as present, between the counterfactual outcome if the mediator assumed whatever value it would have taken at a value in the presence of exposure and the counterfactual outcome if the mediator assumed whatever value it would have taken in the absence of exposure. </w:t>
      </w:r>
      <w:r>
        <w:rPr>
          <w:rFonts w:ascii="Times New Roman" w:hAnsi="Times New Roman"/>
          <w:lang w:val="en-US"/>
        </w:rPr>
        <w:t xml:space="preserve">TCE, PDE and TIE were estimated using the weighting approach </w:t>
      </w:r>
      <w:r>
        <w:rPr>
          <w:rFonts w:ascii="Times New Roman" w:hAnsi="Times New Roman"/>
          <w:lang w:val="en-US"/>
        </w:rPr>
        <w:fldChar w:fldCharType="begin" w:fldLock="1"/>
      </w:r>
      <w:r>
        <w:rPr>
          <w:rFonts w:ascii="Times New Roman" w:hAnsi="Times New Roman"/>
          <w:lang w:val="en-US"/>
        </w:rPr>
        <w:instrText>ADDIN CSL_CITATION {"citationItems":[{"id":"ITEM-1","itemData":{"DOI":"10.1515/em-2012-0010","ISBN":"1541-0420 (Electronic)\\r0006-341X (Linking)","ISSN":"2161962X","PMID":"25351114","abstract":"In diverse fields of empirical research—including many in the biological sciences—attempts are made to decom-pose the effect of an exposure on an outcome into its effects via a number of different pathways. For example, we may wish to separate the effect of heavy alcohol consumption on systolic blood pressure (SBP) into effects via body mass index (BMI), via gamma-glutamyl transpeptidase (GGT), and via other pathways. Much progress has been made, mainly due to contributions from the field of causal inference, in understanding the precise nature of statistical estimands that capture such intuitive effects, the assumptions under which they can be identified, and statistical methods for doing so. These contributions have focused almost entirely on settings with a single mediator, or a set of mediators considered en bloc; in many applications, how-ever, researchers attempt a much more ambitious decomposition into numerous path-specific effects through many mediators. In this article, we give counterfactual definitions of such path-specific estimands in settings with multiple mediators, when earlier mediators may affect later ones, showing that there are many ways in which decomposition can be done. We discuss the strong assumptions under which the effects are identified, suggesting a sensitivity analysis approach when a particular subset of the assumptions cannot be justified. These ideas are illustrated using data on alcohol consumption, SBP, BMI, and GGT from the Izhevsk Family Study. We aim to bridge the gap from \" single mediator theory \" to \" multiple mediator practice, \" highlighting the ambitious nature of this endeavor and giving practical suggestions on how to proceed. 1. Introduction Exploring the relative strength of different pathways from an exposure to an outcome is a topic that has interested scien-tists across diverse fields for many decades. Early literature (Wright, 1921) through to the 1980s (Bentler, 1980; Baron and Kenny, 1986) focused on path analytic approaches, based on linear regression and structural equation models (SEMs). Under stringent parametric constraints, particular combina-tions of parameters from these models were taken to represent path-specific effects. Starting with Robins and Greenland (1992), then Pearl (2001), followed by an explosion of recent contributions (see Ten Have and Joffe, 2012, and references therein, and more recent articles by VanderWeele and coauthors), the formal language and estimation methods from t…","author":[{"dropping-particle":"","family":"weele","given":"Tyler","non-dropping-particle":"Van Der","parse-names":false,"suffix":""},{"dropping-particle":"","family":"Vansteelandt","given":"Stijn","non-dropping-particle":"","parse-names":false,"suffix":""}],"container-title":"Epidemiologic Methods","id":"ITEM-1","issued":{"date-parts":[["2013"]]},"title":"Mediation analysis with multiple mediators","type":"article-journal"},"uris":["http://www.mendeley.com/documents/?uuid=2c662246-daa9-45b8-892c-528b83d51576"]}],"mendeley":{"formattedCitation":"[22]","plainTextFormattedCitation":"[22]","previouslyFormattedCitation":"[22]"},"properties":{"noteIndex":0},"schema":"https://github.com/citation-style-language/schema/raw/master/csl-citation.json"}</w:instrText>
      </w:r>
      <w:r>
        <w:rPr>
          <w:rFonts w:ascii="Times New Roman" w:hAnsi="Times New Roman"/>
          <w:lang w:val="en-US"/>
        </w:rPr>
        <w:fldChar w:fldCharType="separate"/>
      </w:r>
      <w:r w:rsidRPr="003A58EE">
        <w:rPr>
          <w:rFonts w:ascii="Times New Roman" w:hAnsi="Times New Roman"/>
          <w:noProof/>
          <w:lang w:val="en-US"/>
        </w:rPr>
        <w:t>[22]</w:t>
      </w:r>
      <w:r>
        <w:rPr>
          <w:rFonts w:ascii="Times New Roman" w:hAnsi="Times New Roman"/>
          <w:lang w:val="en-US"/>
        </w:rPr>
        <w:fldChar w:fldCharType="end"/>
      </w:r>
      <w:r>
        <w:rPr>
          <w:rFonts w:ascii="Times New Roman" w:hAnsi="Times New Roman"/>
          <w:lang w:val="en-US"/>
        </w:rPr>
        <w:t xml:space="preserve"> </w:t>
      </w:r>
      <w:r w:rsidRPr="00886150">
        <w:rPr>
          <w:rFonts w:ascii="Times New Roman" w:eastAsia="Calibri" w:hAnsi="Times New Roman"/>
          <w:lang w:val="en-US" w:eastAsia="it-IT"/>
        </w:rPr>
        <w:t xml:space="preserve">fitting a Poisson model </w:t>
      </w:r>
      <w:r w:rsidRPr="00450B71">
        <w:rPr>
          <w:rFonts w:ascii="Times New Roman" w:hAnsi="Times New Roman"/>
          <w:lang w:val="en-GB"/>
        </w:rPr>
        <w:t>with</w:t>
      </w:r>
      <w:r w:rsidRPr="00667DCF">
        <w:rPr>
          <w:rFonts w:ascii="Times New Roman" w:hAnsi="Times New Roman"/>
          <w:lang w:val="en-GB"/>
        </w:rPr>
        <w:t xml:space="preserve"> robust</w:t>
      </w:r>
      <w:r>
        <w:rPr>
          <w:rFonts w:ascii="Times New Roman" w:hAnsi="Times New Roman"/>
          <w:lang w:val="en-GB"/>
        </w:rPr>
        <w:t xml:space="preserve"> variance on the outcome. The confounders considered in the mediation analysis were the same considered in the preliminary associations’ analysis. </w:t>
      </w:r>
    </w:p>
    <w:p w:rsidR="00C21DEE" w:rsidRPr="00667DCF" w:rsidRDefault="00C21DEE" w:rsidP="00C21DEE">
      <w:pPr>
        <w:spacing w:line="360" w:lineRule="auto"/>
        <w:jc w:val="both"/>
        <w:rPr>
          <w:rFonts w:ascii="Times New Roman" w:hAnsi="Times New Roman"/>
          <w:lang w:val="en-US"/>
        </w:rPr>
      </w:pPr>
      <w:r w:rsidRPr="00667DCF">
        <w:rPr>
          <w:rFonts w:ascii="Times New Roman" w:hAnsi="Times New Roman"/>
          <w:lang w:val="en-US"/>
        </w:rPr>
        <w:t xml:space="preserve">Bias-corrected 95% confidence interval have been computed for the </w:t>
      </w:r>
      <w:r>
        <w:rPr>
          <w:rFonts w:ascii="Times New Roman" w:hAnsi="Times New Roman"/>
          <w:lang w:val="en-US"/>
        </w:rPr>
        <w:t>estimated</w:t>
      </w:r>
      <w:r w:rsidRPr="00667DCF">
        <w:rPr>
          <w:rFonts w:ascii="Times New Roman" w:hAnsi="Times New Roman"/>
          <w:lang w:val="en-US"/>
        </w:rPr>
        <w:t xml:space="preserve">, as they are suggested as best confidence intervals in </w:t>
      </w:r>
      <w:proofErr w:type="spellStart"/>
      <w:r w:rsidRPr="00667DCF">
        <w:rPr>
          <w:rFonts w:ascii="Times New Roman" w:hAnsi="Times New Roman"/>
          <w:lang w:val="en-US"/>
        </w:rPr>
        <w:t>boostrap</w:t>
      </w:r>
      <w:proofErr w:type="spellEnd"/>
      <w:r w:rsidRPr="00667DCF">
        <w:rPr>
          <w:rFonts w:ascii="Times New Roman" w:hAnsi="Times New Roman"/>
          <w:lang w:val="en-US"/>
        </w:rPr>
        <w:t xml:space="preserve"> procedure</w:t>
      </w:r>
      <w:r>
        <w:rPr>
          <w:rFonts w:ascii="Times New Roman" w:hAnsi="Times New Roman"/>
          <w:lang w:val="en-US"/>
        </w:rPr>
        <w:t xml:space="preserve"> </w:t>
      </w:r>
      <w:r>
        <w:rPr>
          <w:rFonts w:ascii="Times New Roman" w:hAnsi="Times New Roman"/>
          <w:lang w:val="en-US"/>
        </w:rPr>
        <w:fldChar w:fldCharType="begin" w:fldLock="1"/>
      </w:r>
      <w:r>
        <w:rPr>
          <w:rFonts w:ascii="Times New Roman" w:hAnsi="Times New Roman"/>
          <w:lang w:val="en-US"/>
        </w:rPr>
        <w:instrText>ADDIN CSL_CITATION {"citationItems":[{"id":"ITEM-1","itemData":{"DOI":"10.3758/BRM.41.2.425","ISBN":"1554-351X","ISSN":"1554351X","PMID":"19363183","abstract":"Mediation models are often used as a means to explain the psychological mechanisms between an independent and a dependent variable in the behavioral and social sciences. A major limitation of the unstandardized indirect effect calculated from raw scores is that it cannot be interpreted as an effect-size measure. In contrast, the standardized indirect effect calculated from standardized scores can be a good candidate as a measure of effect size because it is scale invariant. In the present article, 11 methods for constructing the confidence intervals (CIs) of the standardized indirect effects were evaluated via a computer simulation. These included six Wald CIs, three bootstrap CIs, one likelihood-based CI, and the PRODCLIN CI. The results consistently showed that the percentile bootstrap, the bias-corrected bootstrap, and the likelihood-based approaches had the best coverage probability. Mplus, LISREL, and Mx syntax were included to facilitate the use of these preferred methods in applied settings. Future issues on the use of the standardized indirect effects are discussed.","author":[{"dropping-particle":"","family":"Cheung","given":"Mike W.L.","non-dropping-particle":"","parse-names":false,"suffix":""}],"container-title":"Behavior Research Methods","id":"ITEM-1","issued":{"date-parts":[["2009"]]},"title":"Comparison of methods for constructing confidence intervals of standardized indirect effects","type":"article-journal"},"uris":["http://www.mendeley.com/documents/?uuid=6e38382f-cf9b-4b5c-8b42-cdbb044c2b15"]}],"mendeley":{"formattedCitation":"[23]","plainTextFormattedCitation":"[23]","previouslyFormattedCitation":"[23]"},"properties":{"noteIndex":0},"schema":"https://github.com/citation-style-language/schema/raw/master/csl-citation.json"}</w:instrText>
      </w:r>
      <w:r>
        <w:rPr>
          <w:rFonts w:ascii="Times New Roman" w:hAnsi="Times New Roman"/>
          <w:lang w:val="en-US"/>
        </w:rPr>
        <w:fldChar w:fldCharType="separate"/>
      </w:r>
      <w:r w:rsidRPr="003A58EE">
        <w:rPr>
          <w:rFonts w:ascii="Times New Roman" w:hAnsi="Times New Roman"/>
          <w:noProof/>
          <w:lang w:val="en-US"/>
        </w:rPr>
        <w:t>[23]</w:t>
      </w:r>
      <w:r>
        <w:rPr>
          <w:rFonts w:ascii="Times New Roman" w:hAnsi="Times New Roman"/>
          <w:lang w:val="en-US"/>
        </w:rPr>
        <w:fldChar w:fldCharType="end"/>
      </w:r>
      <w:r>
        <w:rPr>
          <w:rFonts w:ascii="Times New Roman" w:hAnsi="Times New Roman"/>
          <w:lang w:val="en-US"/>
        </w:rPr>
        <w:t>.</w:t>
      </w:r>
    </w:p>
    <w:p w:rsidR="00AB3A1C" w:rsidRPr="00C21DEE" w:rsidRDefault="00C21DEE">
      <w:pPr>
        <w:rPr>
          <w:lang w:val="en-US"/>
        </w:rPr>
      </w:pPr>
    </w:p>
    <w:sectPr w:rsidR="00AB3A1C" w:rsidRPr="00C21DEE" w:rsidSect="008635C2">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2"/>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DEE"/>
    <w:rsid w:val="004776BF"/>
    <w:rsid w:val="007B723C"/>
    <w:rsid w:val="008635C2"/>
    <w:rsid w:val="00B01DBB"/>
    <w:rsid w:val="00B63442"/>
    <w:rsid w:val="00C21D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5CBF9B1"/>
  <w14:defaultImageDpi w14:val="32767"/>
  <w15:chartTrackingRefBased/>
  <w15:docId w15:val="{EF4D5D16-855C-D049-A33D-D6FC7877E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C21DEE"/>
    <w:rPr>
      <w:rFonts w:ascii="Calibri" w:eastAsia="Times New Roman"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1059</Words>
  <Characters>6038</Characters>
  <Application>Microsoft Office Word</Application>
  <DocSecurity>0</DocSecurity>
  <Lines>50</Lines>
  <Paragraphs>14</Paragraphs>
  <ScaleCrop>false</ScaleCrop>
  <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Ferrante Gianluigi</dc:creator>
  <cp:keywords/>
  <dc:description/>
  <cp:lastModifiedBy>Ferrante Gianluigi</cp:lastModifiedBy>
  <cp:revision>1</cp:revision>
  <dcterms:created xsi:type="dcterms:W3CDTF">2018-12-30T12:26:00Z</dcterms:created>
  <dcterms:modified xsi:type="dcterms:W3CDTF">2018-12-30T12:34:00Z</dcterms:modified>
</cp:coreProperties>
</file>