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D7E" w:rsidRPr="00B47685" w:rsidRDefault="002A5D7E" w:rsidP="002A5D7E">
      <w:pPr>
        <w:spacing w:after="160" w:line="259" w:lineRule="auto"/>
        <w:rPr>
          <w:rFonts w:ascii="Calibri" w:eastAsia="Times New Roman" w:hAnsi="Calibri" w:cs="Calibri"/>
          <w:b/>
          <w:sz w:val="24"/>
          <w:lang w:eastAsia="en-GB"/>
        </w:rPr>
      </w:pPr>
      <w:r w:rsidRPr="00B47685">
        <w:rPr>
          <w:rFonts w:ascii="Calibri" w:eastAsia="Times New Roman" w:hAnsi="Calibri" w:cs="Calibri"/>
          <w:b/>
          <w:sz w:val="24"/>
          <w:lang w:eastAsia="en-GB"/>
        </w:rPr>
        <w:t xml:space="preserve">Appendix 4 – Quality Assessment </w:t>
      </w:r>
    </w:p>
    <w:p w:rsidR="002A5D7E" w:rsidRPr="00B47685" w:rsidRDefault="002A5D7E" w:rsidP="002A5D7E">
      <w:pPr>
        <w:tabs>
          <w:tab w:val="left" w:pos="0"/>
        </w:tabs>
        <w:spacing w:after="160" w:line="480" w:lineRule="auto"/>
        <w:jc w:val="both"/>
        <w:rPr>
          <w:rFonts w:ascii="Calibri" w:eastAsia="Times New Roman" w:hAnsi="Calibri" w:cs="Calibri"/>
          <w:lang w:eastAsia="en-GB"/>
        </w:rPr>
      </w:pPr>
      <w:r>
        <w:rPr>
          <w:rFonts w:ascii="Calibri" w:eastAsia="Times New Roman" w:hAnsi="Calibri" w:cs="Calibri"/>
          <w:lang w:eastAsia="en-GB"/>
        </w:rPr>
        <w:t>To accommodate and appropriately assess studies with different designs, an</w:t>
      </w:r>
      <w:r w:rsidRPr="00B47685">
        <w:rPr>
          <w:rFonts w:ascii="Calibri" w:eastAsia="Times New Roman" w:hAnsi="Calibri" w:cs="Calibri"/>
          <w:lang w:eastAsia="en-GB"/>
        </w:rPr>
        <w:t xml:space="preserve"> adapted version</w:t>
      </w:r>
      <w:r>
        <w:rPr>
          <w:rFonts w:ascii="Calibri" w:eastAsia="Times New Roman" w:hAnsi="Calibri" w:cs="Calibri"/>
          <w:lang w:eastAsia="en-GB"/>
        </w:rPr>
        <w:t xml:space="preserve"> of the quality assessment tool for quantitative studies developed by the Effective Public Health Practice Project (EPHPP)</w:t>
      </w:r>
      <w:r w:rsidRPr="00B47685">
        <w:rPr>
          <w:rFonts w:ascii="Calibri" w:eastAsia="Times New Roman" w:hAnsi="Calibri" w:cs="Calibri"/>
          <w:lang w:eastAsia="en-GB"/>
        </w:rPr>
        <w:t xml:space="preserve"> was developed</w:t>
      </w:r>
      <w:r>
        <w:rPr>
          <w:rFonts w:ascii="Calibri" w:eastAsia="Times New Roman" w:hAnsi="Calibri" w:cs="Calibri"/>
          <w:lang w:eastAsia="en-GB"/>
        </w:rPr>
        <w:t>,</w:t>
      </w:r>
      <w:r w:rsidRPr="00B47685">
        <w:rPr>
          <w:rFonts w:ascii="Calibri" w:eastAsia="Times New Roman" w:hAnsi="Calibri" w:cs="Calibri"/>
          <w:lang w:eastAsia="en-GB"/>
        </w:rPr>
        <w:t xml:space="preserve"> incorporating questions</w:t>
      </w:r>
      <w:r>
        <w:rPr>
          <w:rFonts w:ascii="Calibri" w:eastAsia="Times New Roman" w:hAnsi="Calibri" w:cs="Calibri"/>
          <w:lang w:eastAsia="en-GB"/>
        </w:rPr>
        <w:t xml:space="preserve"> from</w:t>
      </w:r>
      <w:r w:rsidRPr="00B47685">
        <w:rPr>
          <w:rFonts w:ascii="Calibri" w:eastAsia="Times New Roman" w:hAnsi="Calibri" w:cs="Calibri"/>
          <w:lang w:eastAsia="en-GB"/>
        </w:rPr>
        <w:t xml:space="preserve"> the US National Institutes of Health National Heart, Lung, and Blood Institute (NHLBI, 2014) for observational cohort and cross sectional studies and the Downs and Black (1998) checklist for randomised and non-randomised studies to create an appropriate quality assessment checklist.</w:t>
      </w:r>
    </w:p>
    <w:p w:rsidR="002A5D7E" w:rsidRDefault="002A5D7E" w:rsidP="002A5D7E">
      <w:pPr>
        <w:tabs>
          <w:tab w:val="left" w:pos="0"/>
        </w:tabs>
        <w:spacing w:after="160" w:line="480" w:lineRule="auto"/>
        <w:jc w:val="both"/>
        <w:rPr>
          <w:rFonts w:ascii="Calibri" w:eastAsia="Times New Roman" w:hAnsi="Calibri" w:cs="Calibri"/>
          <w:lang w:eastAsia="en-GB"/>
        </w:rPr>
      </w:pPr>
      <w:r w:rsidRPr="00B47685">
        <w:rPr>
          <w:rFonts w:ascii="Calibri" w:eastAsia="Times New Roman" w:hAnsi="Calibri" w:cs="Calibri"/>
          <w:lang w:eastAsia="en-GB"/>
        </w:rPr>
        <w:t>The quality assessment included 16 questions considering the appropriateness of study design to the research objective, the risk of bias, choice of outcome measure, quality of sample size (power) and analysis, quality of reporting, quality of the intervention and its generalisability.</w:t>
      </w:r>
      <w:r>
        <w:rPr>
          <w:rFonts w:ascii="Calibri" w:eastAsia="Times New Roman" w:hAnsi="Calibri" w:cs="Calibri"/>
          <w:lang w:eastAsia="en-GB"/>
        </w:rPr>
        <w:t xml:space="preserve"> </w:t>
      </w:r>
      <w:r w:rsidRPr="00B47685">
        <w:rPr>
          <w:rFonts w:ascii="Calibri" w:eastAsia="Times New Roman" w:hAnsi="Calibri" w:cs="Calibri"/>
          <w:lang w:eastAsia="en-GB"/>
        </w:rPr>
        <w:t xml:space="preserve">Each question was scored with a final rating indicating the strength of the quality of the paper. </w:t>
      </w:r>
      <w:r>
        <w:rPr>
          <w:rFonts w:ascii="Calibri" w:eastAsia="Times New Roman" w:hAnsi="Calibri" w:cs="Calibri"/>
          <w:lang w:eastAsia="en-GB"/>
        </w:rPr>
        <w:t>T</w:t>
      </w:r>
      <w:r w:rsidRPr="00B47685">
        <w:rPr>
          <w:rFonts w:ascii="Calibri" w:eastAsia="Times New Roman" w:hAnsi="Calibri" w:cs="Calibri"/>
          <w:lang w:eastAsia="en-GB"/>
        </w:rPr>
        <w:t>he reviewers scored the papers independently</w:t>
      </w:r>
      <w:r>
        <w:rPr>
          <w:rFonts w:ascii="Calibri" w:eastAsia="Times New Roman" w:hAnsi="Calibri" w:cs="Calibri"/>
          <w:lang w:eastAsia="en-GB"/>
        </w:rPr>
        <w:t>. For the 2016 searches,</w:t>
      </w:r>
      <w:r w:rsidRPr="00B47685">
        <w:rPr>
          <w:rFonts w:ascii="Calibri" w:eastAsia="Times New Roman" w:hAnsi="Calibri" w:cs="Calibri"/>
          <w:lang w:eastAsia="en-GB"/>
        </w:rPr>
        <w:t xml:space="preserve"> </w:t>
      </w:r>
      <w:r>
        <w:rPr>
          <w:rFonts w:ascii="Calibri" w:eastAsia="Times New Roman" w:hAnsi="Calibri" w:cs="Calibri"/>
          <w:lang w:eastAsia="en-GB"/>
        </w:rPr>
        <w:t>an independent</w:t>
      </w:r>
      <w:r w:rsidRPr="00B47685">
        <w:rPr>
          <w:rFonts w:ascii="Calibri" w:eastAsia="Times New Roman" w:hAnsi="Calibri" w:cs="Calibri"/>
          <w:lang w:eastAsia="en-GB"/>
        </w:rPr>
        <w:t xml:space="preserve"> interrater reliability </w:t>
      </w:r>
      <w:r>
        <w:rPr>
          <w:rFonts w:ascii="Calibri" w:eastAsia="Times New Roman" w:hAnsi="Calibri" w:cs="Calibri"/>
          <w:lang w:eastAsia="en-GB"/>
        </w:rPr>
        <w:t xml:space="preserve">score </w:t>
      </w:r>
      <w:r w:rsidRPr="00B47685">
        <w:rPr>
          <w:rFonts w:ascii="Calibri" w:eastAsia="Times New Roman" w:hAnsi="Calibri" w:cs="Calibri"/>
          <w:lang w:eastAsia="en-GB"/>
        </w:rPr>
        <w:t xml:space="preserve">was calculated using Cohen’s kappa (Cohen, 1960), </w:t>
      </w:r>
      <w:r>
        <w:rPr>
          <w:rFonts w:ascii="Calibri" w:eastAsia="Times New Roman" w:hAnsi="Calibri" w:cs="Calibri"/>
          <w:lang w:eastAsia="en-GB"/>
        </w:rPr>
        <w:t>showing</w:t>
      </w:r>
      <w:r w:rsidRPr="00B47685">
        <w:rPr>
          <w:rFonts w:ascii="Calibri" w:eastAsia="Times New Roman" w:hAnsi="Calibri" w:cs="Calibri"/>
          <w:lang w:eastAsia="en-GB"/>
        </w:rPr>
        <w:t xml:space="preserve"> substantial agreement between the </w:t>
      </w:r>
      <w:proofErr w:type="spellStart"/>
      <w:r w:rsidRPr="00B47685">
        <w:rPr>
          <w:rFonts w:ascii="Calibri" w:eastAsia="Times New Roman" w:hAnsi="Calibri" w:cs="Calibri"/>
          <w:lang w:eastAsia="en-GB"/>
        </w:rPr>
        <w:t>raters</w:t>
      </w:r>
      <w:proofErr w:type="spellEnd"/>
      <w:r w:rsidRPr="00B47685">
        <w:rPr>
          <w:rFonts w:ascii="Calibri" w:eastAsia="Times New Roman" w:hAnsi="Calibri" w:cs="Calibri"/>
          <w:lang w:eastAsia="en-GB"/>
        </w:rPr>
        <w:t xml:space="preserve"> (</w:t>
      </w:r>
      <w:r w:rsidRPr="002A5D7E">
        <w:rPr>
          <w:rFonts w:ascii="Calibri" w:eastAsia="Times New Roman" w:hAnsi="Calibri" w:cs="Calibri"/>
          <w:i/>
          <w:lang w:eastAsia="en-GB"/>
        </w:rPr>
        <w:t>k</w:t>
      </w:r>
      <w:r>
        <w:rPr>
          <w:rFonts w:ascii="Calibri" w:eastAsia="Times New Roman" w:hAnsi="Calibri" w:cs="Calibri"/>
          <w:lang w:eastAsia="en-GB"/>
        </w:rPr>
        <w:t xml:space="preserve"> </w:t>
      </w:r>
      <w:r w:rsidRPr="00B47685">
        <w:rPr>
          <w:rFonts w:ascii="Calibri" w:eastAsia="Times New Roman" w:hAnsi="Calibri" w:cs="Calibri"/>
          <w:lang w:eastAsia="en-GB"/>
        </w:rPr>
        <w:t>=</w:t>
      </w:r>
      <w:r>
        <w:rPr>
          <w:rFonts w:ascii="Calibri" w:eastAsia="Times New Roman" w:hAnsi="Calibri" w:cs="Calibri"/>
          <w:lang w:eastAsia="en-GB"/>
        </w:rPr>
        <w:t xml:space="preserve"> </w:t>
      </w:r>
      <w:r w:rsidRPr="00B47685">
        <w:rPr>
          <w:rFonts w:ascii="Calibri" w:eastAsia="Times New Roman" w:hAnsi="Calibri" w:cs="Calibri"/>
          <w:lang w:eastAsia="en-GB"/>
        </w:rPr>
        <w:t xml:space="preserve">0.772, </w:t>
      </w:r>
      <w:r w:rsidRPr="002A5D7E">
        <w:rPr>
          <w:rFonts w:ascii="Calibri" w:eastAsia="Times New Roman" w:hAnsi="Calibri" w:cs="Calibri"/>
          <w:i/>
          <w:lang w:eastAsia="en-GB"/>
        </w:rPr>
        <w:t>p</w:t>
      </w:r>
      <w:r>
        <w:rPr>
          <w:rFonts w:ascii="Calibri" w:eastAsia="Times New Roman" w:hAnsi="Calibri" w:cs="Calibri"/>
          <w:lang w:eastAsia="en-GB"/>
        </w:rPr>
        <w:t xml:space="preserve"> </w:t>
      </w:r>
      <w:r w:rsidRPr="00B47685">
        <w:rPr>
          <w:rFonts w:ascii="Calibri" w:eastAsia="Times New Roman" w:hAnsi="Calibri" w:cs="Calibri"/>
          <w:lang w:eastAsia="en-GB"/>
        </w:rPr>
        <w:t>&lt;</w:t>
      </w:r>
      <w:r>
        <w:rPr>
          <w:rFonts w:ascii="Calibri" w:eastAsia="Times New Roman" w:hAnsi="Calibri" w:cs="Calibri"/>
          <w:lang w:eastAsia="en-GB"/>
        </w:rPr>
        <w:t xml:space="preserve"> </w:t>
      </w:r>
      <w:r w:rsidRPr="00B47685">
        <w:rPr>
          <w:rFonts w:ascii="Calibri" w:eastAsia="Times New Roman" w:hAnsi="Calibri" w:cs="Calibri"/>
          <w:lang w:eastAsia="en-GB"/>
        </w:rPr>
        <w:t xml:space="preserve">.0005) (McHugh, 2012). The two </w:t>
      </w:r>
      <w:proofErr w:type="spellStart"/>
      <w:r w:rsidRPr="00B47685">
        <w:rPr>
          <w:rFonts w:ascii="Calibri" w:eastAsia="Times New Roman" w:hAnsi="Calibri" w:cs="Calibri"/>
          <w:lang w:eastAsia="en-GB"/>
        </w:rPr>
        <w:t>raters</w:t>
      </w:r>
      <w:proofErr w:type="spellEnd"/>
      <w:r w:rsidRPr="00B47685">
        <w:rPr>
          <w:rFonts w:ascii="Calibri" w:eastAsia="Times New Roman" w:hAnsi="Calibri" w:cs="Calibri"/>
          <w:lang w:eastAsia="en-GB"/>
        </w:rPr>
        <w:t xml:space="preserve"> then met to resolve any discrepancies. When a final assessment of a component was unclear the lower assessment was set, adopting a conservative decision. </w:t>
      </w:r>
      <w:r>
        <w:rPr>
          <w:rFonts w:ascii="Calibri" w:eastAsia="Times New Roman" w:hAnsi="Calibri" w:cs="Calibri"/>
          <w:lang w:eastAsia="en-GB"/>
        </w:rPr>
        <w:t>For the 2018 searches, perfect agreement was achieved for the quality assessment of the two papers added to the review.</w:t>
      </w:r>
    </w:p>
    <w:p w:rsidR="0015388B" w:rsidRPr="00B47685" w:rsidRDefault="0015388B" w:rsidP="0015388B">
      <w:pPr>
        <w:spacing w:after="160" w:line="480" w:lineRule="auto"/>
        <w:rPr>
          <w:rFonts w:ascii="Calibri" w:eastAsia="Times New Roman" w:hAnsi="Calibri" w:cs="Calibri"/>
          <w:lang w:eastAsia="en-GB"/>
        </w:rPr>
      </w:pPr>
      <w:r w:rsidRPr="00B47685">
        <w:rPr>
          <w:rFonts w:ascii="Calibri" w:eastAsia="Times New Roman" w:hAnsi="Calibri" w:cs="Calibri"/>
          <w:lang w:eastAsia="en-GB"/>
        </w:rPr>
        <w:t xml:space="preserve">The minimum score is 16 representing the strongest study quality and the maximum score is 32 representing the weakest study quality. </w:t>
      </w:r>
    </w:p>
    <w:p w:rsidR="0015388B" w:rsidRPr="00B47685" w:rsidRDefault="0015388B" w:rsidP="0015388B">
      <w:pPr>
        <w:spacing w:after="160" w:line="480" w:lineRule="auto"/>
        <w:rPr>
          <w:rFonts w:ascii="Calibri" w:eastAsia="Times New Roman" w:hAnsi="Calibri" w:cs="Calibri"/>
          <w:lang w:eastAsia="en-GB"/>
        </w:rPr>
      </w:pPr>
      <w:r w:rsidRPr="00B47685">
        <w:rPr>
          <w:rFonts w:ascii="Calibri" w:eastAsia="Times New Roman" w:hAnsi="Calibri" w:cs="Calibri"/>
          <w:lang w:eastAsia="en-GB"/>
        </w:rPr>
        <w:t xml:space="preserve">When a final assessment of a component was unclear the lower assessment was set, adopting a conservative decision. </w:t>
      </w:r>
    </w:p>
    <w:tbl>
      <w:tblPr>
        <w:tblW w:w="0" w:type="auto"/>
        <w:tblLook w:val="04A0" w:firstRow="1" w:lastRow="0" w:firstColumn="1" w:lastColumn="0" w:noHBand="0" w:noVBand="1"/>
      </w:tblPr>
      <w:tblGrid>
        <w:gridCol w:w="1382"/>
        <w:gridCol w:w="1382"/>
      </w:tblGrid>
      <w:tr w:rsidR="0015388B" w:rsidRPr="00B47685" w:rsidTr="009C6CA7">
        <w:trPr>
          <w:trHeight w:val="497"/>
        </w:trPr>
        <w:tc>
          <w:tcPr>
            <w:tcW w:w="1382" w:type="dxa"/>
            <w:tcBorders>
              <w:top w:val="single" w:sz="4" w:space="0" w:color="auto"/>
              <w:bottom w:val="single" w:sz="4" w:space="0" w:color="auto"/>
            </w:tcBorders>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Score</w:t>
            </w:r>
          </w:p>
        </w:tc>
        <w:tc>
          <w:tcPr>
            <w:tcW w:w="1382" w:type="dxa"/>
            <w:tcBorders>
              <w:top w:val="single" w:sz="4" w:space="0" w:color="auto"/>
              <w:bottom w:val="single" w:sz="4" w:space="0" w:color="auto"/>
            </w:tcBorders>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Rating</w:t>
            </w:r>
          </w:p>
        </w:tc>
      </w:tr>
      <w:tr w:rsidR="0015388B" w:rsidRPr="00B47685" w:rsidTr="009C6CA7">
        <w:trPr>
          <w:trHeight w:val="497"/>
        </w:trPr>
        <w:tc>
          <w:tcPr>
            <w:tcW w:w="1382" w:type="dxa"/>
            <w:tcBorders>
              <w:top w:val="single" w:sz="4" w:space="0" w:color="auto"/>
            </w:tcBorders>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16- 19</w:t>
            </w:r>
          </w:p>
        </w:tc>
        <w:tc>
          <w:tcPr>
            <w:tcW w:w="1382" w:type="dxa"/>
            <w:tcBorders>
              <w:top w:val="single" w:sz="4" w:space="0" w:color="auto"/>
            </w:tcBorders>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Strong</w:t>
            </w:r>
          </w:p>
        </w:tc>
      </w:tr>
      <w:tr w:rsidR="0015388B" w:rsidRPr="00B47685" w:rsidTr="009C6CA7">
        <w:trPr>
          <w:trHeight w:val="497"/>
        </w:trPr>
        <w:tc>
          <w:tcPr>
            <w:tcW w:w="1382" w:type="dxa"/>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20 – 23</w:t>
            </w:r>
          </w:p>
        </w:tc>
        <w:tc>
          <w:tcPr>
            <w:tcW w:w="1382" w:type="dxa"/>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 xml:space="preserve">Moderate </w:t>
            </w:r>
          </w:p>
        </w:tc>
      </w:tr>
      <w:tr w:rsidR="0015388B" w:rsidRPr="00B47685" w:rsidTr="009C6CA7">
        <w:trPr>
          <w:trHeight w:val="497"/>
        </w:trPr>
        <w:tc>
          <w:tcPr>
            <w:tcW w:w="1382" w:type="dxa"/>
            <w:tcBorders>
              <w:bottom w:val="single" w:sz="4" w:space="0" w:color="auto"/>
            </w:tcBorders>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24 – 32</w:t>
            </w:r>
          </w:p>
        </w:tc>
        <w:tc>
          <w:tcPr>
            <w:tcW w:w="1382" w:type="dxa"/>
            <w:tcBorders>
              <w:bottom w:val="single" w:sz="4" w:space="0" w:color="auto"/>
            </w:tcBorders>
            <w:shd w:val="clear" w:color="auto" w:fill="auto"/>
          </w:tcPr>
          <w:p w:rsidR="0015388B" w:rsidRPr="00B47685" w:rsidRDefault="0015388B" w:rsidP="009C6CA7">
            <w:pPr>
              <w:spacing w:after="160" w:line="480" w:lineRule="auto"/>
              <w:rPr>
                <w:rFonts w:ascii="Calibri" w:eastAsia="Times New Roman" w:hAnsi="Calibri" w:cs="Calibri"/>
                <w:lang w:eastAsia="en-GB"/>
              </w:rPr>
            </w:pPr>
            <w:r w:rsidRPr="00B47685">
              <w:rPr>
                <w:rFonts w:ascii="Calibri" w:eastAsia="Times New Roman" w:hAnsi="Calibri" w:cs="Calibri"/>
                <w:lang w:eastAsia="en-GB"/>
              </w:rPr>
              <w:t>Weak</w:t>
            </w:r>
          </w:p>
        </w:tc>
      </w:tr>
    </w:tbl>
    <w:p w:rsidR="002A5D7E" w:rsidRDefault="002A5D7E" w:rsidP="002A5D7E">
      <w:pPr>
        <w:spacing w:after="160" w:line="259" w:lineRule="auto"/>
        <w:rPr>
          <w:rFonts w:ascii="Calibri" w:eastAsia="Times New Roman" w:hAnsi="Calibri" w:cs="Calibri"/>
          <w:lang w:eastAsia="en-GB"/>
        </w:rPr>
      </w:pPr>
      <w:bookmarkStart w:id="0" w:name="_GoBack"/>
      <w:bookmarkEnd w:id="0"/>
    </w:p>
    <w:p w:rsidR="002A5D7E" w:rsidRPr="00B47685" w:rsidRDefault="002A5D7E" w:rsidP="002A5D7E">
      <w:pPr>
        <w:spacing w:after="160" w:line="259" w:lineRule="auto"/>
        <w:rPr>
          <w:rFonts w:ascii="Calibri" w:eastAsia="Times New Roman" w:hAnsi="Calibri" w:cs="Calibri"/>
          <w:lang w:eastAsia="en-GB"/>
        </w:rPr>
      </w:pPr>
      <w:r w:rsidRPr="00B47685">
        <w:rPr>
          <w:rFonts w:ascii="Calibri" w:eastAsia="Times New Roman" w:hAnsi="Calibri" w:cs="Calibri"/>
          <w:lang w:eastAsia="en-GB"/>
        </w:rPr>
        <w:lastRenderedPageBreak/>
        <w:t>Table 4 Quality Assessment of included papers.</w:t>
      </w:r>
    </w:p>
    <w:p w:rsidR="002A5D7E" w:rsidRPr="00B47685" w:rsidRDefault="002A5D7E" w:rsidP="002A5D7E">
      <w:pPr>
        <w:spacing w:after="160" w:line="259" w:lineRule="auto"/>
        <w:rPr>
          <w:rFonts w:ascii="Calibri" w:eastAsia="Times New Roman" w:hAnsi="Calibri" w:cs="Calibri"/>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1370"/>
        <w:gridCol w:w="1373"/>
        <w:gridCol w:w="1370"/>
        <w:gridCol w:w="1370"/>
        <w:gridCol w:w="1370"/>
        <w:gridCol w:w="1370"/>
        <w:gridCol w:w="1369"/>
        <w:gridCol w:w="1355"/>
        <w:gridCol w:w="1352"/>
      </w:tblGrid>
      <w:tr w:rsidR="002A5D7E" w:rsidRPr="002A5D7E" w:rsidTr="002A5D7E">
        <w:trPr>
          <w:trHeight w:val="1776"/>
        </w:trPr>
        <w:tc>
          <w:tcPr>
            <w:tcW w:w="661" w:type="pct"/>
            <w:shd w:val="clear" w:color="auto" w:fill="auto"/>
          </w:tcPr>
          <w:p w:rsidR="002A5D7E" w:rsidRPr="002A5D7E" w:rsidRDefault="002A5D7E" w:rsidP="009C6CA7">
            <w:pPr>
              <w:spacing w:after="160" w:line="259" w:lineRule="auto"/>
              <w:rPr>
                <w:rFonts w:eastAsia="Times New Roman" w:cs="Calibri"/>
                <w:sz w:val="20"/>
                <w:szCs w:val="20"/>
                <w:lang w:eastAsia="en-GB"/>
              </w:rPr>
            </w:pP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proofErr w:type="spellStart"/>
            <w:r w:rsidRPr="002A5D7E">
              <w:rPr>
                <w:rFonts w:eastAsia="Times New Roman" w:cs="Calibri"/>
                <w:sz w:val="20"/>
                <w:szCs w:val="20"/>
                <w:lang w:eastAsia="en-GB"/>
              </w:rPr>
              <w:t>Artac</w:t>
            </w:r>
            <w:proofErr w:type="spellEnd"/>
            <w:r w:rsidRPr="002A5D7E">
              <w:rPr>
                <w:rFonts w:eastAsia="Times New Roman" w:cs="Calibri"/>
                <w:sz w:val="20"/>
                <w:szCs w:val="20"/>
                <w:lang w:eastAsia="en-GB"/>
              </w:rPr>
              <w:t xml:space="preserve">, Dalton, </w:t>
            </w:r>
            <w:proofErr w:type="spellStart"/>
            <w:r w:rsidRPr="002A5D7E">
              <w:rPr>
                <w:rFonts w:eastAsia="Times New Roman" w:cs="Calibri"/>
                <w:sz w:val="20"/>
                <w:szCs w:val="20"/>
                <w:lang w:eastAsia="en-GB"/>
              </w:rPr>
              <w:t>Majeed</w:t>
            </w:r>
            <w:proofErr w:type="spellEnd"/>
            <w:r w:rsidRPr="002A5D7E">
              <w:rPr>
                <w:rFonts w:eastAsia="Times New Roman" w:cs="Calibri"/>
                <w:sz w:val="20"/>
                <w:szCs w:val="20"/>
                <w:lang w:eastAsia="en-GB"/>
              </w:rPr>
              <w:t xml:space="preserve"> et al (2013)</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Uptake of the NHS Health Check programme in an urban setting</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Attwood, Morton &amp; Sutton (2015)</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Exploring equity in uptake of the NHS Health Check</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 xml:space="preserve">Cochrane, </w:t>
            </w:r>
            <w:proofErr w:type="spellStart"/>
            <w:r w:rsidRPr="002A5D7E">
              <w:rPr>
                <w:rFonts w:eastAsia="Times New Roman" w:cs="Calibri"/>
                <w:sz w:val="20"/>
                <w:szCs w:val="20"/>
                <w:lang w:eastAsia="en-GB"/>
              </w:rPr>
              <w:t>Gidlow</w:t>
            </w:r>
            <w:proofErr w:type="spellEnd"/>
            <w:r w:rsidRPr="002A5D7E">
              <w:rPr>
                <w:rFonts w:eastAsia="Times New Roman" w:cs="Calibri"/>
                <w:sz w:val="20"/>
                <w:szCs w:val="20"/>
                <w:lang w:eastAsia="en-GB"/>
              </w:rPr>
              <w:t>, Kumar et al (2012)</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Cross-sectional review of the response and treatment uptake from the NHS Health Checks programme in Stoke on Trent</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Coghill et al., (2018)</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Cook et al (2016)</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Who use NHS Health Checks? Investigating the impact of ethnicity and gender and method of invitation on uptake of NHS health checks</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 xml:space="preserve">Dalton, Bottle, </w:t>
            </w:r>
            <w:proofErr w:type="spellStart"/>
            <w:r w:rsidRPr="002A5D7E">
              <w:rPr>
                <w:rFonts w:eastAsia="Times New Roman" w:cs="Calibri"/>
                <w:sz w:val="20"/>
                <w:szCs w:val="20"/>
                <w:lang w:eastAsia="en-GB"/>
              </w:rPr>
              <w:t>Okoro</w:t>
            </w:r>
            <w:proofErr w:type="spellEnd"/>
            <w:r w:rsidRPr="002A5D7E">
              <w:rPr>
                <w:rFonts w:eastAsia="Times New Roman" w:cs="Calibri"/>
                <w:sz w:val="20"/>
                <w:szCs w:val="20"/>
                <w:lang w:eastAsia="en-GB"/>
              </w:rPr>
              <w:t xml:space="preserve"> et al (2011)</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Uptake of the NHS Health Checks programme in a deprived, culturally diverse setting</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proofErr w:type="spellStart"/>
            <w:r w:rsidRPr="002A5D7E">
              <w:rPr>
                <w:rFonts w:eastAsia="Times New Roman" w:cs="Calibri"/>
                <w:sz w:val="20"/>
                <w:szCs w:val="20"/>
                <w:lang w:eastAsia="en-GB"/>
              </w:rPr>
              <w:t>Gidlow</w:t>
            </w:r>
            <w:proofErr w:type="spellEnd"/>
            <w:r w:rsidRPr="002A5D7E">
              <w:rPr>
                <w:rFonts w:eastAsia="Times New Roman" w:cs="Calibri"/>
                <w:sz w:val="20"/>
                <w:szCs w:val="20"/>
                <w:lang w:eastAsia="en-GB"/>
              </w:rPr>
              <w:t>, Ellis, Randall et al (2014)</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Method of invitation and geographical proximity as predictors of NHS Health Check uptake</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 xml:space="preserve">Sallis et al (2016) </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The effectiveness of an enhanced invitation letter on uptake of NHS Health Checks in Primary Care</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McDermott et al (2018)</w:t>
            </w:r>
          </w:p>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Enhanced invitations using the question-</w:t>
            </w:r>
            <w:proofErr w:type="spellStart"/>
            <w:r w:rsidRPr="002A5D7E">
              <w:rPr>
                <w:rFonts w:eastAsia="Times New Roman" w:cs="Calibri"/>
                <w:sz w:val="20"/>
                <w:szCs w:val="20"/>
                <w:lang w:eastAsia="en-GB"/>
              </w:rPr>
              <w:t>behavior</w:t>
            </w:r>
            <w:proofErr w:type="spellEnd"/>
            <w:r w:rsidRPr="002A5D7E">
              <w:rPr>
                <w:rFonts w:eastAsia="Times New Roman" w:cs="Calibri"/>
                <w:sz w:val="20"/>
                <w:szCs w:val="20"/>
                <w:lang w:eastAsia="en-GB"/>
              </w:rPr>
              <w:t xml:space="preserve"> effect and financial incentives to promote health check uptake in primary care</w:t>
            </w:r>
          </w:p>
        </w:tc>
      </w:tr>
      <w:tr w:rsidR="002A5D7E" w:rsidRPr="002A5D7E" w:rsidTr="002A5D7E">
        <w:trPr>
          <w:trHeight w:val="1776"/>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Was the research question or objective clearly stated?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55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 xml:space="preserve">Are the individuals selected to participate in the study likely to be representative of the target </w:t>
            </w:r>
            <w:r w:rsidRPr="002A5D7E">
              <w:rPr>
                <w:rFonts w:eastAsia="Times New Roman" w:cs="Calibri"/>
                <w:sz w:val="20"/>
                <w:szCs w:val="20"/>
                <w:lang w:eastAsia="en-GB"/>
              </w:rPr>
              <w:lastRenderedPageBreak/>
              <w:t xml:space="preserve">population? </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lastRenderedPageBreak/>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1776"/>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lastRenderedPageBreak/>
              <w:t>Were inclusion and exclusion criteria pre-specified and applied uniformly to all participants?</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p w:rsidR="002A5D7E" w:rsidRPr="002A5D7E" w:rsidRDefault="002A5D7E" w:rsidP="009C6CA7">
            <w:pPr>
              <w:spacing w:after="160" w:line="259" w:lineRule="auto"/>
              <w:rPr>
                <w:rFonts w:eastAsia="Times New Roman" w:cs="Calibri"/>
                <w:sz w:val="20"/>
                <w:szCs w:val="20"/>
                <w:lang w:eastAsia="en-GB"/>
              </w:rPr>
            </w:pP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1776"/>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Are the characteristics of the participants included in the study clearly described?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1776"/>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Are the outcome measures used appropriate/ relevant to the research question?</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088"/>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Was a sample size justification, power description, or variance and effect estimates provided?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79"/>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Were participants randomised to intervention/ control groups?</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Was the method of randomisation described appropriate?</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Not applicable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N/A</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N/A</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N/A</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 xml:space="preserve">2 </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N/A</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N/A</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Are the interventions of interest clearly described?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Were the outcome assessors blinded to the exposure status of participants?</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N/A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 xml:space="preserve">Unable to determine – 2 </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U</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U</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Were the study participants unaware of the research question?</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Was the study response rate reported?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Were lost to follow up rates reported?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N/A* - 1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 N/A</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 N/A</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 N/A</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 N/A</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 N/A</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Are the outcome measures reported?</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Are the statistical tests used to assess the main outcomes appropriate?</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 U</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2A5D7E">
            <w:pPr>
              <w:numPr>
                <w:ilvl w:val="0"/>
                <w:numId w:val="1"/>
              </w:numPr>
              <w:spacing w:after="0" w:line="240" w:lineRule="auto"/>
              <w:contextualSpacing/>
              <w:rPr>
                <w:rFonts w:eastAsia="Times New Roman" w:cs="Calibri"/>
                <w:sz w:val="20"/>
                <w:szCs w:val="20"/>
                <w:lang w:eastAsia="en-GB"/>
              </w:rPr>
            </w:pPr>
            <w:r w:rsidRPr="002A5D7E">
              <w:rPr>
                <w:rFonts w:eastAsia="Times New Roman" w:cs="Calibri"/>
                <w:sz w:val="20"/>
                <w:szCs w:val="20"/>
                <w:lang w:eastAsia="en-GB"/>
              </w:rPr>
              <w:t>Was there adequate adjustment for confounding factors in the analyses?</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Yes -1</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No – 2</w:t>
            </w:r>
          </w:p>
          <w:p w:rsidR="002A5D7E" w:rsidRPr="002A5D7E" w:rsidRDefault="002A5D7E" w:rsidP="009C6CA7">
            <w:pPr>
              <w:spacing w:after="160" w:line="259" w:lineRule="auto"/>
              <w:contextualSpacing/>
              <w:rPr>
                <w:rFonts w:eastAsia="Times New Roman" w:cs="Calibri"/>
                <w:sz w:val="20"/>
                <w:szCs w:val="20"/>
                <w:lang w:eastAsia="en-GB"/>
              </w:rPr>
            </w:pPr>
            <w:r w:rsidRPr="002A5D7E">
              <w:rPr>
                <w:rFonts w:eastAsia="Times New Roman" w:cs="Calibri"/>
                <w:sz w:val="20"/>
                <w:szCs w:val="20"/>
                <w:lang w:eastAsia="en-GB"/>
              </w:rPr>
              <w:t>Unable to determine – 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w:t>
            </w:r>
          </w:p>
        </w:tc>
      </w:tr>
      <w:tr w:rsidR="002A5D7E" w:rsidRPr="002A5D7E" w:rsidTr="002A5D7E">
        <w:trPr>
          <w:trHeight w:val="267"/>
        </w:trPr>
        <w:tc>
          <w:tcPr>
            <w:tcW w:w="661"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Total</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19</w:t>
            </w:r>
          </w:p>
        </w:tc>
        <w:tc>
          <w:tcPr>
            <w:tcW w:w="484"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20</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19</w:t>
            </w:r>
          </w:p>
        </w:tc>
        <w:tc>
          <w:tcPr>
            <w:tcW w:w="483"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20</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23</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 xml:space="preserve">19  </w:t>
            </w:r>
          </w:p>
        </w:tc>
        <w:tc>
          <w:tcPr>
            <w:tcW w:w="483"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19</w:t>
            </w:r>
          </w:p>
        </w:tc>
        <w:tc>
          <w:tcPr>
            <w:tcW w:w="478" w:type="pct"/>
            <w:shd w:val="clear" w:color="auto" w:fill="auto"/>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16</w:t>
            </w:r>
          </w:p>
        </w:tc>
        <w:tc>
          <w:tcPr>
            <w:tcW w:w="477" w:type="pct"/>
          </w:tcPr>
          <w:p w:rsidR="002A5D7E" w:rsidRPr="002A5D7E" w:rsidRDefault="002A5D7E" w:rsidP="009C6CA7">
            <w:pPr>
              <w:spacing w:after="160" w:line="259" w:lineRule="auto"/>
              <w:rPr>
                <w:rFonts w:eastAsia="Times New Roman" w:cs="Calibri"/>
                <w:sz w:val="20"/>
                <w:szCs w:val="20"/>
                <w:lang w:eastAsia="en-GB"/>
              </w:rPr>
            </w:pPr>
            <w:r w:rsidRPr="002A5D7E">
              <w:rPr>
                <w:rFonts w:eastAsia="Times New Roman" w:cs="Calibri"/>
                <w:sz w:val="20"/>
                <w:szCs w:val="20"/>
                <w:lang w:eastAsia="en-GB"/>
              </w:rPr>
              <w:t>16</w:t>
            </w:r>
          </w:p>
        </w:tc>
      </w:tr>
    </w:tbl>
    <w:p w:rsidR="002A5D7E" w:rsidRPr="00B47685" w:rsidRDefault="002A5D7E" w:rsidP="002A5D7E">
      <w:pPr>
        <w:spacing w:after="160" w:line="259" w:lineRule="auto"/>
        <w:rPr>
          <w:rFonts w:ascii="Calibri" w:eastAsia="Times New Roman" w:hAnsi="Calibri" w:cs="Calibri"/>
          <w:sz w:val="20"/>
          <w:szCs w:val="20"/>
          <w:lang w:eastAsia="en-GB"/>
        </w:rPr>
      </w:pPr>
    </w:p>
    <w:p w:rsidR="002A5D7E" w:rsidRPr="00B47685" w:rsidRDefault="002A5D7E" w:rsidP="002A5D7E">
      <w:pPr>
        <w:spacing w:after="160" w:line="480" w:lineRule="auto"/>
        <w:rPr>
          <w:rFonts w:ascii="Calibri" w:eastAsia="Times New Roman" w:hAnsi="Calibri" w:cs="Calibri"/>
          <w:lang w:eastAsia="en-GB"/>
        </w:rPr>
      </w:pPr>
      <w:r w:rsidRPr="00B47685">
        <w:rPr>
          <w:rFonts w:ascii="Calibri" w:eastAsia="Times New Roman" w:hAnsi="Calibri" w:cs="Calibri"/>
          <w:lang w:eastAsia="en-GB"/>
        </w:rPr>
        <w:t xml:space="preserve">*Withdrawals and drop outs do not occur when the total local or national level data collection is done. </w:t>
      </w:r>
      <w:proofErr w:type="gramStart"/>
      <w:r w:rsidRPr="00B47685">
        <w:rPr>
          <w:rFonts w:ascii="Calibri" w:eastAsia="Times New Roman" w:hAnsi="Calibri" w:cs="Calibri"/>
          <w:lang w:eastAsia="en-GB"/>
        </w:rPr>
        <w:t>N/A – Not applicable to this study design.</w:t>
      </w:r>
      <w:proofErr w:type="gramEnd"/>
    </w:p>
    <w:p w:rsidR="00A23EA8" w:rsidRDefault="00A23EA8"/>
    <w:sectPr w:rsidR="00A23EA8" w:rsidSect="002A5D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E5087"/>
    <w:multiLevelType w:val="hybridMultilevel"/>
    <w:tmpl w:val="834CA4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D7E"/>
    <w:rsid w:val="0015388B"/>
    <w:rsid w:val="002A5D7E"/>
    <w:rsid w:val="00A23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D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D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D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D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Porter</dc:creator>
  <cp:lastModifiedBy>Lucy Porter</cp:lastModifiedBy>
  <cp:revision>2</cp:revision>
  <dcterms:created xsi:type="dcterms:W3CDTF">2019-03-26T15:24:00Z</dcterms:created>
  <dcterms:modified xsi:type="dcterms:W3CDTF">2019-03-26T15:26:00Z</dcterms:modified>
</cp:coreProperties>
</file>