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85" w:rsidRDefault="00312A13" w:rsidP="00312A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Supplemental Tables</w:t>
      </w:r>
    </w:p>
    <w:p w:rsidR="00312A13" w:rsidRDefault="00312A13" w:rsidP="00312A13">
      <w:pPr>
        <w:jc w:val="center"/>
        <w:rPr>
          <w:rFonts w:ascii="Arial" w:hAnsi="Arial" w:cs="Arial"/>
          <w:b/>
          <w:sz w:val="22"/>
          <w:szCs w:val="22"/>
        </w:rPr>
      </w:pPr>
    </w:p>
    <w:p w:rsidR="00312A13" w:rsidRPr="0039058D" w:rsidRDefault="00312A13" w:rsidP="00312A13">
      <w:pPr>
        <w:pStyle w:val="NoSpacing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Table </w:t>
      </w:r>
      <w:r w:rsidR="00080AB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1. </w:t>
      </w:r>
      <w:r w:rsidRPr="0039058D">
        <w:rPr>
          <w:rFonts w:ascii="Arial" w:hAnsi="Arial" w:cs="Arial"/>
        </w:rPr>
        <w:t>Diagnostic codes used to define the chronic conditions</w:t>
      </w:r>
    </w:p>
    <w:p w:rsidR="00312A13" w:rsidRDefault="00312A13" w:rsidP="00312A13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10530" w:type="dxa"/>
        <w:tblInd w:w="-342" w:type="dxa"/>
        <w:tblLook w:val="04A0" w:firstRow="1" w:lastRow="0" w:firstColumn="1" w:lastColumn="0" w:noHBand="0" w:noVBand="1"/>
      </w:tblPr>
      <w:tblGrid>
        <w:gridCol w:w="2880"/>
        <w:gridCol w:w="1710"/>
        <w:gridCol w:w="5940"/>
      </w:tblGrid>
      <w:tr w:rsidR="00312A13" w:rsidRPr="00FF05AC" w:rsidTr="00247ABE">
        <w:trPr>
          <w:trHeight w:val="255"/>
          <w:tblHeader/>
        </w:trPr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Chronic Condition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CCS Category</w:t>
            </w:r>
            <w:r w:rsidRPr="0039058D">
              <w:rPr>
                <w:rFonts w:ascii="Arial" w:eastAsia="Times New Roman" w:hAnsi="Arial" w:cs="Arial"/>
                <w:b/>
                <w:bCs/>
                <w:color w:val="000000"/>
                <w:sz w:val="20"/>
                <w:vertAlign w:val="superscript"/>
              </w:rPr>
              <w:t>*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CMS (ICD-9 Codes)</w:t>
            </w:r>
            <w:r w:rsidRPr="0039058D">
              <w:rPr>
                <w:rFonts w:ascii="Arial" w:eastAsia="Times New Roman" w:hAnsi="Arial" w:cs="Arial"/>
                <w:b/>
                <w:bCs/>
                <w:color w:val="000000"/>
                <w:sz w:val="20"/>
                <w:vertAlign w:val="superscript"/>
              </w:rPr>
              <w:t>†</w:t>
            </w:r>
          </w:p>
        </w:tc>
      </w:tr>
      <w:tr w:rsidR="00312A13" w:rsidRPr="00FF05AC" w:rsidTr="00247ABE">
        <w:trPr>
          <w:trHeight w:val="1160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Hypertension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98, 99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401.0, 401.1, 401.9, 402.00, 402.01, 402.10, 402.11, 402.90, 402.91, 403.00, 403.01, 403.10, 403.11, 403.90, 403.91, 404.00, 404.01, 404.02, 404.03, 404.10, 404.11, 404.12, 404.13, 404.90, 404.91, 404.92, 404.93, 405.01, 405.09, 405.11, 405.19, 405.91, 405.99, 362.11, 437.2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891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Congestive heart failure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108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398.91, 402.01, 402.11, 402.91, 404.01, 404.11, 404.91, 404.03, 404.13, 404.93, 428.0, 428.1, 428.20, 428.21, 428.22, 428.23, 428.30, 428.31, 428.32, 428.33, 428.40, 428.41, 428.42, 428.43, 428.9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1629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Coronary artery disease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100, 101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410.00, 410.01, 410.02, 410.10, 410.11, 410.12, 410.20, 410.21, 410.22, 410.30, 410.31, 410.32, 410.40, 410.41, 410.42, 410.50, 410.51, 410.52, 410.60, 410.61, 410.62, 410.70, 410.71, 410.72, 410.80, 410.81, 410.82, 410.90, 410.91, 410.92, 411.0, 411.1, 411.81, 411.89, 412, 413.0, 413.1, 413.9, 414.00, 414.01, 414.02, 414.03, 414.04, 414.05, 414.06, 414.07, 414.12, 414.2, 414.3, 414.8, 414.9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36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Cardiac arrhythmias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105, 106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427.31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36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Hyperlipidemia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53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272.0, 272.1, 272.2, 272.3, 272.4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36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Stroke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109–112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430, 431, 433.01, 433.11, 433.21, 433.31, 433.81, 433.91, 434.00, 434.01,434.10, 434.11, 434.90, 434.91, 435.0, 435.1, 435.3, 435.8, 435.9, 436, 997.02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Arthritis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202, 203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714.0, 714.1, 714.2, 714.30, 714.31, 714.32, 714.33, 715.00, 715.04, 715.09, 715.10, 715.11, 715.12, 715.13, 715.14, 715.15, 715.16, 715.17, 715.18, 715.20, 715.21, 715.22, 715.23, 715.24, 715.25, 715.26, 715.27, 715.28, 715.30, 715.31, 715.32, 715.33, 715.34, 715.35, 715.36, 715.37, 715.38, 715.80, 715.89, 715.90, 715.91, 715.92, 715.93, 715.94, 715.95, 715.96, 715.97, 715.98, 720.0, 721.0, 721.1, 721.2, 721.3, 721.90, 721.91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54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Asthma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128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493.00, 493.01, 493.02, 493.10, 493.11, 493.12, 493.20, 493.21, 493.22, 493.81, 493.82, 493.90, 493.91, 493.92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81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Autism spectrum disorder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ICD-9 codes</w:t>
            </w:r>
            <w:r w:rsidRPr="0039058D">
              <w:rPr>
                <w:rFonts w:ascii="Arial" w:eastAsia="Times New Roman" w:hAnsi="Arial" w:cs="Arial"/>
                <w:color w:val="000000"/>
                <w:sz w:val="20"/>
                <w:vertAlign w:val="superscript"/>
              </w:rPr>
              <w:t xml:space="preserve">§ </w:t>
            </w: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299.00, 299.01</w:t>
            </w:r>
          </w:p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  <w:tr w:rsidR="00312A13" w:rsidRPr="00FF05AC" w:rsidTr="00247ABE">
        <w:trPr>
          <w:trHeight w:val="180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Cancer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11–43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Breast cancer: 174.0, 174.1, 174.2, 174.3, 174.4, 174.5, 174.6, 174.8, 174.9, 175.0, 175.9, 233.0, V10.3. Colorectal cancer: 154.0, 154.1, 153.0, 153.1, 153.2, 153.3, 153.4, 153.5, 153.6, 153.7, 153.8, 153.9, 230.3, 230.4, V10.05. Prostate cancer: 185, 233.4, V10.46. Lung cancer: 162.2, 162.3, 162.4, 162.5, 162.8, 162.9, 231.2, V10.11.</w:t>
            </w:r>
          </w:p>
        </w:tc>
      </w:tr>
      <w:tr w:rsidR="00312A13" w:rsidRPr="00FF05AC" w:rsidTr="00247ABE">
        <w:trPr>
          <w:trHeight w:val="288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Chronic kidney disease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158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016.00, 016.01, 016.02, 016.03, 016.04, 016.05, 016.06, 095.4, 189.0, 189.9, 223.0, 236.91, 249.40, 249.41, 250.40, 250.41, 250.42, 250.43, 271.4, 274.10, 283.11, 403.01, 403.11, 403.91, 404.02, 404.03, 404.12, 404.13, 404.92, 404.93, 440.1, 442.1, 572.4, 580.0, 580.4, 580.81, 580.89, 580.9, 581.0, 581.1, 581.2, 581.3, 581.81, 581.89, 581.9, 582.0, 582.1, 582.2, 582.4, 582.81, 582.89, 582.9, 583.0, 583.1, 583.2, 583.4, 583.6, 583.7, 583.81, 583.89, 583.9, 584.5, 584.6, 584.7, 584.8, 584.9, 585.1, 585.2, 585.3, 585.4, 585.5, 585.6, 585.9, 586, 587, 588.0, 588.1, 588.81, 588.89, 588.9, 591, 753.12, 753.13, 753.14, 753.15, 753.16, 753.17, 753.19, 753.20, 753.21, 753.22, 753.23, 753.29, 794.4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630"/>
        </w:trPr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Chronic obstructive pulmonary disease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uto"/>
            <w:noWrap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127</w:t>
            </w:r>
          </w:p>
        </w:tc>
        <w:tc>
          <w:tcPr>
            <w:tcW w:w="59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490, 491.0, 491.1, 491.20, 491.21, 491.22, 491.8, 491.9, 492.0, 492.8, 494.0, 494.1, 496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729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Dementia (including Alzheimer’s and other senile dementias)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653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  <w:hideMark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331.0, 331.11, 331.19, 331.2, 331.7, 290.0, 290.10, 290.11, 290.12, 290.13, 290.20, 290.21, 290.3, 290.40, 290.41, 290.42, 290.43, 294.0, 294.10, 294.11, 294.8, 797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1043"/>
        </w:trPr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Depression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uto"/>
            <w:noWrap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657</w:t>
            </w:r>
          </w:p>
        </w:tc>
        <w:tc>
          <w:tcPr>
            <w:tcW w:w="59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296.20, 296.21, 296.22, 296.23, 296.24, 296.25, 296.26, 296.30, 296.31, 296.32, 296.33, 296.34, 296.35, 296.36, 296.51, 296.52, 296.53, 296.54, 296.55, 296.56, 296.60, 296.61, 296.62, 296.63, 296.64, 296.65, 296.66, 296.89, 298.0, 300.4, 309.1, 311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1043"/>
        </w:trPr>
        <w:tc>
          <w:tcPr>
            <w:tcW w:w="2880" w:type="dxa"/>
            <w:tcBorders>
              <w:left w:val="nil"/>
              <w:right w:val="nil"/>
            </w:tcBorders>
            <w:shd w:val="clear" w:color="auto" w:fill="F2F2F2"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Diabetes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F2F2F2"/>
            <w:noWrap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49, 50</w:t>
            </w:r>
          </w:p>
        </w:tc>
        <w:tc>
          <w:tcPr>
            <w:tcW w:w="5940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:rsidR="00312A13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249.00, 249.01, 249.10, 249.11, 249.20, 249.21, 249.30, 249.31, 249.40, 249.41, 249.50, 249.51, 249.60, 249.61, 249.70, 249.71, 249.80, 249.81, 249.90, 249.91, 250.00, 250.01, 250.02, 250.03, 250.10, 250.11, 250.12, 250.13, 250.20, 250.21, 250.22, 250.23, 250.30, 250.31, 250.32, 250.33, 250.40, 250.41, 250.42, 250.43, 250.50, 250.51, 250.52, 250.53, 250.60, 250.61, 250.62, 250.63, 250.70, 250.71, 250.72, 250.73, 250.80, 250.81, 250.82, 250.83, 250.90, 250.91, 250.92, 250.93, 357.2, 362.01, 362.02, 362.03, 362.04, 362.05, 362.06, 366.41</w:t>
            </w:r>
          </w:p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312A13" w:rsidRPr="00FF05AC" w:rsidTr="00247ABE">
        <w:trPr>
          <w:trHeight w:val="441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Hepatitis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  <w:tr w:rsidR="00312A13" w:rsidRPr="00FF05AC" w:rsidTr="00247ABE">
        <w:trPr>
          <w:trHeight w:val="45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Human immunodeficiency virus (HIV)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  <w:tr w:rsidR="00312A13" w:rsidRPr="00FF05AC" w:rsidTr="00247ABE">
        <w:trPr>
          <w:trHeight w:val="450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Osteoporosis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206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733.00, 733.01, 733.02, 733.03, 733.09</w:t>
            </w:r>
          </w:p>
        </w:tc>
      </w:tr>
      <w:tr w:rsidR="00312A13" w:rsidRPr="00FF05AC" w:rsidTr="00247ABE">
        <w:trPr>
          <w:trHeight w:val="45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Schizophrenia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659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  <w:tr w:rsidR="00312A13" w:rsidRPr="00FF05AC" w:rsidTr="00247ABE">
        <w:trPr>
          <w:trHeight w:val="558"/>
        </w:trPr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 xml:space="preserve">Substance abuse disorders </w:t>
            </w: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br/>
              <w:t>(drug and alcohol)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660, 661</w:t>
            </w:r>
          </w:p>
        </w:tc>
        <w:tc>
          <w:tcPr>
            <w:tcW w:w="59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  <w:tr w:rsidR="00312A13" w:rsidRPr="00FF05AC" w:rsidTr="00247ABE">
        <w:trPr>
          <w:trHeight w:val="54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Anxiety</w:t>
            </w:r>
            <w:r w:rsidRPr="0039058D">
              <w:rPr>
                <w:rFonts w:ascii="Arial" w:eastAsia="Times New Roman" w:hAnsi="Arial" w:cs="Arial"/>
                <w:color w:val="000000"/>
                <w:sz w:val="20"/>
                <w:vertAlign w:val="superscript"/>
              </w:rPr>
              <w:t>‡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hideMark/>
          </w:tcPr>
          <w:p w:rsidR="00312A13" w:rsidRPr="00D225DF" w:rsidRDefault="00312A13" w:rsidP="00247ABE">
            <w:pPr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651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312A13" w:rsidRPr="00D225DF" w:rsidRDefault="00312A13" w:rsidP="00247ABE">
            <w:pPr>
              <w:rPr>
                <w:rFonts w:ascii="Arial" w:eastAsia="Times New Roman" w:hAnsi="Arial" w:cs="Arial"/>
                <w:color w:val="000000"/>
                <w:sz w:val="20"/>
              </w:rPr>
            </w:pPr>
            <w:r w:rsidRPr="00D225DF">
              <w:rPr>
                <w:rFonts w:ascii="Arial" w:eastAsia="Times New Roman" w:hAnsi="Arial" w:cs="Arial"/>
                <w:color w:val="000000"/>
                <w:sz w:val="20"/>
              </w:rPr>
              <w:t>Not applicable</w:t>
            </w:r>
          </w:p>
        </w:tc>
      </w:tr>
    </w:tbl>
    <w:p w:rsidR="00312A13" w:rsidRPr="00040DB9" w:rsidRDefault="00312A13" w:rsidP="00312A13">
      <w:pPr>
        <w:ind w:left="180" w:hanging="180"/>
        <w:rPr>
          <w:rFonts w:ascii="Arial" w:hAnsi="Arial" w:cs="Arial"/>
          <w:sz w:val="20"/>
        </w:rPr>
      </w:pPr>
      <w:r w:rsidRPr="00040DB9">
        <w:rPr>
          <w:rFonts w:ascii="Arial" w:hAnsi="Arial" w:cs="Arial"/>
          <w:sz w:val="20"/>
        </w:rPr>
        <w:t xml:space="preserve">Each condition is defined by having a code in either the </w:t>
      </w:r>
      <w:r>
        <w:rPr>
          <w:rFonts w:ascii="Arial" w:hAnsi="Arial" w:cs="Arial"/>
          <w:sz w:val="20"/>
        </w:rPr>
        <w:t>CCS</w:t>
      </w:r>
      <w:r w:rsidRPr="00040DB9">
        <w:rPr>
          <w:rFonts w:ascii="Arial" w:hAnsi="Arial" w:cs="Arial"/>
          <w:sz w:val="20"/>
        </w:rPr>
        <w:t xml:space="preserve"> group of codes or the CMS group of codes.  </w:t>
      </w:r>
    </w:p>
    <w:p w:rsidR="00312A13" w:rsidRPr="005C6614" w:rsidRDefault="00312A13" w:rsidP="00312A13">
      <w:pPr>
        <w:rPr>
          <w:rFonts w:ascii="Arial" w:hAnsi="Arial" w:cs="Arial"/>
          <w:sz w:val="18"/>
          <w:szCs w:val="18"/>
        </w:rPr>
      </w:pPr>
      <w:r w:rsidRPr="0039058D">
        <w:rPr>
          <w:rFonts w:ascii="Arial" w:hAnsi="Arial" w:cs="Arial"/>
          <w:sz w:val="20"/>
          <w:vertAlign w:val="superscript"/>
        </w:rPr>
        <w:t>*</w:t>
      </w:r>
      <w:r>
        <w:rPr>
          <w:rFonts w:ascii="Arial" w:hAnsi="Arial" w:cs="Arial"/>
          <w:sz w:val="20"/>
        </w:rPr>
        <w:t>The Clinical Classification Software (CCS) categories</w:t>
      </w:r>
      <w:r w:rsidRPr="00A2585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are defined by the Agency for Healthcare </w:t>
      </w:r>
      <w:r w:rsidRPr="00A2585E">
        <w:rPr>
          <w:rFonts w:ascii="Arial" w:hAnsi="Arial" w:cs="Arial"/>
          <w:sz w:val="20"/>
        </w:rPr>
        <w:t>Research and Quality</w:t>
      </w:r>
      <w:r>
        <w:rPr>
          <w:rFonts w:ascii="Arial" w:hAnsi="Arial" w:cs="Arial"/>
          <w:sz w:val="20"/>
        </w:rPr>
        <w:t xml:space="preserve">.  The list of ICD-9 codes corresponding to each category can be found on the following website: </w:t>
      </w:r>
      <w:hyperlink r:id="rId5" w:history="1">
        <w:r w:rsidRPr="0002587E">
          <w:rPr>
            <w:rStyle w:val="Hyperlink"/>
            <w:rFonts w:cs="Arial"/>
            <w:sz w:val="20"/>
          </w:rPr>
          <w:t>https://www.hcup-us.ahrq.gov/toolssoftware/ccs/ccs.jsp</w:t>
        </w:r>
      </w:hyperlink>
      <w:r w:rsidRPr="00A2585E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18"/>
          <w:szCs w:val="18"/>
        </w:rPr>
        <w:t xml:space="preserve">  </w:t>
      </w:r>
    </w:p>
    <w:p w:rsidR="00312A13" w:rsidRPr="00040DB9" w:rsidRDefault="00312A13" w:rsidP="00312A13">
      <w:pPr>
        <w:tabs>
          <w:tab w:val="left" w:pos="342"/>
        </w:tabs>
        <w:rPr>
          <w:rFonts w:ascii="Arial" w:hAnsi="Arial" w:cs="Arial"/>
          <w:sz w:val="20"/>
        </w:rPr>
      </w:pPr>
      <w:r w:rsidRPr="0039058D">
        <w:rPr>
          <w:rFonts w:ascii="Arial" w:hAnsi="Arial" w:cs="Arial"/>
          <w:sz w:val="20"/>
          <w:vertAlign w:val="superscript"/>
        </w:rPr>
        <w:lastRenderedPageBreak/>
        <w:t>†</w:t>
      </w:r>
      <w:r>
        <w:rPr>
          <w:rFonts w:ascii="Arial" w:hAnsi="Arial" w:cs="Arial"/>
          <w:sz w:val="20"/>
        </w:rPr>
        <w:t xml:space="preserve">The </w:t>
      </w:r>
      <w:r w:rsidRPr="00040DB9">
        <w:rPr>
          <w:rFonts w:ascii="Arial" w:hAnsi="Arial" w:cs="Arial"/>
          <w:sz w:val="20"/>
        </w:rPr>
        <w:t xml:space="preserve">ICD-9 codes </w:t>
      </w:r>
      <w:r>
        <w:rPr>
          <w:rFonts w:ascii="Arial" w:hAnsi="Arial" w:cs="Arial"/>
          <w:sz w:val="20"/>
        </w:rPr>
        <w:t xml:space="preserve">were </w:t>
      </w:r>
      <w:r w:rsidRPr="00040DB9">
        <w:rPr>
          <w:rFonts w:ascii="Arial" w:hAnsi="Arial" w:cs="Arial"/>
          <w:sz w:val="20"/>
        </w:rPr>
        <w:t xml:space="preserve">defined in the Chronic Conditions Data Warehouse of the </w:t>
      </w:r>
      <w:r>
        <w:rPr>
          <w:rFonts w:ascii="Arial" w:hAnsi="Arial" w:cs="Arial"/>
          <w:sz w:val="20"/>
        </w:rPr>
        <w:t>Centers for Medicare and Medicaid Services (</w:t>
      </w:r>
      <w:r w:rsidRPr="00040DB9">
        <w:rPr>
          <w:rFonts w:ascii="Arial" w:hAnsi="Arial" w:cs="Arial"/>
          <w:sz w:val="20"/>
        </w:rPr>
        <w:t>CMS</w:t>
      </w:r>
      <w:r>
        <w:rPr>
          <w:rFonts w:ascii="Arial" w:hAnsi="Arial" w:cs="Arial"/>
          <w:sz w:val="20"/>
        </w:rPr>
        <w:t>)</w:t>
      </w:r>
      <w:r w:rsidRPr="00040DB9">
        <w:rPr>
          <w:rFonts w:ascii="Arial" w:hAnsi="Arial" w:cs="Arial"/>
          <w:sz w:val="20"/>
        </w:rPr>
        <w:t>.</w:t>
      </w:r>
    </w:p>
    <w:p w:rsidR="00312A13" w:rsidRPr="00661F05" w:rsidRDefault="00312A13" w:rsidP="00312A13">
      <w:pPr>
        <w:ind w:left="180" w:hanging="180"/>
        <w:rPr>
          <w:rFonts w:ascii="Arial" w:hAnsi="Arial" w:cs="Arial"/>
          <w:sz w:val="20"/>
        </w:rPr>
      </w:pPr>
      <w:r w:rsidRPr="0039058D">
        <w:rPr>
          <w:rFonts w:ascii="Arial" w:hAnsi="Arial" w:cs="Arial"/>
          <w:sz w:val="20"/>
          <w:vertAlign w:val="superscript"/>
        </w:rPr>
        <w:t>§</w:t>
      </w:r>
      <w:r w:rsidRPr="00661F05">
        <w:rPr>
          <w:rFonts w:ascii="Arial" w:hAnsi="Arial" w:cs="Arial"/>
          <w:sz w:val="20"/>
        </w:rPr>
        <w:t xml:space="preserve">Autism spectrum disorder values listed in the </w:t>
      </w:r>
      <w:r>
        <w:rPr>
          <w:rFonts w:ascii="Arial" w:hAnsi="Arial" w:cs="Arial"/>
          <w:sz w:val="20"/>
        </w:rPr>
        <w:t>CC</w:t>
      </w:r>
      <w:r w:rsidRPr="00661F05">
        <w:rPr>
          <w:rFonts w:ascii="Arial" w:hAnsi="Arial" w:cs="Arial"/>
          <w:sz w:val="20"/>
        </w:rPr>
        <w:t xml:space="preserve">S column are ICD-9 </w:t>
      </w:r>
      <w:r>
        <w:rPr>
          <w:rFonts w:ascii="Arial" w:hAnsi="Arial" w:cs="Arial"/>
          <w:sz w:val="20"/>
        </w:rPr>
        <w:t>codes, not CCS categories</w:t>
      </w:r>
      <w:r w:rsidRPr="00661F05">
        <w:rPr>
          <w:rFonts w:ascii="Arial" w:hAnsi="Arial" w:cs="Arial"/>
          <w:sz w:val="20"/>
        </w:rPr>
        <w:t>.</w:t>
      </w:r>
    </w:p>
    <w:p w:rsidR="00312A13" w:rsidRDefault="00312A13" w:rsidP="00312A13">
      <w:pPr>
        <w:rPr>
          <w:rFonts w:ascii="Arial" w:hAnsi="Arial" w:cs="Arial"/>
          <w:sz w:val="20"/>
        </w:rPr>
      </w:pPr>
      <w:r w:rsidRPr="0039058D">
        <w:rPr>
          <w:rFonts w:ascii="Arial" w:hAnsi="Arial" w:cs="Arial"/>
          <w:sz w:val="20"/>
          <w:vertAlign w:val="superscript"/>
        </w:rPr>
        <w:t>‡</w:t>
      </w:r>
      <w:r w:rsidRPr="00661F05">
        <w:rPr>
          <w:rFonts w:ascii="Arial" w:hAnsi="Arial" w:cs="Arial"/>
          <w:sz w:val="20"/>
        </w:rPr>
        <w:t>Anxiety disorders were not included among the 20 conditions identified by the US Departme</w:t>
      </w:r>
      <w:r>
        <w:rPr>
          <w:rFonts w:ascii="Arial" w:hAnsi="Arial" w:cs="Arial"/>
          <w:sz w:val="20"/>
        </w:rPr>
        <w:t>nt of Health and Human Services</w:t>
      </w:r>
      <w:r w:rsidRPr="00661F05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12A13" w:rsidRDefault="00312A13" w:rsidP="00312A1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312A13" w:rsidRPr="00220377" w:rsidRDefault="00312A13" w:rsidP="00312A13">
      <w:pPr>
        <w:rPr>
          <w:rFonts w:ascii="Arial" w:hAnsi="Arial" w:cs="Arial"/>
          <w:sz w:val="22"/>
          <w:szCs w:val="22"/>
        </w:rPr>
      </w:pPr>
      <w:r w:rsidRPr="00220377">
        <w:rPr>
          <w:rFonts w:ascii="Arial" w:hAnsi="Arial" w:cs="Arial"/>
          <w:b/>
          <w:sz w:val="22"/>
          <w:szCs w:val="22"/>
        </w:rPr>
        <w:lastRenderedPageBreak/>
        <w:t xml:space="preserve">Table </w:t>
      </w:r>
      <w:r w:rsidR="00080AB3">
        <w:rPr>
          <w:rFonts w:ascii="Arial" w:hAnsi="Arial" w:cs="Arial"/>
          <w:b/>
          <w:sz w:val="22"/>
          <w:szCs w:val="22"/>
        </w:rPr>
        <w:t>S</w:t>
      </w:r>
      <w:r w:rsidRPr="00220377">
        <w:rPr>
          <w:rFonts w:ascii="Arial" w:hAnsi="Arial" w:cs="Arial"/>
          <w:b/>
          <w:sz w:val="22"/>
          <w:szCs w:val="22"/>
        </w:rPr>
        <w:t xml:space="preserve">2. </w:t>
      </w:r>
      <w:r w:rsidRPr="00220377">
        <w:rPr>
          <w:rFonts w:ascii="Arial" w:hAnsi="Arial" w:cs="Arial"/>
          <w:sz w:val="22"/>
          <w:szCs w:val="22"/>
        </w:rPr>
        <w:t>Distribution of American Community Survey questions at the census block group level (N=251 block groups)</w:t>
      </w:r>
    </w:p>
    <w:p w:rsidR="00CC3C2E" w:rsidRPr="0039058D" w:rsidRDefault="00CC3C2E" w:rsidP="00312A13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37"/>
        <w:gridCol w:w="1479"/>
        <w:gridCol w:w="1281"/>
        <w:gridCol w:w="1279"/>
      </w:tblGrid>
      <w:tr w:rsidR="00312A13" w:rsidRPr="00272CBB" w:rsidTr="00247ABE">
        <w:tc>
          <w:tcPr>
            <w:tcW w:w="2891" w:type="pct"/>
            <w:tcBorders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Question</w:t>
            </w:r>
          </w:p>
        </w:tc>
        <w:tc>
          <w:tcPr>
            <w:tcW w:w="772" w:type="pct"/>
            <w:tcBorders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Median</w:t>
            </w:r>
          </w:p>
        </w:tc>
        <w:tc>
          <w:tcPr>
            <w:tcW w:w="669" w:type="pct"/>
            <w:tcBorders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 xml:space="preserve">Q1 </w:t>
            </w:r>
          </w:p>
        </w:tc>
        <w:tc>
          <w:tcPr>
            <w:tcW w:w="668" w:type="pct"/>
            <w:tcBorders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Q3</w:t>
            </w:r>
          </w:p>
        </w:tc>
      </w:tr>
      <w:tr w:rsidR="00312A13" w:rsidRPr="00272CBB" w:rsidTr="00247ABE">
        <w:tc>
          <w:tcPr>
            <w:tcW w:w="28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Family income (2014)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$68,875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$56,003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$85,693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Income disparity</w:t>
            </w:r>
            <w:r w:rsidRPr="00220377">
              <w:rPr>
                <w:rFonts w:ascii="Arial" w:hAnsi="Arial" w:cs="Arial"/>
                <w:sz w:val="22"/>
                <w:vertAlign w:val="superscript"/>
              </w:rPr>
              <w:t>*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1.78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2.61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Families below poverty level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4.6%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1.1%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10.1%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below 150% poverty threshold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15.7%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9.0%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25.8%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Single parent households with dependents &lt;18</w:t>
            </w:r>
            <w:r w:rsidR="00CC3C2E" w:rsidRPr="00220377">
              <w:rPr>
                <w:rFonts w:ascii="Arial" w:hAnsi="Arial" w:cs="Arial"/>
                <w:sz w:val="22"/>
                <w:vertAlign w:val="superscript"/>
              </w:rPr>
              <w:t>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8.5%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5.7%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12.0%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without a motor vehicle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3.2%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6.8%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without a telephone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1.3%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2.7%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Occupied housing units without complete plumbing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Owner occupied housing units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83.0%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66.3%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90.2%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 &gt;1 person per room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0.003%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0.02%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monthly mortgage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$1,250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$1,095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$1,469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gross rent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$726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$621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$909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home value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$141,500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$115,000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$186,000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Employed person 16+ in white collar occupation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57.8%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50.0%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66.1%</w:t>
            </w:r>
          </w:p>
        </w:tc>
      </w:tr>
      <w:tr w:rsidR="00312A13" w:rsidRPr="00272CBB" w:rsidTr="00247ABE">
        <w:trPr>
          <w:trHeight w:val="261"/>
        </w:trPr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Civilian labor force unemployed (aged 16+)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2.5%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1.4%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4.7%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aged 25+ with &lt;9yr education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2.5%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0.7%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0.05%</w:t>
            </w:r>
          </w:p>
        </w:tc>
      </w:tr>
      <w:tr w:rsidR="00312A13" w:rsidRPr="00272CBB" w:rsidTr="00247ABE">
        <w:tc>
          <w:tcPr>
            <w:tcW w:w="28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aged 25+ with at least a high school education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93.0%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89.3%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96.1%</w:t>
            </w:r>
          </w:p>
        </w:tc>
      </w:tr>
      <w:tr w:rsidR="00312A13" w:rsidRPr="00272CBB" w:rsidTr="00247ABE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2A13" w:rsidRDefault="00312A13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  <w:vertAlign w:val="superscript"/>
              </w:rPr>
              <w:t>*</w:t>
            </w:r>
            <w:r w:rsidRPr="00220377">
              <w:rPr>
                <w:rFonts w:ascii="Arial" w:hAnsi="Arial" w:cs="Arial"/>
                <w:sz w:val="22"/>
              </w:rPr>
              <w:t>Income disparity was defined as a ratio using the formula log (100*(number of households with &lt;$10,000/number of households with ≥$50,000 in income)</w:t>
            </w:r>
            <w:r w:rsidR="00375C2D" w:rsidRPr="00220377">
              <w:rPr>
                <w:rFonts w:ascii="Arial" w:hAnsi="Arial" w:cs="Arial"/>
                <w:sz w:val="22"/>
              </w:rPr>
              <w:t>)</w:t>
            </w:r>
            <w:r w:rsidRPr="00220377">
              <w:rPr>
                <w:rFonts w:ascii="Arial" w:hAnsi="Arial" w:cs="Arial"/>
                <w:sz w:val="22"/>
              </w:rPr>
              <w:t>.</w:t>
            </w:r>
          </w:p>
          <w:p w:rsidR="00CC3C2E" w:rsidRPr="00220377" w:rsidRDefault="00CC3C2E" w:rsidP="00247ABE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  <w:vertAlign w:val="superscript"/>
              </w:rPr>
              <w:t>†</w:t>
            </w:r>
            <w:r w:rsidRPr="00220377">
              <w:rPr>
                <w:rFonts w:ascii="Arial" w:hAnsi="Arial" w:cs="Arial"/>
                <w:sz w:val="22"/>
              </w:rPr>
              <w:t>The 2010 Census was used to estimate the percentage of households with a single parent with dependent(s) under age 18</w:t>
            </w:r>
            <w:r>
              <w:rPr>
                <w:rFonts w:ascii="Arial" w:hAnsi="Arial" w:cs="Arial"/>
                <w:sz w:val="22"/>
              </w:rPr>
              <w:t>.</w:t>
            </w:r>
          </w:p>
          <w:p w:rsidR="00312A13" w:rsidRPr="00220377" w:rsidRDefault="00312A13" w:rsidP="00247ABE">
            <w:pPr>
              <w:rPr>
                <w:rFonts w:ascii="Arial" w:hAnsi="Arial" w:cs="Arial"/>
                <w:sz w:val="22"/>
              </w:rPr>
            </w:pPr>
          </w:p>
        </w:tc>
      </w:tr>
    </w:tbl>
    <w:p w:rsidR="00312A13" w:rsidRDefault="00312A13" w:rsidP="00312A13">
      <w:pPr>
        <w:rPr>
          <w:rFonts w:ascii="Arial" w:hAnsi="Arial" w:cs="Arial"/>
          <w:sz w:val="20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  <w:sectPr w:rsidR="00615249" w:rsidSect="0061524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5249" w:rsidRDefault="00615249" w:rsidP="00CC3C2E">
      <w:pPr>
        <w:rPr>
          <w:rFonts w:ascii="Arial" w:hAnsi="Arial" w:cs="Arial"/>
          <w:b/>
          <w:sz w:val="22"/>
          <w:szCs w:val="22"/>
        </w:rPr>
      </w:pPr>
    </w:p>
    <w:p w:rsidR="001909D3" w:rsidRDefault="00CC3C2E" w:rsidP="00CC3C2E">
      <w:pPr>
        <w:rPr>
          <w:rFonts w:ascii="Arial" w:hAnsi="Arial" w:cs="Arial"/>
          <w:sz w:val="22"/>
          <w:szCs w:val="22"/>
        </w:rPr>
      </w:pPr>
      <w:r w:rsidRPr="00220377">
        <w:rPr>
          <w:rFonts w:ascii="Arial" w:hAnsi="Arial" w:cs="Arial"/>
          <w:b/>
          <w:sz w:val="22"/>
          <w:szCs w:val="22"/>
        </w:rPr>
        <w:t xml:space="preserve">Table </w:t>
      </w:r>
      <w:r w:rsidR="00080AB3">
        <w:rPr>
          <w:rFonts w:ascii="Arial" w:hAnsi="Arial" w:cs="Arial"/>
          <w:b/>
          <w:sz w:val="22"/>
          <w:szCs w:val="22"/>
        </w:rPr>
        <w:t>S</w:t>
      </w:r>
      <w:bookmarkStart w:id="0" w:name="_GoBack"/>
      <w:bookmarkEnd w:id="0"/>
      <w:r w:rsidRPr="00220377">
        <w:rPr>
          <w:rFonts w:ascii="Arial" w:hAnsi="Arial" w:cs="Arial"/>
          <w:b/>
          <w:sz w:val="22"/>
          <w:szCs w:val="22"/>
        </w:rPr>
        <w:t xml:space="preserve">3. </w:t>
      </w:r>
      <w:r w:rsidRPr="00220377">
        <w:rPr>
          <w:rFonts w:ascii="Arial" w:hAnsi="Arial" w:cs="Arial"/>
          <w:sz w:val="22"/>
          <w:szCs w:val="22"/>
        </w:rPr>
        <w:t>Odds ratio (95% confidence interval) of multimorbidity for quintile 5 vs. quintile 1 of each American Community Survey question</w:t>
      </w:r>
    </w:p>
    <w:p w:rsidR="00CC3C2E" w:rsidRPr="00220377" w:rsidRDefault="00CC3C2E" w:rsidP="00CC3C2E">
      <w:pPr>
        <w:rPr>
          <w:rFonts w:ascii="Arial" w:hAnsi="Arial" w:cs="Arial"/>
          <w:sz w:val="22"/>
          <w:szCs w:val="22"/>
        </w:rPr>
      </w:pPr>
      <w:r w:rsidRPr="00220377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123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2295"/>
        <w:gridCol w:w="2295"/>
        <w:gridCol w:w="2295"/>
      </w:tblGrid>
      <w:tr w:rsidR="00CC3C2E" w:rsidRPr="001909D3" w:rsidTr="003F3B5F"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:rsidR="00CC3C2E" w:rsidRPr="00220377" w:rsidRDefault="00CC3C2E" w:rsidP="003F3B5F">
            <w:pPr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Question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 xml:space="preserve">Unadjusted </w:t>
            </w:r>
          </w:p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odds ratio (95% CI)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Adjusted</w:t>
            </w:r>
            <w:r w:rsidR="001909D3" w:rsidRPr="00220377">
              <w:rPr>
                <w:rFonts w:ascii="Arial" w:hAnsi="Arial" w:cs="Arial"/>
                <w:b/>
                <w:sz w:val="22"/>
                <w:vertAlign w:val="superscript"/>
              </w:rPr>
              <w:t>*</w:t>
            </w:r>
          </w:p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odds ratio (95% CI)</w:t>
            </w:r>
          </w:p>
        </w:tc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Adjusted</w:t>
            </w:r>
            <w:r w:rsidR="001909D3">
              <w:rPr>
                <w:rFonts w:ascii="Arial" w:hAnsi="Arial" w:cs="Arial"/>
                <w:b/>
                <w:sz w:val="22"/>
                <w:vertAlign w:val="superscript"/>
              </w:rPr>
              <w:t>†</w:t>
            </w:r>
          </w:p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20377">
              <w:rPr>
                <w:rFonts w:ascii="Arial" w:hAnsi="Arial" w:cs="Arial"/>
                <w:b/>
                <w:sz w:val="22"/>
              </w:rPr>
              <w:t>odds ratio (95% CI)</w:t>
            </w:r>
          </w:p>
        </w:tc>
      </w:tr>
      <w:tr w:rsidR="00CC3C2E" w:rsidRPr="001909D3" w:rsidTr="003F3B5F">
        <w:tc>
          <w:tcPr>
            <w:tcW w:w="5418" w:type="dxa"/>
            <w:tcBorders>
              <w:top w:val="single" w:sz="4" w:space="0" w:color="auto"/>
            </w:tcBorders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Family income (2014)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0.81 (0.72-0.91)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0.67 (0.62-0.74)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vAlign w:val="center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0.56 (0.51-0.63)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Income disparity</w:t>
            </w:r>
            <w:r w:rsidR="001909D3" w:rsidRPr="00220377">
              <w:rPr>
                <w:rFonts w:ascii="Arial" w:hAnsi="Arial" w:cs="Arial"/>
                <w:sz w:val="22"/>
                <w:vertAlign w:val="superscript"/>
              </w:rPr>
              <w:t>§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1.18 (1.06-1.32)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1.26 (1.16-1.37)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1.36 (1.23-1.52)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Families below poverty level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0.89 (0.79-0.99)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1.12 (1.02-1.22)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1.27 (1.13-1.43)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below 150% poverty threshold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1.07 (0.96-1.20)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1.37 (1.25-1.49)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1.51 (1.36-1.68)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Single parent households with dependents &lt;18</w:t>
            </w:r>
            <w:r w:rsidR="001909D3" w:rsidRPr="003F3B5F">
              <w:rPr>
                <w:rFonts w:ascii="Arial" w:hAnsi="Arial" w:cs="Arial"/>
                <w:vertAlign w:val="superscript"/>
              </w:rPr>
              <w:t>‡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0.87 (0.78-0.98)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1.43 (1.32-1.54)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1.50 (1.35-1.67)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without a motor vehicle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1.27 (1.12-1.44)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1.25 (1.13-1.38)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1.29 (1.14-1.47)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without a telephone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0.85 (0.70-1.03)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1.07 (0.90-1.26)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0.99 (0.80-1.21)</w:t>
            </w:r>
          </w:p>
        </w:tc>
      </w:tr>
      <w:tr w:rsidR="00CC3C2E" w:rsidRPr="001909D3" w:rsidTr="003F3B5F">
        <w:trPr>
          <w:trHeight w:val="278"/>
        </w:trPr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Occupied housing units without complete plumbing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0.89 (0.79-1.00)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0.85 (0.77-0.94)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0.76 (0.67-0.87)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Owner occupied housing units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0.92 (0.81-1.03)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0.70 (0.64-0.77)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0.66 (0.59-0.75)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Households with &gt;1 person per room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0.78 (0.66-0.92)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1.02 (0.89-1.16)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0.94 (0.79-1.12)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monthly mortgage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0.78 (0.68-0.88)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0.66 (0.60-0.72)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0.55 (0.49-0.62)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gross rent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0.77 (0.69-0.87)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0.79 (0.71-0.87)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0.64 (0.57-0.72)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Median home value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0.81 (0.72-0.91)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0.66 (0.61-0.72)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0.53 (0.48-0.58)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Employed person 16+ in white collar occupation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0.79 (0.70-0.88)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0.73 (0.67-0.80)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0.59 (0.53-0.66)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Civilian labor force unemployed (aged 16+)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1.00 (0.88-1.13)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1.23 (1.11-1.36)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1.31 (1.15-1.49)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aged 25+ with &lt;9yr education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1.07 (0.96-1.19)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1.10 (1.01-1.20)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1.23 (1.10-1.38)</w:t>
            </w:r>
          </w:p>
        </w:tc>
      </w:tr>
      <w:tr w:rsidR="00CC3C2E" w:rsidRPr="001909D3" w:rsidTr="003F3B5F">
        <w:tc>
          <w:tcPr>
            <w:tcW w:w="5418" w:type="dxa"/>
          </w:tcPr>
          <w:p w:rsidR="00CC3C2E" w:rsidRPr="00220377" w:rsidRDefault="00CC3C2E" w:rsidP="003F3B5F">
            <w:pPr>
              <w:rPr>
                <w:rFonts w:ascii="Arial" w:hAnsi="Arial" w:cs="Arial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Population aged 25+ with at least a high school education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0.84 (0.75-0.94)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0.72 (0.67-0.79)</w:t>
            </w:r>
          </w:p>
        </w:tc>
        <w:tc>
          <w:tcPr>
            <w:tcW w:w="2295" w:type="dxa"/>
          </w:tcPr>
          <w:p w:rsidR="00CC3C2E" w:rsidRPr="00220377" w:rsidRDefault="00CC3C2E" w:rsidP="003F3B5F">
            <w:pPr>
              <w:jc w:val="center"/>
              <w:rPr>
                <w:rFonts w:ascii="Arial" w:hAnsi="Arial" w:cs="Arial"/>
                <w:b/>
                <w:color w:val="1F497D"/>
                <w:sz w:val="22"/>
              </w:rPr>
            </w:pPr>
            <w:r w:rsidRPr="00220377">
              <w:rPr>
                <w:rFonts w:ascii="Arial" w:hAnsi="Arial" w:cs="Arial"/>
                <w:sz w:val="22"/>
              </w:rPr>
              <w:t>0.60 (0.54-0.67)</w:t>
            </w:r>
          </w:p>
        </w:tc>
      </w:tr>
    </w:tbl>
    <w:p w:rsidR="00CC3C2E" w:rsidRPr="00220377" w:rsidRDefault="001909D3" w:rsidP="00CC3C2E">
      <w:pPr>
        <w:pStyle w:val="NoSpacing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*</w:t>
      </w:r>
      <w:r w:rsidR="00CC3C2E" w:rsidRPr="00220377">
        <w:rPr>
          <w:rFonts w:ascii="Arial" w:hAnsi="Arial" w:cs="Arial"/>
        </w:rPr>
        <w:t>Adjusted for age, sex, race, and ethnicity.</w:t>
      </w:r>
    </w:p>
    <w:p w:rsidR="00CC3C2E" w:rsidRPr="00220377" w:rsidRDefault="001909D3" w:rsidP="00CC3C2E">
      <w:pPr>
        <w:pStyle w:val="NoSpacing"/>
        <w:rPr>
          <w:rFonts w:ascii="Arial" w:hAnsi="Arial" w:cs="Arial"/>
        </w:rPr>
      </w:pPr>
      <w:r w:rsidRPr="003F3B5F">
        <w:rPr>
          <w:rFonts w:ascii="Arial" w:hAnsi="Arial" w:cs="Arial"/>
          <w:vertAlign w:val="superscript"/>
        </w:rPr>
        <w:t>†</w:t>
      </w:r>
      <w:r w:rsidR="00CC3C2E" w:rsidRPr="00220377">
        <w:rPr>
          <w:rFonts w:ascii="Arial" w:hAnsi="Arial" w:cs="Arial"/>
        </w:rPr>
        <w:t>Adjusted for age, sex, race, ethnicity</w:t>
      </w:r>
      <w:r>
        <w:rPr>
          <w:rFonts w:ascii="Arial" w:hAnsi="Arial" w:cs="Arial"/>
        </w:rPr>
        <w:t>,</w:t>
      </w:r>
      <w:r w:rsidR="00CC3C2E" w:rsidRPr="00220377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individual level of </w:t>
      </w:r>
      <w:r w:rsidR="00CC3C2E" w:rsidRPr="00220377">
        <w:rPr>
          <w:rFonts w:ascii="Arial" w:hAnsi="Arial" w:cs="Arial"/>
        </w:rPr>
        <w:t>education</w:t>
      </w:r>
      <w:r>
        <w:rPr>
          <w:rFonts w:ascii="Arial" w:hAnsi="Arial" w:cs="Arial"/>
        </w:rPr>
        <w:t>.</w:t>
      </w:r>
    </w:p>
    <w:p w:rsidR="00CC3C2E" w:rsidRDefault="001909D3" w:rsidP="00CC3C2E">
      <w:pPr>
        <w:pStyle w:val="NoSpacing"/>
        <w:rPr>
          <w:rFonts w:ascii="Arial" w:hAnsi="Arial" w:cs="Arial"/>
        </w:rPr>
      </w:pPr>
      <w:r w:rsidRPr="00220377">
        <w:rPr>
          <w:rFonts w:ascii="Arial" w:hAnsi="Arial" w:cs="Arial"/>
          <w:vertAlign w:val="superscript"/>
        </w:rPr>
        <w:t>§</w:t>
      </w:r>
      <w:r w:rsidR="00CC3C2E" w:rsidRPr="00220377">
        <w:rPr>
          <w:rFonts w:ascii="Arial" w:hAnsi="Arial" w:cs="Arial"/>
        </w:rPr>
        <w:t>Income disparity was defined as a ratio using the formula log (100*(number of households with &lt;$10,000/number of households with ≥$50,000 in income)</w:t>
      </w:r>
      <w:r w:rsidRPr="00220377">
        <w:rPr>
          <w:rFonts w:ascii="Arial" w:hAnsi="Arial" w:cs="Arial"/>
        </w:rPr>
        <w:t>)</w:t>
      </w:r>
      <w:r w:rsidR="00CC3C2E" w:rsidRPr="00220377">
        <w:rPr>
          <w:rFonts w:ascii="Arial" w:hAnsi="Arial" w:cs="Arial"/>
        </w:rPr>
        <w:t>.</w:t>
      </w:r>
    </w:p>
    <w:p w:rsidR="001909D3" w:rsidRPr="00220377" w:rsidRDefault="001909D3" w:rsidP="00CC3C2E">
      <w:pPr>
        <w:pStyle w:val="NoSpacing"/>
        <w:rPr>
          <w:rFonts w:ascii="Arial" w:hAnsi="Arial" w:cs="Arial"/>
        </w:rPr>
      </w:pPr>
      <w:r w:rsidRPr="00220377">
        <w:rPr>
          <w:rFonts w:ascii="Arial" w:hAnsi="Arial" w:cs="Arial"/>
          <w:vertAlign w:val="superscript"/>
        </w:rPr>
        <w:t>‡</w:t>
      </w:r>
      <w:r w:rsidRPr="003F3B5F">
        <w:rPr>
          <w:rFonts w:ascii="Arial" w:hAnsi="Arial" w:cs="Arial"/>
        </w:rPr>
        <w:t>The 2010 Census was used to estimate the percentage of households with a single parent with dependent(s) under age 18</w:t>
      </w:r>
      <w:r>
        <w:rPr>
          <w:rFonts w:ascii="Arial" w:hAnsi="Arial" w:cs="Arial"/>
        </w:rPr>
        <w:t>.</w:t>
      </w:r>
    </w:p>
    <w:p w:rsidR="00CC3C2E" w:rsidRPr="00220377" w:rsidRDefault="00CC3C2E" w:rsidP="00CC3C2E">
      <w:pPr>
        <w:pStyle w:val="NoSpacing"/>
        <w:rPr>
          <w:rFonts w:ascii="Arial" w:hAnsi="Arial" w:cs="Arial"/>
        </w:rPr>
      </w:pPr>
      <w:proofErr w:type="gramStart"/>
      <w:r w:rsidRPr="00220377">
        <w:rPr>
          <w:rFonts w:ascii="Arial" w:hAnsi="Arial" w:cs="Arial"/>
        </w:rPr>
        <w:t>CI, confidence interval.</w:t>
      </w:r>
      <w:proofErr w:type="gramEnd"/>
    </w:p>
    <w:p w:rsidR="00312A13" w:rsidRPr="001909D3" w:rsidRDefault="00312A13" w:rsidP="00312A13">
      <w:pPr>
        <w:rPr>
          <w:rFonts w:ascii="Arial" w:hAnsi="Arial" w:cs="Arial"/>
          <w:b/>
          <w:sz w:val="22"/>
          <w:szCs w:val="22"/>
        </w:rPr>
      </w:pPr>
    </w:p>
    <w:p w:rsidR="00312A13" w:rsidRDefault="00312A13" w:rsidP="00312A13">
      <w:pPr>
        <w:jc w:val="center"/>
        <w:rPr>
          <w:rFonts w:ascii="Arial" w:hAnsi="Arial" w:cs="Arial"/>
          <w:b/>
          <w:sz w:val="22"/>
          <w:szCs w:val="22"/>
        </w:rPr>
      </w:pPr>
    </w:p>
    <w:p w:rsidR="00312A13" w:rsidRPr="00312A13" w:rsidRDefault="00312A13" w:rsidP="00312A13">
      <w:pPr>
        <w:rPr>
          <w:rFonts w:ascii="Arial" w:hAnsi="Arial" w:cs="Arial"/>
          <w:b/>
          <w:sz w:val="22"/>
          <w:szCs w:val="22"/>
        </w:rPr>
      </w:pPr>
    </w:p>
    <w:sectPr w:rsidR="00312A13" w:rsidRPr="00312A13" w:rsidSect="006152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0000400000000000000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13"/>
    <w:rsid w:val="00080AB3"/>
    <w:rsid w:val="001909D3"/>
    <w:rsid w:val="00220377"/>
    <w:rsid w:val="00312A13"/>
    <w:rsid w:val="00375C2D"/>
    <w:rsid w:val="003F6529"/>
    <w:rsid w:val="0044304C"/>
    <w:rsid w:val="005B6C8A"/>
    <w:rsid w:val="005E6B4B"/>
    <w:rsid w:val="00615249"/>
    <w:rsid w:val="006E162F"/>
    <w:rsid w:val="00865EC9"/>
    <w:rsid w:val="00AE00E1"/>
    <w:rsid w:val="00CC3C2E"/>
    <w:rsid w:val="00EB5FB8"/>
    <w:rsid w:val="00F9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8A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5B6C8A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5B6C8A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rsid w:val="005B6C8A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5B6C8A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5B6C8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5B6C8A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5B6C8A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5B6C8A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5B6C8A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6C8A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rsid w:val="005B6C8A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5B6C8A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5B6C8A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5B6C8A"/>
    <w:rPr>
      <w:rFonts w:ascii="Times" w:hAnsi="Times"/>
      <w:sz w:val="22"/>
    </w:rPr>
  </w:style>
  <w:style w:type="character" w:customStyle="1" w:styleId="Heading6Char">
    <w:name w:val="Heading 6 Char"/>
    <w:basedOn w:val="DefaultParagraphFont"/>
    <w:link w:val="Heading6"/>
    <w:rsid w:val="005B6C8A"/>
    <w:rPr>
      <w:rFonts w:ascii="Times" w:hAnsi="Times"/>
      <w:i/>
      <w:sz w:val="22"/>
    </w:rPr>
  </w:style>
  <w:style w:type="character" w:customStyle="1" w:styleId="Heading7Char">
    <w:name w:val="Heading 7 Char"/>
    <w:basedOn w:val="DefaultParagraphFont"/>
    <w:link w:val="Heading7"/>
    <w:rsid w:val="005B6C8A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5B6C8A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5B6C8A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qFormat/>
    <w:rsid w:val="005B6C8A"/>
    <w:pPr>
      <w:spacing w:before="120" w:after="120"/>
    </w:pPr>
    <w:rPr>
      <w:b/>
    </w:rPr>
  </w:style>
  <w:style w:type="paragraph" w:styleId="Title">
    <w:name w:val="Title"/>
    <w:basedOn w:val="Normal"/>
    <w:link w:val="TitleChar"/>
    <w:qFormat/>
    <w:rsid w:val="005B6C8A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5B6C8A"/>
    <w:rPr>
      <w:rFonts w:ascii="Arial" w:hAnsi="Arial"/>
      <w:b/>
      <w:kern w:val="28"/>
      <w:sz w:val="32"/>
    </w:rPr>
  </w:style>
  <w:style w:type="paragraph" w:styleId="Subtitle">
    <w:name w:val="Subtitle"/>
    <w:basedOn w:val="Normal"/>
    <w:link w:val="SubtitleChar"/>
    <w:qFormat/>
    <w:rsid w:val="005B6C8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rsid w:val="005B6C8A"/>
    <w:rPr>
      <w:rFonts w:ascii="Arial" w:hAnsi="Arial"/>
      <w:sz w:val="24"/>
    </w:rPr>
  </w:style>
  <w:style w:type="paragraph" w:styleId="NoSpacing">
    <w:name w:val="No Spacing"/>
    <w:basedOn w:val="Normal"/>
    <w:uiPriority w:val="1"/>
    <w:qFormat/>
    <w:rsid w:val="00312A1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312A13"/>
    <w:rPr>
      <w:color w:val="0000FF"/>
      <w:u w:val="single"/>
    </w:rPr>
  </w:style>
  <w:style w:type="table" w:styleId="TableGrid">
    <w:name w:val="Table Grid"/>
    <w:basedOn w:val="TableNormal"/>
    <w:uiPriority w:val="59"/>
    <w:rsid w:val="00312A13"/>
    <w:rPr>
      <w:rFonts w:asciiTheme="minorHAnsi" w:eastAsiaTheme="minorEastAsia" w:hAnsiTheme="minorHAnsi" w:cstheme="minorBid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C8A"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5B6C8A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5B6C8A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rsid w:val="005B6C8A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5B6C8A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5B6C8A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5B6C8A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5B6C8A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5B6C8A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5B6C8A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6C8A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rsid w:val="005B6C8A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5B6C8A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rsid w:val="005B6C8A"/>
    <w:rPr>
      <w:rFonts w:ascii="Arial" w:hAnsi="Arial"/>
      <w:b/>
      <w:sz w:val="24"/>
    </w:rPr>
  </w:style>
  <w:style w:type="character" w:customStyle="1" w:styleId="Heading5Char">
    <w:name w:val="Heading 5 Char"/>
    <w:basedOn w:val="DefaultParagraphFont"/>
    <w:link w:val="Heading5"/>
    <w:rsid w:val="005B6C8A"/>
    <w:rPr>
      <w:rFonts w:ascii="Times" w:hAnsi="Times"/>
      <w:sz w:val="22"/>
    </w:rPr>
  </w:style>
  <w:style w:type="character" w:customStyle="1" w:styleId="Heading6Char">
    <w:name w:val="Heading 6 Char"/>
    <w:basedOn w:val="DefaultParagraphFont"/>
    <w:link w:val="Heading6"/>
    <w:rsid w:val="005B6C8A"/>
    <w:rPr>
      <w:rFonts w:ascii="Times" w:hAnsi="Times"/>
      <w:i/>
      <w:sz w:val="22"/>
    </w:rPr>
  </w:style>
  <w:style w:type="character" w:customStyle="1" w:styleId="Heading7Char">
    <w:name w:val="Heading 7 Char"/>
    <w:basedOn w:val="DefaultParagraphFont"/>
    <w:link w:val="Heading7"/>
    <w:rsid w:val="005B6C8A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5B6C8A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5B6C8A"/>
    <w:rPr>
      <w:rFonts w:ascii="Arial" w:hAnsi="Arial"/>
      <w:b/>
      <w:i/>
      <w:sz w:val="18"/>
    </w:rPr>
  </w:style>
  <w:style w:type="paragraph" w:styleId="Caption">
    <w:name w:val="caption"/>
    <w:basedOn w:val="Normal"/>
    <w:next w:val="Normal"/>
    <w:qFormat/>
    <w:rsid w:val="005B6C8A"/>
    <w:pPr>
      <w:spacing w:before="120" w:after="120"/>
    </w:pPr>
    <w:rPr>
      <w:b/>
    </w:rPr>
  </w:style>
  <w:style w:type="paragraph" w:styleId="Title">
    <w:name w:val="Title"/>
    <w:basedOn w:val="Normal"/>
    <w:link w:val="TitleChar"/>
    <w:qFormat/>
    <w:rsid w:val="005B6C8A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5B6C8A"/>
    <w:rPr>
      <w:rFonts w:ascii="Arial" w:hAnsi="Arial"/>
      <w:b/>
      <w:kern w:val="28"/>
      <w:sz w:val="32"/>
    </w:rPr>
  </w:style>
  <w:style w:type="paragraph" w:styleId="Subtitle">
    <w:name w:val="Subtitle"/>
    <w:basedOn w:val="Normal"/>
    <w:link w:val="SubtitleChar"/>
    <w:qFormat/>
    <w:rsid w:val="005B6C8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rsid w:val="005B6C8A"/>
    <w:rPr>
      <w:rFonts w:ascii="Arial" w:hAnsi="Arial"/>
      <w:sz w:val="24"/>
    </w:rPr>
  </w:style>
  <w:style w:type="paragraph" w:styleId="NoSpacing">
    <w:name w:val="No Spacing"/>
    <w:basedOn w:val="Normal"/>
    <w:uiPriority w:val="1"/>
    <w:qFormat/>
    <w:rsid w:val="00312A1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312A13"/>
    <w:rPr>
      <w:color w:val="0000FF"/>
      <w:u w:val="single"/>
    </w:rPr>
  </w:style>
  <w:style w:type="table" w:styleId="TableGrid">
    <w:name w:val="Table Grid"/>
    <w:basedOn w:val="TableNormal"/>
    <w:uiPriority w:val="59"/>
    <w:rsid w:val="00312A13"/>
    <w:rPr>
      <w:rFonts w:asciiTheme="minorHAnsi" w:eastAsiaTheme="minorEastAsia" w:hAnsiTheme="minorHAnsi" w:cstheme="minorBid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C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cup-us.ahrq.gov/toolssoftware/ccs/ccs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 S Strain</dc:creator>
  <cp:lastModifiedBy>jmsoreno</cp:lastModifiedBy>
  <cp:revision>7</cp:revision>
  <dcterms:created xsi:type="dcterms:W3CDTF">2019-08-22T14:11:00Z</dcterms:created>
  <dcterms:modified xsi:type="dcterms:W3CDTF">2020-01-03T14:26:00Z</dcterms:modified>
</cp:coreProperties>
</file>